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default" w:ascii="Times New Roman" w:hAnsi="Times New Roman" w:cs="Times New Roman"/>
          <w:color w:val="auto"/>
          <w:highlight w:val="none"/>
        </w:rPr>
      </w:pPr>
    </w:p>
    <w:p>
      <w:pPr>
        <w:pStyle w:val="11"/>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jc w:val="center"/>
        <w:rPr>
          <w:rFonts w:hint="default" w:ascii="Times New Roman" w:hAnsi="Times New Roman" w:eastAsia="仿宋" w:cs="Times New Roman"/>
          <w:color w:val="auto"/>
          <w:sz w:val="44"/>
          <w:szCs w:val="44"/>
          <w:highlight w:val="none"/>
        </w:rPr>
      </w:pPr>
    </w:p>
    <w:p>
      <w:pPr>
        <w:jc w:val="center"/>
        <w:rPr>
          <w:rFonts w:hint="default" w:ascii="Times New Roman" w:hAnsi="Times New Roman" w:eastAsia="仿宋" w:cs="Times New Roman"/>
          <w:color w:val="auto"/>
          <w:sz w:val="44"/>
          <w:szCs w:val="44"/>
          <w:highlight w:val="none"/>
        </w:rPr>
      </w:pPr>
    </w:p>
    <w:p>
      <w:pPr>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202</w:t>
      </w:r>
      <w:r>
        <w:rPr>
          <w:rFonts w:hint="default" w:ascii="Times New Roman" w:hAnsi="Times New Roman" w:eastAsia="方正小标宋简体" w:cs="Times New Roman"/>
          <w:color w:val="auto"/>
          <w:sz w:val="44"/>
          <w:szCs w:val="44"/>
          <w:highlight w:val="none"/>
          <w:lang w:val="en-US" w:eastAsia="zh-CN"/>
        </w:rPr>
        <w:t>5</w:t>
      </w:r>
      <w:r>
        <w:rPr>
          <w:rFonts w:hint="default" w:ascii="Times New Roman" w:hAnsi="Times New Roman" w:eastAsia="方正小标宋简体" w:cs="Times New Roman"/>
          <w:color w:val="auto"/>
          <w:sz w:val="44"/>
          <w:szCs w:val="44"/>
          <w:highlight w:val="none"/>
        </w:rPr>
        <w:t>年度</w:t>
      </w:r>
    </w:p>
    <w:p>
      <w:pPr>
        <w:jc w:val="center"/>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lang w:eastAsia="zh-CN"/>
        </w:rPr>
        <w:t>伊通满族自治县</w:t>
      </w:r>
      <w:r>
        <w:rPr>
          <w:rFonts w:hint="default" w:ascii="Times New Roman" w:hAnsi="Times New Roman" w:eastAsia="方正小标宋简体" w:cs="Times New Roman"/>
          <w:color w:val="auto"/>
          <w:sz w:val="44"/>
          <w:szCs w:val="44"/>
          <w:highlight w:val="none"/>
          <w:lang w:val="en-US" w:eastAsia="zh-CN"/>
        </w:rPr>
        <w:t>农村社会经济调查队</w:t>
      </w:r>
    </w:p>
    <w:p>
      <w:pPr>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lang w:eastAsia="zh-CN"/>
        </w:rPr>
        <w:t>单位</w:t>
      </w:r>
      <w:r>
        <w:rPr>
          <w:rFonts w:hint="default" w:ascii="Times New Roman" w:hAnsi="Times New Roman" w:eastAsia="方正小标宋简体" w:cs="Times New Roman"/>
          <w:color w:val="auto"/>
          <w:sz w:val="44"/>
          <w:szCs w:val="44"/>
          <w:highlight w:val="none"/>
        </w:rPr>
        <w:t>决算</w:t>
      </w:r>
    </w:p>
    <w:p>
      <w:pPr>
        <w:jc w:val="center"/>
        <w:rPr>
          <w:rFonts w:hint="default" w:ascii="Times New Roman" w:hAnsi="Times New Roman" w:eastAsia="方正小标宋简体" w:cs="Times New Roman"/>
          <w:color w:val="auto"/>
          <w:sz w:val="44"/>
          <w:szCs w:val="44"/>
          <w:highlight w:val="none"/>
        </w:rPr>
      </w:pPr>
    </w:p>
    <w:p>
      <w:pPr>
        <w:jc w:val="center"/>
        <w:rPr>
          <w:rFonts w:hint="default" w:ascii="Times New Roman" w:hAnsi="Times New Roman" w:eastAsia="仿宋" w:cs="Times New Roman"/>
          <w:color w:val="auto"/>
          <w:sz w:val="44"/>
          <w:szCs w:val="44"/>
          <w:highlight w:val="none"/>
        </w:rPr>
      </w:pPr>
    </w:p>
    <w:p>
      <w:pPr>
        <w:jc w:val="center"/>
        <w:rPr>
          <w:rFonts w:hint="default" w:ascii="Times New Roman" w:hAnsi="Times New Roman" w:eastAsia="仿宋" w:cs="Times New Roman"/>
          <w:color w:val="auto"/>
          <w:sz w:val="44"/>
          <w:szCs w:val="44"/>
          <w:highlight w:val="none"/>
        </w:rPr>
      </w:pPr>
    </w:p>
    <w:p>
      <w:pPr>
        <w:jc w:val="center"/>
        <w:rPr>
          <w:rFonts w:hint="default" w:ascii="Times New Roman" w:hAnsi="Times New Roman" w:eastAsia="仿宋" w:cs="Times New Roman"/>
          <w:color w:val="auto"/>
          <w:sz w:val="44"/>
          <w:szCs w:val="44"/>
          <w:highlight w:val="none"/>
        </w:rPr>
      </w:pPr>
    </w:p>
    <w:p>
      <w:pPr>
        <w:jc w:val="center"/>
        <w:rPr>
          <w:rFonts w:hint="default" w:ascii="Times New Roman" w:hAnsi="Times New Roman" w:eastAsia="仿宋" w:cs="Times New Roman"/>
          <w:color w:val="auto"/>
          <w:sz w:val="44"/>
          <w:szCs w:val="44"/>
          <w:highlight w:val="none"/>
        </w:rPr>
      </w:pPr>
    </w:p>
    <w:p>
      <w:pPr>
        <w:jc w:val="center"/>
        <w:rPr>
          <w:rFonts w:hint="default" w:ascii="Times New Roman" w:hAnsi="Times New Roman" w:eastAsia="仿宋" w:cs="Times New Roman"/>
          <w:color w:val="auto"/>
          <w:sz w:val="44"/>
          <w:szCs w:val="44"/>
          <w:highlight w:val="none"/>
        </w:rPr>
      </w:pPr>
    </w:p>
    <w:p>
      <w:pPr>
        <w:jc w:val="center"/>
        <w:rPr>
          <w:rFonts w:hint="default" w:ascii="Times New Roman" w:hAnsi="Times New Roman" w:eastAsia="仿宋" w:cs="Times New Roman"/>
          <w:color w:val="auto"/>
          <w:sz w:val="44"/>
          <w:szCs w:val="44"/>
          <w:highlight w:val="none"/>
        </w:rPr>
      </w:pPr>
    </w:p>
    <w:p>
      <w:pPr>
        <w:jc w:val="center"/>
        <w:rPr>
          <w:rFonts w:hint="default" w:ascii="Times New Roman" w:hAnsi="Times New Roman" w:eastAsia="仿宋" w:cs="Times New Roman"/>
          <w:color w:val="auto"/>
          <w:sz w:val="44"/>
          <w:szCs w:val="44"/>
          <w:highlight w:val="none"/>
        </w:rPr>
      </w:pPr>
    </w:p>
    <w:p>
      <w:pPr>
        <w:jc w:val="center"/>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202</w:t>
      </w:r>
      <w:r>
        <w:rPr>
          <w:rFonts w:hint="default" w:ascii="Times New Roman" w:hAnsi="Times New Roman" w:eastAsia="仿宋" w:cs="Times New Roman"/>
          <w:color w:val="auto"/>
          <w:sz w:val="32"/>
          <w:szCs w:val="32"/>
          <w:highlight w:val="none"/>
          <w:lang w:val="en-US" w:eastAsia="zh-CN"/>
        </w:rPr>
        <w:t>6</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lang w:val="en-US" w:eastAsia="zh-CN"/>
        </w:rPr>
        <w:t>8</w:t>
      </w:r>
      <w:r>
        <w:rPr>
          <w:rFonts w:hint="default" w:ascii="Times New Roman" w:hAnsi="Times New Roman" w:eastAsia="仿宋" w:cs="Times New Roman"/>
          <w:color w:val="auto"/>
          <w:sz w:val="32"/>
          <w:szCs w:val="32"/>
          <w:highlight w:val="none"/>
        </w:rPr>
        <w:t>月</w:t>
      </w:r>
      <w:r>
        <w:rPr>
          <w:rFonts w:hint="default" w:ascii="Times New Roman" w:hAnsi="Times New Roman" w:eastAsia="仿宋" w:cs="Times New Roman"/>
          <w:color w:val="auto"/>
          <w:sz w:val="32"/>
          <w:szCs w:val="32"/>
          <w:highlight w:val="none"/>
          <w:lang w:val="en-US" w:eastAsia="zh-CN"/>
        </w:rPr>
        <w:t>31</w:t>
      </w:r>
      <w:r>
        <w:rPr>
          <w:rFonts w:hint="default" w:ascii="Times New Roman" w:hAnsi="Times New Roman" w:eastAsia="仿宋" w:cs="Times New Roman"/>
          <w:color w:val="auto"/>
          <w:sz w:val="32"/>
          <w:szCs w:val="32"/>
          <w:highlight w:val="none"/>
        </w:rPr>
        <w:t>日</w:t>
      </w:r>
    </w:p>
    <w:p>
      <w:pPr>
        <w:jc w:val="center"/>
        <w:rPr>
          <w:rFonts w:hint="default" w:ascii="Times New Roman" w:hAnsi="Times New Roman" w:eastAsia="仿宋" w:cs="Times New Roman"/>
          <w:color w:val="auto"/>
          <w:sz w:val="44"/>
          <w:szCs w:val="44"/>
          <w:highlight w:val="none"/>
        </w:rPr>
      </w:pPr>
    </w:p>
    <w:p>
      <w:pPr>
        <w:jc w:val="center"/>
        <w:rPr>
          <w:rFonts w:hint="default" w:ascii="Times New Roman" w:hAnsi="Times New Roman" w:eastAsia="仿宋" w:cs="Times New Roman"/>
          <w:color w:val="auto"/>
          <w:sz w:val="44"/>
          <w:szCs w:val="44"/>
          <w:highlight w:val="none"/>
        </w:rPr>
      </w:pPr>
    </w:p>
    <w:p>
      <w:pPr>
        <w:jc w:val="center"/>
        <w:rPr>
          <w:rFonts w:hint="default" w:ascii="Times New Roman" w:hAnsi="Times New Roman" w:eastAsia="仿宋" w:cs="Times New Roman"/>
          <w:color w:val="auto"/>
          <w:sz w:val="44"/>
          <w:szCs w:val="44"/>
          <w:highlight w:val="none"/>
        </w:rPr>
      </w:pPr>
    </w:p>
    <w:p>
      <w:pPr>
        <w:jc w:val="center"/>
        <w:rPr>
          <w:rFonts w:hint="default" w:ascii="Times New Roman" w:hAnsi="Times New Roman" w:eastAsia="仿宋" w:cs="Times New Roman"/>
          <w:color w:val="auto"/>
          <w:sz w:val="32"/>
          <w:highlight w:val="none"/>
        </w:rPr>
      </w:pPr>
    </w:p>
    <w:p>
      <w:pPr>
        <w:jc w:val="center"/>
        <w:rPr>
          <w:rFonts w:hint="default" w:ascii="Times New Roman" w:hAnsi="Times New Roman" w:eastAsia="仿宋" w:cs="Times New Roman"/>
          <w:color w:val="auto"/>
          <w:sz w:val="32"/>
          <w:highlight w:val="none"/>
        </w:rPr>
      </w:pPr>
    </w:p>
    <w:p>
      <w:pPr>
        <w:pStyle w:val="11"/>
        <w:rPr>
          <w:rFonts w:hint="default" w:ascii="Times New Roman" w:hAnsi="Times New Roman" w:eastAsia="仿宋" w:cs="Times New Roman"/>
          <w:color w:val="auto"/>
          <w:sz w:val="32"/>
          <w:highlight w:val="none"/>
        </w:rPr>
      </w:pPr>
    </w:p>
    <w:p>
      <w:pPr>
        <w:pStyle w:val="11"/>
        <w:rPr>
          <w:rFonts w:hint="default" w:ascii="Times New Roman" w:hAnsi="Times New Roman" w:cs="Times New Roman"/>
          <w:color w:val="auto"/>
          <w:highlight w:val="none"/>
        </w:rPr>
      </w:pPr>
    </w:p>
    <w:p>
      <w:pPr>
        <w:jc w:val="center"/>
        <w:rPr>
          <w:rFonts w:hint="default" w:ascii="Times New Roman" w:hAnsi="Times New Roman" w:eastAsia="方正小标宋简体" w:cs="Times New Roman"/>
          <w:color w:val="auto"/>
          <w:sz w:val="44"/>
          <w:highlight w:val="none"/>
        </w:rPr>
      </w:pPr>
      <w:r>
        <w:rPr>
          <w:rFonts w:hint="default" w:ascii="Times New Roman" w:hAnsi="Times New Roman" w:eastAsia="方正小标宋简体" w:cs="Times New Roman"/>
          <w:color w:val="auto"/>
          <w:sz w:val="44"/>
          <w:highlight w:val="none"/>
        </w:rPr>
        <w:t>目   录</w:t>
      </w:r>
    </w:p>
    <w:p>
      <w:pPr>
        <w:rPr>
          <w:rFonts w:hint="default" w:ascii="Times New Roman" w:hAnsi="Times New Roman" w:eastAsia="仿宋" w:cs="Times New Roman"/>
          <w:color w:val="auto"/>
          <w:sz w:val="32"/>
          <w:highlight w:val="none"/>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黑体" w:cs="Times New Roman"/>
          <w:b w:val="0"/>
          <w:bCs/>
          <w:color w:val="auto"/>
          <w:sz w:val="32"/>
          <w:highlight w:val="none"/>
        </w:rPr>
      </w:pPr>
      <w:r>
        <w:rPr>
          <w:rFonts w:hint="default" w:ascii="Times New Roman" w:hAnsi="Times New Roman" w:eastAsia="黑体" w:cs="Times New Roman"/>
          <w:b w:val="0"/>
          <w:bCs/>
          <w:color w:val="auto"/>
          <w:sz w:val="32"/>
          <w:highlight w:val="none"/>
        </w:rPr>
        <w:t xml:space="preserve">第一部分  </w:t>
      </w:r>
      <w:r>
        <w:rPr>
          <w:rFonts w:hint="default" w:ascii="Times New Roman" w:hAnsi="Times New Roman" w:eastAsia="黑体" w:cs="Times New Roman"/>
          <w:b w:val="0"/>
          <w:bCs/>
          <w:color w:val="auto"/>
          <w:sz w:val="32"/>
          <w:highlight w:val="none"/>
          <w:lang w:eastAsia="zh-CN"/>
        </w:rPr>
        <w:t>单位</w:t>
      </w:r>
      <w:r>
        <w:rPr>
          <w:rFonts w:hint="default" w:ascii="Times New Roman" w:hAnsi="Times New Roman" w:eastAsia="黑体" w:cs="Times New Roman"/>
          <w:b w:val="0"/>
          <w:bCs/>
          <w:color w:val="auto"/>
          <w:sz w:val="32"/>
          <w:highlight w:val="none"/>
        </w:rPr>
        <w:t>概况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一、</w:t>
      </w:r>
      <w:r>
        <w:rPr>
          <w:rFonts w:hint="default" w:ascii="Times New Roman" w:hAnsi="Times New Roman" w:eastAsia="仿宋" w:cs="Times New Roman"/>
          <w:color w:val="auto"/>
          <w:sz w:val="32"/>
          <w:highlight w:val="none"/>
          <w:lang w:eastAsia="zh-CN"/>
        </w:rPr>
        <w:t>单位</w:t>
      </w:r>
      <w:r>
        <w:rPr>
          <w:rFonts w:hint="default" w:ascii="Times New Roman" w:hAnsi="Times New Roman" w:eastAsia="仿宋" w:cs="Times New Roman"/>
          <w:color w:val="auto"/>
          <w:sz w:val="32"/>
          <w:highlight w:val="none"/>
        </w:rPr>
        <w:t>职责</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二、机构设置及</w:t>
      </w:r>
      <w:r>
        <w:rPr>
          <w:rFonts w:hint="default" w:ascii="Times New Roman" w:hAnsi="Times New Roman" w:eastAsia="仿宋" w:cs="Times New Roman"/>
          <w:color w:val="auto"/>
          <w:sz w:val="32"/>
          <w:highlight w:val="none"/>
          <w:lang w:eastAsia="zh-CN"/>
        </w:rPr>
        <w:t>单位</w:t>
      </w:r>
      <w:r>
        <w:rPr>
          <w:rFonts w:hint="default" w:ascii="Times New Roman" w:hAnsi="Times New Roman" w:eastAsia="仿宋" w:cs="Times New Roman"/>
          <w:color w:val="auto"/>
          <w:sz w:val="32"/>
          <w:highlight w:val="none"/>
        </w:rPr>
        <w:t>决算单位构成</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黑体" w:cs="Times New Roman"/>
          <w:b w:val="0"/>
          <w:bCs/>
          <w:color w:val="auto"/>
          <w:sz w:val="32"/>
          <w:highlight w:val="none"/>
        </w:rPr>
      </w:pPr>
      <w:r>
        <w:rPr>
          <w:rFonts w:hint="default" w:ascii="Times New Roman" w:hAnsi="Times New Roman" w:eastAsia="黑体" w:cs="Times New Roman"/>
          <w:b w:val="0"/>
          <w:bCs/>
          <w:color w:val="auto"/>
          <w:sz w:val="32"/>
          <w:highlight w:val="none"/>
        </w:rPr>
        <w:t>第二部分 202</w:t>
      </w:r>
      <w:r>
        <w:rPr>
          <w:rFonts w:hint="default" w:ascii="Times New Roman" w:hAnsi="Times New Roman" w:eastAsia="黑体" w:cs="Times New Roman"/>
          <w:b w:val="0"/>
          <w:bCs/>
          <w:color w:val="auto"/>
          <w:sz w:val="32"/>
          <w:highlight w:val="none"/>
          <w:lang w:val="en-US" w:eastAsia="zh-CN"/>
        </w:rPr>
        <w:t>5</w:t>
      </w:r>
      <w:r>
        <w:rPr>
          <w:rFonts w:hint="default" w:ascii="Times New Roman" w:hAnsi="Times New Roman" w:eastAsia="黑体" w:cs="Times New Roman"/>
          <w:b w:val="0"/>
          <w:bCs/>
          <w:color w:val="auto"/>
          <w:sz w:val="32"/>
          <w:highlight w:val="none"/>
        </w:rPr>
        <w:t>年度</w:t>
      </w:r>
      <w:r>
        <w:rPr>
          <w:rFonts w:hint="default" w:ascii="Times New Roman" w:hAnsi="Times New Roman" w:eastAsia="黑体" w:cs="Times New Roman"/>
          <w:b w:val="0"/>
          <w:bCs/>
          <w:color w:val="auto"/>
          <w:sz w:val="32"/>
          <w:highlight w:val="none"/>
          <w:lang w:eastAsia="zh-CN"/>
        </w:rPr>
        <w:t>单位</w:t>
      </w:r>
      <w:r>
        <w:rPr>
          <w:rFonts w:hint="default" w:ascii="Times New Roman" w:hAnsi="Times New Roman" w:eastAsia="黑体" w:cs="Times New Roman"/>
          <w:b w:val="0"/>
          <w:bCs/>
          <w:color w:val="auto"/>
          <w:sz w:val="32"/>
          <w:highlight w:val="none"/>
        </w:rPr>
        <w:t>决算表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一、收入支出决算总表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二、收入决算表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三、支出决算表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四、财政拨款收入支出决算总表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五、一般公共预算财政拨款支出决算表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六、一般公共预算财政拨款基本支出决算明细表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七、政府性基金预算财政拨款收入支出决算表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八、</w:t>
      </w:r>
      <w:r>
        <w:rPr>
          <w:rFonts w:hint="default" w:ascii="Times New Roman" w:hAnsi="Times New Roman" w:eastAsia="仿宋" w:cs="Times New Roman"/>
          <w:color w:val="auto"/>
          <w:sz w:val="32"/>
          <w:szCs w:val="30"/>
          <w:highlight w:val="none"/>
        </w:rPr>
        <w:t>国有资本经营预算财政拨款支出决算表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九、财政拨款“三公”经费支出决算表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十、</w:t>
      </w:r>
      <w:r>
        <w:rPr>
          <w:rFonts w:hint="default" w:ascii="Times New Roman" w:hAnsi="Times New Roman" w:eastAsia="仿宋" w:cs="Times New Roman"/>
          <w:color w:val="auto"/>
          <w:sz w:val="32"/>
          <w:highlight w:val="none"/>
          <w:lang w:eastAsia="zh-CN"/>
        </w:rPr>
        <w:t>单位</w:t>
      </w:r>
      <w:r>
        <w:rPr>
          <w:rFonts w:hint="default" w:ascii="Times New Roman" w:hAnsi="Times New Roman" w:eastAsia="仿宋" w:cs="Times New Roman"/>
          <w:color w:val="auto"/>
          <w:sz w:val="32"/>
          <w:highlight w:val="none"/>
        </w:rPr>
        <w:t>预算项目支出绩效自评表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黑体" w:cs="Times New Roman"/>
          <w:b w:val="0"/>
          <w:bCs/>
          <w:color w:val="auto"/>
          <w:sz w:val="32"/>
          <w:highlight w:val="none"/>
        </w:rPr>
      </w:pPr>
      <w:r>
        <w:rPr>
          <w:rFonts w:hint="default" w:ascii="Times New Roman" w:hAnsi="Times New Roman" w:eastAsia="黑体" w:cs="Times New Roman"/>
          <w:b w:val="0"/>
          <w:bCs/>
          <w:color w:val="auto"/>
          <w:sz w:val="32"/>
          <w:highlight w:val="none"/>
        </w:rPr>
        <w:t>第三部分  202</w:t>
      </w:r>
      <w:r>
        <w:rPr>
          <w:rFonts w:hint="default" w:ascii="Times New Roman" w:hAnsi="Times New Roman" w:eastAsia="黑体" w:cs="Times New Roman"/>
          <w:b w:val="0"/>
          <w:bCs/>
          <w:color w:val="auto"/>
          <w:sz w:val="32"/>
          <w:highlight w:val="none"/>
          <w:lang w:val="en-US" w:eastAsia="zh-CN"/>
        </w:rPr>
        <w:t>5</w:t>
      </w:r>
      <w:r>
        <w:rPr>
          <w:rFonts w:hint="default" w:ascii="Times New Roman" w:hAnsi="Times New Roman" w:eastAsia="黑体" w:cs="Times New Roman"/>
          <w:b w:val="0"/>
          <w:bCs/>
          <w:color w:val="auto"/>
          <w:sz w:val="32"/>
          <w:highlight w:val="none"/>
        </w:rPr>
        <w:t>年度</w:t>
      </w:r>
      <w:r>
        <w:rPr>
          <w:rFonts w:hint="default" w:ascii="Times New Roman" w:hAnsi="Times New Roman" w:eastAsia="黑体" w:cs="Times New Roman"/>
          <w:b w:val="0"/>
          <w:bCs/>
          <w:color w:val="auto"/>
          <w:sz w:val="32"/>
          <w:highlight w:val="none"/>
          <w:lang w:eastAsia="zh-CN"/>
        </w:rPr>
        <w:t>单位</w:t>
      </w:r>
      <w:r>
        <w:rPr>
          <w:rFonts w:hint="default" w:ascii="Times New Roman" w:hAnsi="Times New Roman" w:eastAsia="黑体" w:cs="Times New Roman"/>
          <w:b w:val="0"/>
          <w:bCs/>
          <w:color w:val="auto"/>
          <w:sz w:val="32"/>
          <w:highlight w:val="none"/>
        </w:rPr>
        <w:t>决算情况说明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一、收入支出决算总体情况说明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二、收入决算情况说明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三、支出决算情况说明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四、财政拨款收入支出决算总体情况说明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五、一般公共预算财政拨款支出决算情况说明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六、一般公共预算财政拨款基本支出决算情况说明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七、政府性基金预算财政拨款收入支出决算情况说明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szCs w:val="30"/>
          <w:highlight w:val="none"/>
        </w:rPr>
      </w:pPr>
      <w:r>
        <w:rPr>
          <w:rFonts w:hint="default" w:ascii="Times New Roman" w:hAnsi="Times New Roman" w:eastAsia="仿宋" w:cs="Times New Roman"/>
          <w:color w:val="auto"/>
          <w:sz w:val="32"/>
          <w:highlight w:val="none"/>
        </w:rPr>
        <w:t>八、</w:t>
      </w:r>
      <w:r>
        <w:rPr>
          <w:rFonts w:hint="default" w:ascii="Times New Roman" w:hAnsi="Times New Roman" w:eastAsia="仿宋" w:cs="Times New Roman"/>
          <w:color w:val="auto"/>
          <w:sz w:val="32"/>
          <w:szCs w:val="30"/>
          <w:highlight w:val="none"/>
        </w:rPr>
        <w:t>国有资本经营预算财政拨款支出决算情况说明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九、财政拨款“三公”经费支出决算情况说明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十、绩效评价情况说明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十一、其他重要事项情况说明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黑体" w:cs="Times New Roman"/>
          <w:b w:val="0"/>
          <w:bCs/>
          <w:color w:val="auto"/>
          <w:sz w:val="32"/>
          <w:highlight w:val="none"/>
        </w:rPr>
      </w:pPr>
      <w:r>
        <w:rPr>
          <w:rFonts w:hint="default" w:ascii="Times New Roman" w:hAnsi="Times New Roman" w:eastAsia="黑体" w:cs="Times New Roman"/>
          <w:b w:val="0"/>
          <w:bCs/>
          <w:color w:val="auto"/>
          <w:sz w:val="32"/>
          <w:highlight w:val="none"/>
        </w:rPr>
        <w:t>第四部分  名词解释</w:t>
      </w:r>
    </w:p>
    <w:p>
      <w:pPr>
        <w:rPr>
          <w:rFonts w:hint="default" w:ascii="Times New Roman" w:hAnsi="Times New Roman" w:eastAsia="仿宋" w:cs="Times New Roman"/>
          <w:color w:val="auto"/>
          <w:sz w:val="32"/>
          <w:highlight w:val="none"/>
        </w:rPr>
      </w:pPr>
    </w:p>
    <w:p>
      <w:pPr>
        <w:rPr>
          <w:rFonts w:hint="default" w:ascii="Times New Roman" w:hAnsi="Times New Roman" w:eastAsia="仿宋" w:cs="Times New Roman"/>
          <w:color w:val="auto"/>
          <w:sz w:val="32"/>
          <w:highlight w:val="none"/>
        </w:rPr>
      </w:pPr>
    </w:p>
    <w:p>
      <w:pPr>
        <w:rPr>
          <w:rFonts w:hint="default" w:ascii="Times New Roman" w:hAnsi="Times New Roman" w:eastAsia="仿宋" w:cs="Times New Roman"/>
          <w:color w:val="auto"/>
          <w:sz w:val="32"/>
          <w:highlight w:val="none"/>
        </w:rPr>
      </w:pPr>
    </w:p>
    <w:p>
      <w:pPr>
        <w:jc w:val="center"/>
        <w:rPr>
          <w:rFonts w:hint="default" w:ascii="Times New Roman" w:hAnsi="Times New Roman" w:eastAsia="仿宋" w:cs="Times New Roman"/>
          <w:color w:val="auto"/>
          <w:sz w:val="44"/>
          <w:highlight w:val="none"/>
        </w:rPr>
      </w:pPr>
    </w:p>
    <w:p>
      <w:pPr>
        <w:pStyle w:val="11"/>
        <w:rPr>
          <w:rFonts w:hint="default" w:ascii="Times New Roman" w:hAnsi="Times New Roman" w:eastAsia="仿宋" w:cs="Times New Roman"/>
          <w:color w:val="auto"/>
          <w:sz w:val="44"/>
          <w:highlight w:val="none"/>
        </w:rPr>
      </w:pPr>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ind w:firstLine="2200" w:firstLineChars="500"/>
        <w:rPr>
          <w:rFonts w:hint="default" w:ascii="Times New Roman" w:hAnsi="Times New Roman" w:eastAsia="方正小标宋简体" w:cs="Times New Roman"/>
          <w:color w:val="auto"/>
          <w:sz w:val="44"/>
          <w:highlight w:val="none"/>
        </w:rPr>
      </w:pPr>
      <w:r>
        <w:rPr>
          <w:rFonts w:hint="default" w:ascii="Times New Roman" w:hAnsi="Times New Roman" w:eastAsia="方正小标宋简体" w:cs="Times New Roman"/>
          <w:color w:val="auto"/>
          <w:sz w:val="44"/>
          <w:highlight w:val="none"/>
        </w:rPr>
        <w:t xml:space="preserve">第一部分  </w:t>
      </w:r>
      <w:r>
        <w:rPr>
          <w:rFonts w:hint="default" w:ascii="Times New Roman" w:hAnsi="Times New Roman" w:eastAsia="方正小标宋简体" w:cs="Times New Roman"/>
          <w:color w:val="auto"/>
          <w:sz w:val="44"/>
          <w:highlight w:val="none"/>
          <w:lang w:eastAsia="zh-CN"/>
        </w:rPr>
        <w:t>单位</w:t>
      </w:r>
      <w:r>
        <w:rPr>
          <w:rFonts w:hint="default" w:ascii="Times New Roman" w:hAnsi="Times New Roman" w:eastAsia="方正小标宋简体" w:cs="Times New Roman"/>
          <w:color w:val="auto"/>
          <w:sz w:val="44"/>
          <w:highlight w:val="none"/>
        </w:rPr>
        <w:t>概况</w:t>
      </w:r>
    </w:p>
    <w:p>
      <w:pPr>
        <w:jc w:val="center"/>
        <w:rPr>
          <w:rFonts w:hint="default" w:ascii="Times New Roman" w:hAnsi="Times New Roman" w:eastAsia="仿宋" w:cs="Times New Roman"/>
          <w:color w:val="auto"/>
          <w:sz w:val="32"/>
          <w:highlight w:val="none"/>
        </w:rPr>
      </w:pPr>
    </w:p>
    <w:p>
      <w:pPr>
        <w:ind w:firstLine="720" w:firstLineChars="225"/>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一、</w:t>
      </w:r>
      <w:r>
        <w:rPr>
          <w:rFonts w:hint="default" w:ascii="Times New Roman" w:hAnsi="Times New Roman" w:eastAsia="黑体" w:cs="Times New Roman"/>
          <w:color w:val="auto"/>
          <w:sz w:val="32"/>
          <w:highlight w:val="none"/>
          <w:lang w:eastAsia="zh-CN"/>
        </w:rPr>
        <w:t>单位</w:t>
      </w:r>
      <w:r>
        <w:rPr>
          <w:rFonts w:hint="default" w:ascii="Times New Roman" w:hAnsi="Times New Roman" w:eastAsia="黑体" w:cs="Times New Roman"/>
          <w:color w:val="auto"/>
          <w:sz w:val="32"/>
          <w:highlight w:val="none"/>
        </w:rPr>
        <w:t>主要职责</w:t>
      </w:r>
    </w:p>
    <w:p>
      <w:pPr>
        <w:numPr>
          <w:ilvl w:val="0"/>
          <w:numId w:val="0"/>
        </w:numPr>
        <w:ind w:firstLine="640" w:firstLineChars="200"/>
        <w:rPr>
          <w:rFonts w:hint="default" w:ascii="Times New Roman" w:hAnsi="Times New Roman" w:eastAsia="方正仿宋_GBK" w:cs="Times New Roman"/>
          <w:color w:val="auto"/>
          <w:sz w:val="32"/>
          <w:highlight w:val="none"/>
        </w:rPr>
      </w:pPr>
      <w:r>
        <w:rPr>
          <w:rFonts w:hint="default" w:ascii="Times New Roman" w:hAnsi="Times New Roman" w:eastAsia="方正仿宋_GBK" w:cs="Times New Roman"/>
          <w:bCs/>
          <w:color w:val="auto"/>
          <w:sz w:val="32"/>
          <w:szCs w:val="32"/>
          <w:highlight w:val="none"/>
        </w:rPr>
        <w:t>伊通满族自治县农村社会经济调查队职责是根据农村抽样调查资料实事求是地反映农民的生产和生活情况，为党政领导决策服务。贯彻执行国家有关统计工作的方针政策，组织实施农村住户、农产量、农村社会经济基本情况等有关调查，为政府决策提供城市社会经济信息等。</w:t>
      </w:r>
    </w:p>
    <w:p>
      <w:pPr>
        <w:ind w:firstLine="640" w:firstLineChars="200"/>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二、机构设置及</w:t>
      </w:r>
      <w:r>
        <w:rPr>
          <w:rFonts w:hint="default" w:ascii="Times New Roman" w:hAnsi="Times New Roman" w:eastAsia="黑体" w:cs="Times New Roman"/>
          <w:color w:val="auto"/>
          <w:sz w:val="32"/>
          <w:highlight w:val="none"/>
          <w:lang w:eastAsia="zh-CN"/>
        </w:rPr>
        <w:t>单位</w:t>
      </w:r>
      <w:r>
        <w:rPr>
          <w:rFonts w:hint="default" w:ascii="Times New Roman" w:hAnsi="Times New Roman" w:eastAsia="黑体" w:cs="Times New Roman"/>
          <w:color w:val="auto"/>
          <w:sz w:val="32"/>
          <w:highlight w:val="none"/>
        </w:rPr>
        <w:t>决算单位构成</w:t>
      </w:r>
    </w:p>
    <w:p>
      <w:pPr>
        <w:pStyle w:val="68"/>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根据上述职责，伊通满族自治县农村社会经济调查队无内设机构。</w:t>
      </w:r>
      <w:r>
        <w:rPr>
          <w:rFonts w:hint="default" w:ascii="Times New Roman" w:hAnsi="Times New Roman" w:eastAsia="宋体" w:cs="Times New Roman"/>
          <w:color w:val="auto"/>
          <w:sz w:val="32"/>
          <w:szCs w:val="32"/>
          <w:highlight w:val="none"/>
        </w:rPr>
        <w:t>202</w:t>
      </w:r>
      <w:r>
        <w:rPr>
          <w:rFonts w:hint="default" w:ascii="Times New Roman" w:hAnsi="Times New Roman"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rPr>
        <w:t>年度单位决算编制范围中无下设单位。</w:t>
      </w:r>
    </w:p>
    <w:p>
      <w:pPr>
        <w:ind w:firstLine="640" w:firstLineChars="200"/>
        <w:jc w:val="both"/>
        <w:rPr>
          <w:rFonts w:hint="default" w:ascii="Times New Roman" w:hAnsi="Times New Roman" w:eastAsia="仿宋_GB2312" w:cs="Times New Roman"/>
          <w:color w:val="auto"/>
          <w:sz w:val="32"/>
          <w:szCs w:val="32"/>
          <w:highlight w:val="none"/>
        </w:rPr>
      </w:pPr>
    </w:p>
    <w:p>
      <w:pPr>
        <w:ind w:firstLine="880" w:firstLineChars="200"/>
        <w:jc w:val="both"/>
        <w:rPr>
          <w:rFonts w:hint="default" w:ascii="Times New Roman" w:hAnsi="Times New Roman" w:eastAsia="仿宋_GB2312" w:cs="Times New Roman"/>
          <w:color w:val="auto"/>
          <w:sz w:val="44"/>
          <w:highlight w:val="none"/>
        </w:rPr>
      </w:pPr>
    </w:p>
    <w:p>
      <w:pPr>
        <w:ind w:firstLine="640" w:firstLineChars="200"/>
        <w:jc w:val="left"/>
        <w:rPr>
          <w:rFonts w:hint="default" w:ascii="Times New Roman" w:hAnsi="Times New Roman" w:eastAsia="方正仿宋_GBK" w:cs="Times New Roman"/>
          <w:color w:val="auto"/>
          <w:sz w:val="32"/>
          <w:highlight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jc w:val="center"/>
        <w:rPr>
          <w:rFonts w:hint="default" w:ascii="Times New Roman" w:hAnsi="Times New Roman" w:eastAsia="方正小标宋简体" w:cs="Times New Roman"/>
          <w:color w:val="auto"/>
          <w:sz w:val="44"/>
          <w:highlight w:val="none"/>
        </w:rPr>
      </w:pPr>
      <w:r>
        <w:rPr>
          <w:rFonts w:hint="default" w:ascii="Times New Roman" w:hAnsi="Times New Roman" w:eastAsia="方正小标宋简体" w:cs="Times New Roman"/>
          <w:color w:val="auto"/>
          <w:sz w:val="44"/>
          <w:highlight w:val="none"/>
        </w:rPr>
        <w:t>第二部分 202</w:t>
      </w:r>
      <w:r>
        <w:rPr>
          <w:rFonts w:hint="default" w:ascii="Times New Roman" w:hAnsi="Times New Roman" w:eastAsia="方正小标宋简体" w:cs="Times New Roman"/>
          <w:color w:val="auto"/>
          <w:sz w:val="44"/>
          <w:highlight w:val="none"/>
          <w:lang w:val="en-US" w:eastAsia="zh-CN"/>
        </w:rPr>
        <w:t>5</w:t>
      </w:r>
      <w:r>
        <w:rPr>
          <w:rFonts w:hint="default" w:ascii="Times New Roman" w:hAnsi="Times New Roman" w:eastAsia="方正小标宋简体" w:cs="Times New Roman"/>
          <w:color w:val="auto"/>
          <w:sz w:val="44"/>
          <w:highlight w:val="none"/>
        </w:rPr>
        <w:t>年度</w:t>
      </w:r>
      <w:r>
        <w:rPr>
          <w:rFonts w:hint="default" w:ascii="Times New Roman" w:hAnsi="Times New Roman" w:eastAsia="方正小标宋简体" w:cs="Times New Roman"/>
          <w:color w:val="auto"/>
          <w:sz w:val="44"/>
          <w:highlight w:val="none"/>
          <w:lang w:eastAsia="zh-CN"/>
        </w:rPr>
        <w:t>单位</w:t>
      </w:r>
      <w:r>
        <w:rPr>
          <w:rFonts w:hint="default" w:ascii="Times New Roman" w:hAnsi="Times New Roman" w:eastAsia="方正小标宋简体" w:cs="Times New Roman"/>
          <w:color w:val="auto"/>
          <w:sz w:val="44"/>
          <w:highlight w:val="none"/>
        </w:rPr>
        <w:t>决算表</w:t>
      </w:r>
    </w:p>
    <w:tbl>
      <w:tblPr>
        <w:tblStyle w:val="12"/>
        <w:tblpPr w:leftFromText="180" w:rightFromText="180" w:vertAnchor="text" w:horzAnchor="page" w:tblpX="1866" w:tblpY="979"/>
        <w:tblOverlap w:val="never"/>
        <w:tblW w:w="138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21"/>
        <w:gridCol w:w="773"/>
        <w:gridCol w:w="1489"/>
        <w:gridCol w:w="3991"/>
        <w:gridCol w:w="902"/>
        <w:gridCol w:w="16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jc w:val="center"/>
        </w:trPr>
        <w:tc>
          <w:tcPr>
            <w:tcW w:w="13800" w:type="dxa"/>
            <w:gridSpan w:val="6"/>
            <w:tcBorders>
              <w:top w:val="nil"/>
              <w:left w:val="nil"/>
              <w:bottom w:val="nil"/>
              <w:right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32"/>
                <w:szCs w:val="32"/>
                <w:highlight w:val="none"/>
                <w:u w:val="none"/>
              </w:rPr>
            </w:pPr>
            <w:r>
              <w:rPr>
                <w:rFonts w:hint="default" w:ascii="Times New Roman" w:hAnsi="Times New Roman" w:eastAsia="宋体" w:cs="Times New Roman"/>
                <w:b w:val="0"/>
                <w:bCs w:val="0"/>
                <w:i w:val="0"/>
                <w:iCs w:val="0"/>
                <w:color w:val="auto"/>
                <w:kern w:val="0"/>
                <w:sz w:val="32"/>
                <w:szCs w:val="32"/>
                <w:highlight w:val="none"/>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5021"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773"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489"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02"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624"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502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w:t>
            </w:r>
            <w:r>
              <w:rPr>
                <w:rFonts w:hint="default" w:ascii="Times New Roman" w:hAnsi="Times New Roman" w:cs="Times New Roman"/>
                <w:i w:val="0"/>
                <w:iCs w:val="0"/>
                <w:color w:val="auto"/>
                <w:kern w:val="0"/>
                <w:sz w:val="22"/>
                <w:szCs w:val="22"/>
                <w:highlight w:val="none"/>
                <w:u w:val="none"/>
                <w:lang w:val="en-US" w:eastAsia="zh-CN" w:bidi="ar"/>
              </w:rPr>
              <w:t>伊通满族自治县农村社会经济调查队</w:t>
            </w:r>
          </w:p>
        </w:tc>
        <w:tc>
          <w:tcPr>
            <w:tcW w:w="773"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489"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02"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624"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7283"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收入</w:t>
            </w:r>
          </w:p>
        </w:tc>
        <w:tc>
          <w:tcPr>
            <w:tcW w:w="6517"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    目</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行次</w:t>
            </w:r>
          </w:p>
        </w:tc>
        <w:tc>
          <w:tcPr>
            <w:tcW w:w="14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c>
          <w:tcPr>
            <w:tcW w:w="39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    目</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行次</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栏    次</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4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39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栏    次</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一、一般公共预算财政拨款收入</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lang w:val="en-US"/>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93.49 </w:t>
            </w:r>
          </w:p>
        </w:tc>
        <w:tc>
          <w:tcPr>
            <w:tcW w:w="39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一、一般公共服务支出</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14</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cs="Times New Roman"/>
                <w:i w:val="0"/>
                <w:iCs w:val="0"/>
                <w:color w:val="auto"/>
                <w:kern w:val="0"/>
                <w:sz w:val="22"/>
                <w:szCs w:val="22"/>
                <w:highlight w:val="none"/>
                <w:u w:val="none"/>
                <w:lang w:val="en-US" w:eastAsia="zh-CN" w:bidi="ar"/>
              </w:rPr>
              <w:t>85.73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二、政府性基金预算财政拨款收入</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二、社会保障和就业支出</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15</w:t>
            </w:r>
          </w:p>
        </w:tc>
        <w:tc>
          <w:tcPr>
            <w:tcW w:w="162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lang w:val="en-US"/>
              </w:rPr>
            </w:pPr>
            <w:r>
              <w:rPr>
                <w:rFonts w:hint="default" w:ascii="Times New Roman" w:hAnsi="Times New Roman" w:cs="Times New Roman"/>
                <w:i w:val="0"/>
                <w:iCs w:val="0"/>
                <w:color w:val="auto"/>
                <w:kern w:val="0"/>
                <w:sz w:val="22"/>
                <w:szCs w:val="22"/>
                <w:highlight w:val="none"/>
                <w:u w:val="none"/>
                <w:lang w:val="en-US" w:eastAsia="zh-CN" w:bidi="ar"/>
              </w:rPr>
              <w:t>8.17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三、国有资本经营预算财政拨款收入</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三、卫生健康支出</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16</w:t>
            </w:r>
          </w:p>
        </w:tc>
        <w:tc>
          <w:tcPr>
            <w:tcW w:w="162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lang w:val="en-US"/>
              </w:rPr>
            </w:pPr>
            <w:r>
              <w:rPr>
                <w:rFonts w:hint="default" w:ascii="Times New Roman" w:hAnsi="Times New Roman" w:cs="Times New Roman"/>
                <w:i w:val="0"/>
                <w:iCs w:val="0"/>
                <w:color w:val="auto"/>
                <w:kern w:val="0"/>
                <w:sz w:val="22"/>
                <w:szCs w:val="22"/>
                <w:highlight w:val="none"/>
                <w:u w:val="none"/>
                <w:lang w:val="en-US" w:eastAsia="zh-CN" w:bidi="ar"/>
              </w:rPr>
              <w:t>1.76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四、上级补助收入</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四、住房保障支出</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w:t>
            </w:r>
          </w:p>
        </w:tc>
        <w:tc>
          <w:tcPr>
            <w:tcW w:w="16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cs="Times New Roman"/>
                <w:i w:val="0"/>
                <w:iCs w:val="0"/>
                <w:color w:val="auto"/>
                <w:kern w:val="0"/>
                <w:sz w:val="22"/>
                <w:szCs w:val="22"/>
                <w:highlight w:val="none"/>
                <w:u w:val="none"/>
                <w:lang w:val="en-US" w:eastAsia="zh-CN" w:bidi="ar"/>
              </w:rPr>
              <w:t>3.81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五、事业收入</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default" w:ascii="Times New Roman" w:hAnsi="Times New Roman" w:eastAsia="宋体" w:cs="Times New Roman"/>
                <w:i w:val="0"/>
                <w:iCs w:val="0"/>
                <w:color w:val="auto"/>
                <w:sz w:val="22"/>
                <w:szCs w:val="22"/>
                <w:highlight w:val="none"/>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18</w:t>
            </w:r>
          </w:p>
        </w:tc>
        <w:tc>
          <w:tcPr>
            <w:tcW w:w="1624"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六、经营收入</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default" w:ascii="Times New Roman" w:hAnsi="Times New Roman" w:eastAsia="宋体" w:cs="Times New Roman"/>
                <w:i w:val="0"/>
                <w:iCs w:val="0"/>
                <w:color w:val="auto"/>
                <w:sz w:val="22"/>
                <w:szCs w:val="22"/>
                <w:highlight w:val="none"/>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19</w:t>
            </w:r>
          </w:p>
        </w:tc>
        <w:tc>
          <w:tcPr>
            <w:tcW w:w="1624"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七、附属单位上缴收入</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7</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Times New Roman" w:hAnsi="Times New Roman" w:eastAsia="宋体" w:cs="Times New Roman"/>
                <w:i w:val="0"/>
                <w:iCs w:val="0"/>
                <w:color w:val="auto"/>
                <w:sz w:val="22"/>
                <w:szCs w:val="22"/>
                <w:highlight w:val="none"/>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w:t>
            </w:r>
          </w:p>
        </w:tc>
        <w:tc>
          <w:tcPr>
            <w:tcW w:w="1624"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八、其他收入</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8</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lang w:val="en-US"/>
              </w:rPr>
            </w:pPr>
            <w:r>
              <w:rPr>
                <w:rFonts w:hint="default" w:ascii="Times New Roman" w:hAnsi="Times New Roman" w:cs="Times New Roman"/>
                <w:i w:val="0"/>
                <w:iCs w:val="0"/>
                <w:color w:val="auto"/>
                <w:kern w:val="0"/>
                <w:sz w:val="22"/>
                <w:szCs w:val="22"/>
                <w:highlight w:val="none"/>
                <w:u w:val="none"/>
                <w:lang w:val="en-US" w:eastAsia="zh-CN" w:bidi="ar"/>
              </w:rPr>
              <w:t>9.97</w:t>
            </w:r>
          </w:p>
        </w:tc>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Times New Roman" w:hAnsi="Times New Roman" w:eastAsia="宋体" w:cs="Times New Roman"/>
                <w:i w:val="0"/>
                <w:iCs w:val="0"/>
                <w:color w:val="auto"/>
                <w:sz w:val="22"/>
                <w:szCs w:val="22"/>
                <w:highlight w:val="none"/>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21</w:t>
            </w:r>
          </w:p>
        </w:tc>
        <w:tc>
          <w:tcPr>
            <w:tcW w:w="1624"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9</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22</w:t>
            </w:r>
          </w:p>
        </w:tc>
        <w:tc>
          <w:tcPr>
            <w:tcW w:w="1624"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本年收入合计</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103.47 </w:t>
            </w:r>
          </w:p>
        </w:tc>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本年支出合计</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23</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99.48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使用非财政拨款结余（含专用结余）</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11</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结余分配</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24</w:t>
            </w:r>
          </w:p>
        </w:tc>
        <w:tc>
          <w:tcPr>
            <w:tcW w:w="1624"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年初结转和结余</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12</w:t>
            </w:r>
          </w:p>
        </w:tc>
        <w:tc>
          <w:tcPr>
            <w:tcW w:w="148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lang w:val="en-US"/>
              </w:rPr>
            </w:pPr>
          </w:p>
        </w:tc>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年末结转和结余</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25</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0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总计</w:t>
            </w:r>
          </w:p>
        </w:tc>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13</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103.47 </w:t>
            </w:r>
          </w:p>
        </w:tc>
        <w:tc>
          <w:tcPr>
            <w:tcW w:w="39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总计</w:t>
            </w:r>
          </w:p>
        </w:tc>
        <w:tc>
          <w:tcPr>
            <w:tcW w:w="9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26</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103.47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jc w:val="center"/>
        </w:trPr>
        <w:tc>
          <w:tcPr>
            <w:tcW w:w="13800" w:type="dxa"/>
            <w:gridSpan w:val="6"/>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注：1.本表反映单位本年度的总收支和年末结转结余情况。</w:t>
            </w:r>
            <w:r>
              <w:rPr>
                <w:rFonts w:hint="default" w:ascii="Times New Roman" w:hAnsi="Times New Roman" w:eastAsia="宋体" w:cs="Times New Roman"/>
                <w:i w:val="0"/>
                <w:iCs w:val="0"/>
                <w:color w:val="auto"/>
                <w:kern w:val="0"/>
                <w:sz w:val="22"/>
                <w:szCs w:val="22"/>
                <w:highlight w:val="none"/>
                <w:u w:val="none"/>
                <w:lang w:val="en-US" w:eastAsia="zh-CN" w:bidi="ar"/>
              </w:rPr>
              <w:br w:type="textWrapping"/>
            </w:r>
            <w:r>
              <w:rPr>
                <w:rFonts w:hint="default" w:ascii="Times New Roman" w:hAnsi="Times New Roman" w:eastAsia="宋体" w:cs="Times New Roman"/>
                <w:i w:val="0"/>
                <w:iCs w:val="0"/>
                <w:color w:val="auto"/>
                <w:kern w:val="0"/>
                <w:sz w:val="22"/>
                <w:szCs w:val="22"/>
                <w:highlight w:val="none"/>
                <w:u w:val="none"/>
                <w:lang w:val="en-US" w:eastAsia="zh-CN" w:bidi="ar"/>
              </w:rPr>
              <w:t xml:space="preserve">    2.本套报表金额单位转换时可能存在尾数误差。</w:t>
            </w:r>
          </w:p>
        </w:tc>
      </w:tr>
    </w:tbl>
    <w:p>
      <w:pPr>
        <w:numPr>
          <w:ilvl w:val="0"/>
          <w:numId w:val="1"/>
        </w:numPr>
        <w:ind w:firstLine="640" w:firstLineChars="200"/>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收入支出决算总表</w:t>
      </w:r>
    </w:p>
    <w:tbl>
      <w:tblPr>
        <w:tblStyle w:val="12"/>
        <w:tblpPr w:leftFromText="180" w:rightFromText="180" w:vertAnchor="text" w:horzAnchor="page" w:tblpX="1680" w:tblpY="724"/>
        <w:tblOverlap w:val="never"/>
        <w:tblW w:w="13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54"/>
        <w:gridCol w:w="4232"/>
        <w:gridCol w:w="1121"/>
        <w:gridCol w:w="1237"/>
        <w:gridCol w:w="1121"/>
        <w:gridCol w:w="1221"/>
        <w:gridCol w:w="1104"/>
        <w:gridCol w:w="1180"/>
        <w:gridCol w:w="14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780" w:type="dxa"/>
            <w:gridSpan w:val="9"/>
            <w:tcBorders>
              <w:top w:val="nil"/>
              <w:left w:val="nil"/>
              <w:bottom w:val="nil"/>
              <w:right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32"/>
                <w:szCs w:val="32"/>
                <w:highlight w:val="none"/>
                <w:u w:val="none"/>
              </w:rPr>
            </w:pPr>
            <w:r>
              <w:rPr>
                <w:rFonts w:hint="default" w:ascii="Times New Roman" w:hAnsi="Times New Roman" w:eastAsia="宋体" w:cs="Times New Roman"/>
                <w:i w:val="0"/>
                <w:iCs w:val="0"/>
                <w:color w:val="auto"/>
                <w:kern w:val="0"/>
                <w:sz w:val="32"/>
                <w:szCs w:val="32"/>
                <w:highlight w:val="none"/>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jc w:val="center"/>
        </w:trPr>
        <w:tc>
          <w:tcPr>
            <w:tcW w:w="1154"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4232"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121"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237"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121"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221"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104"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180"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410"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jc w:val="center"/>
        </w:trPr>
        <w:tc>
          <w:tcPr>
            <w:tcW w:w="5386" w:type="dxa"/>
            <w:gridSpan w:val="2"/>
            <w:tcBorders>
              <w:top w:val="nil"/>
              <w:left w:val="nil"/>
              <w:bottom w:val="nil"/>
              <w:right w:val="nil"/>
            </w:tcBorders>
            <w:shd w:val="clear" w:color="auto" w:fill="FFFFFF"/>
            <w:noWrap/>
            <w:vAlign w:val="center"/>
          </w:tcPr>
          <w:p>
            <w:pPr>
              <w:jc w:val="left"/>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w:t>
            </w:r>
            <w:r>
              <w:rPr>
                <w:rFonts w:hint="default" w:ascii="Times New Roman" w:hAnsi="Times New Roman" w:cs="Times New Roman"/>
                <w:i w:val="0"/>
                <w:iCs w:val="0"/>
                <w:color w:val="auto"/>
                <w:kern w:val="0"/>
                <w:sz w:val="22"/>
                <w:szCs w:val="22"/>
                <w:highlight w:val="none"/>
                <w:u w:val="none"/>
                <w:lang w:val="en-US" w:eastAsia="zh-CN" w:bidi="ar"/>
              </w:rPr>
              <w:t>伊通满族自治县农村社会经济调查队</w:t>
            </w:r>
          </w:p>
        </w:tc>
        <w:tc>
          <w:tcPr>
            <w:tcW w:w="1121"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237"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121" w:type="dxa"/>
            <w:tcBorders>
              <w:top w:val="nil"/>
              <w:left w:val="nil"/>
              <w:bottom w:val="nil"/>
              <w:right w:val="nil"/>
            </w:tcBorders>
            <w:shd w:val="clear" w:color="auto" w:fill="FFFFFF"/>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21"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104"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180"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410"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538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    目</w:t>
            </w:r>
          </w:p>
        </w:tc>
        <w:tc>
          <w:tcPr>
            <w:tcW w:w="112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本年收入合计</w:t>
            </w:r>
          </w:p>
        </w:tc>
        <w:tc>
          <w:tcPr>
            <w:tcW w:w="123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财政拨款收入</w:t>
            </w:r>
          </w:p>
        </w:tc>
        <w:tc>
          <w:tcPr>
            <w:tcW w:w="112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上级补助收入</w:t>
            </w:r>
          </w:p>
        </w:tc>
        <w:tc>
          <w:tcPr>
            <w:tcW w:w="122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事业收入</w:t>
            </w:r>
          </w:p>
        </w:tc>
        <w:tc>
          <w:tcPr>
            <w:tcW w:w="110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经营收入</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附属单位上缴收入</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科目代码</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3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538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栏次</w:t>
            </w:r>
          </w:p>
        </w:tc>
        <w:tc>
          <w:tcPr>
            <w:tcW w:w="11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12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11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p>
        </w:tc>
        <w:tc>
          <w:tcPr>
            <w:tcW w:w="11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11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538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合计</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 xml:space="preserve">103.47 </w:t>
            </w:r>
          </w:p>
        </w:tc>
        <w:tc>
          <w:tcPr>
            <w:tcW w:w="123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 xml:space="preserve">93.49 </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 xml:space="preserve">9.97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201</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一般公共服务支出</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89.72 </w:t>
            </w:r>
          </w:p>
        </w:tc>
        <w:tc>
          <w:tcPr>
            <w:tcW w:w="123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79.75 </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9.97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20105</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统计信息事务</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89.72 </w:t>
            </w:r>
          </w:p>
        </w:tc>
        <w:tc>
          <w:tcPr>
            <w:tcW w:w="123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79.75 </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9.97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2010501</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行政运行</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45.51 </w:t>
            </w:r>
          </w:p>
        </w:tc>
        <w:tc>
          <w:tcPr>
            <w:tcW w:w="123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45.51 </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2010508</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统计抽样调查</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44.21 </w:t>
            </w:r>
          </w:p>
        </w:tc>
        <w:tc>
          <w:tcPr>
            <w:tcW w:w="123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34.24 </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9.97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208</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社会保障和就业支出</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8.17 </w:t>
            </w:r>
          </w:p>
        </w:tc>
        <w:tc>
          <w:tcPr>
            <w:tcW w:w="123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8.17 </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20805</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行政事业单位养老支出</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8.17 </w:t>
            </w:r>
          </w:p>
        </w:tc>
        <w:tc>
          <w:tcPr>
            <w:tcW w:w="123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8.17 </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2080501</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行政单位离退休</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3.35 </w:t>
            </w:r>
          </w:p>
        </w:tc>
        <w:tc>
          <w:tcPr>
            <w:tcW w:w="123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3.35 </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2080505</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机关事业单位基本养老保险缴费支出</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4.82 </w:t>
            </w:r>
          </w:p>
        </w:tc>
        <w:tc>
          <w:tcPr>
            <w:tcW w:w="123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4.82 </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210</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卫生健康支出</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123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21011</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行政事业单位医疗</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123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1121"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2101101</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行政单位医疗</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123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1121"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221</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住房保障支出</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3.81 </w:t>
            </w:r>
          </w:p>
        </w:tc>
        <w:tc>
          <w:tcPr>
            <w:tcW w:w="123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3.81 </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22102</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住房改革支出</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3.81 </w:t>
            </w:r>
          </w:p>
        </w:tc>
        <w:tc>
          <w:tcPr>
            <w:tcW w:w="123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3.81 </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2210201</w:t>
            </w:r>
          </w:p>
        </w:tc>
        <w:tc>
          <w:tcPr>
            <w:tcW w:w="4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住房公积金</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3.81 </w:t>
            </w:r>
          </w:p>
        </w:tc>
        <w:tc>
          <w:tcPr>
            <w:tcW w:w="123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3.81 </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22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04"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18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3780" w:type="dxa"/>
            <w:gridSpan w:val="9"/>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注：本表反映单位本年度取得的各项收入情况。</w:t>
            </w:r>
          </w:p>
        </w:tc>
      </w:tr>
    </w:tbl>
    <w:p>
      <w:pPr>
        <w:ind w:firstLine="640" w:firstLineChars="200"/>
        <w:rPr>
          <w:rFonts w:hint="default" w:ascii="Times New Roman" w:hAnsi="Times New Roman" w:eastAsia="黑体" w:cs="Times New Roman"/>
          <w:color w:val="auto"/>
          <w:sz w:val="32"/>
          <w:highlight w:val="none"/>
        </w:rPr>
      </w:pPr>
      <w:r>
        <w:rPr>
          <w:rFonts w:hint="default" w:ascii="Times New Roman" w:hAnsi="Times New Roman" w:eastAsia="黑体" w:cs="Times New Roman"/>
          <w:b w:val="0"/>
          <w:bCs w:val="0"/>
          <w:color w:val="auto"/>
          <w:sz w:val="32"/>
          <w:highlight w:val="none"/>
        </w:rPr>
        <w:t>二、收入决算表</w:t>
      </w:r>
    </w:p>
    <w:p>
      <w:pPr>
        <w:ind w:firstLine="640" w:firstLineChars="200"/>
        <w:rPr>
          <w:rFonts w:hint="default" w:ascii="Times New Roman" w:hAnsi="Times New Roman" w:eastAsia="黑体" w:cs="Times New Roman"/>
          <w:color w:val="auto"/>
          <w:sz w:val="32"/>
          <w:highlight w:val="none"/>
        </w:rPr>
      </w:pPr>
    </w:p>
    <w:p>
      <w:pPr>
        <w:ind w:firstLine="640" w:firstLineChars="200"/>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三、支出决算表</w:t>
      </w:r>
    </w:p>
    <w:tbl>
      <w:tblPr>
        <w:tblStyle w:val="12"/>
        <w:tblW w:w="1408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1"/>
        <w:gridCol w:w="3994"/>
        <w:gridCol w:w="1714"/>
        <w:gridCol w:w="1744"/>
        <w:gridCol w:w="1744"/>
        <w:gridCol w:w="1216"/>
        <w:gridCol w:w="1172"/>
        <w:gridCol w:w="13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4080" w:type="dxa"/>
            <w:gridSpan w:val="8"/>
            <w:tcBorders>
              <w:top w:val="nil"/>
              <w:left w:val="nil"/>
              <w:bottom w:val="nil"/>
              <w:right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32"/>
                <w:szCs w:val="32"/>
                <w:highlight w:val="none"/>
                <w:u w:val="none"/>
              </w:rPr>
            </w:pPr>
            <w:r>
              <w:rPr>
                <w:rFonts w:hint="default" w:ascii="Times New Roman" w:hAnsi="Times New Roman" w:eastAsia="宋体" w:cs="Times New Roman"/>
                <w:i w:val="0"/>
                <w:iCs w:val="0"/>
                <w:color w:val="auto"/>
                <w:kern w:val="0"/>
                <w:sz w:val="32"/>
                <w:szCs w:val="32"/>
                <w:highlight w:val="none"/>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0" w:type="auto"/>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0" w:type="auto"/>
            <w:gridSpan w:val="2"/>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w:t>
            </w:r>
            <w:r>
              <w:rPr>
                <w:rFonts w:hint="default" w:ascii="Times New Roman" w:hAnsi="Times New Roman" w:cs="Times New Roman"/>
                <w:i w:val="0"/>
                <w:iCs w:val="0"/>
                <w:color w:val="auto"/>
                <w:kern w:val="0"/>
                <w:sz w:val="22"/>
                <w:szCs w:val="22"/>
                <w:highlight w:val="none"/>
                <w:u w:val="none"/>
                <w:lang w:val="en-US" w:eastAsia="zh-CN" w:bidi="ar"/>
              </w:rPr>
              <w:t>伊通满族自治县农村社会经济调查队</w:t>
            </w:r>
          </w:p>
        </w:tc>
        <w:tc>
          <w:tcPr>
            <w:tcW w:w="0" w:type="auto"/>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514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    目</w:t>
            </w:r>
          </w:p>
        </w:tc>
        <w:tc>
          <w:tcPr>
            <w:tcW w:w="171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本年支出合计</w:t>
            </w:r>
          </w:p>
        </w:tc>
        <w:tc>
          <w:tcPr>
            <w:tcW w:w="174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基本支出</w:t>
            </w:r>
          </w:p>
        </w:tc>
        <w:tc>
          <w:tcPr>
            <w:tcW w:w="174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项目支出</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上缴上级支出</w:t>
            </w:r>
          </w:p>
        </w:tc>
        <w:tc>
          <w:tcPr>
            <w:tcW w:w="117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经营支出</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科目代码</w:t>
            </w:r>
          </w:p>
        </w:tc>
        <w:tc>
          <w:tcPr>
            <w:tcW w:w="399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399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74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合计</w:t>
            </w:r>
          </w:p>
        </w:tc>
        <w:tc>
          <w:tcPr>
            <w:tcW w:w="171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 xml:space="preserve">99.48 </w:t>
            </w:r>
          </w:p>
        </w:tc>
        <w:tc>
          <w:tcPr>
            <w:tcW w:w="174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 xml:space="preserve">59.25 </w:t>
            </w:r>
          </w:p>
        </w:tc>
        <w:tc>
          <w:tcPr>
            <w:tcW w:w="174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201</w:t>
            </w:r>
          </w:p>
        </w:tc>
        <w:tc>
          <w:tcPr>
            <w:tcW w:w="3994"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一般公共服务支出</w:t>
            </w:r>
          </w:p>
        </w:tc>
        <w:tc>
          <w:tcPr>
            <w:tcW w:w="171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85.73 </w:t>
            </w:r>
          </w:p>
        </w:tc>
        <w:tc>
          <w:tcPr>
            <w:tcW w:w="174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45.51 </w:t>
            </w:r>
          </w:p>
        </w:tc>
        <w:tc>
          <w:tcPr>
            <w:tcW w:w="174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20105</w:t>
            </w:r>
          </w:p>
        </w:tc>
        <w:tc>
          <w:tcPr>
            <w:tcW w:w="3994"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统计信息事务</w:t>
            </w:r>
          </w:p>
        </w:tc>
        <w:tc>
          <w:tcPr>
            <w:tcW w:w="171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85.73 </w:t>
            </w:r>
          </w:p>
        </w:tc>
        <w:tc>
          <w:tcPr>
            <w:tcW w:w="174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45.51 </w:t>
            </w:r>
          </w:p>
        </w:tc>
        <w:tc>
          <w:tcPr>
            <w:tcW w:w="174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2010501</w:t>
            </w:r>
          </w:p>
        </w:tc>
        <w:tc>
          <w:tcPr>
            <w:tcW w:w="3994"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行政运行</w:t>
            </w:r>
          </w:p>
        </w:tc>
        <w:tc>
          <w:tcPr>
            <w:tcW w:w="171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45.51 </w:t>
            </w:r>
          </w:p>
        </w:tc>
        <w:tc>
          <w:tcPr>
            <w:tcW w:w="174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45.51 </w:t>
            </w:r>
          </w:p>
        </w:tc>
        <w:tc>
          <w:tcPr>
            <w:tcW w:w="174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2010508</w:t>
            </w:r>
          </w:p>
        </w:tc>
        <w:tc>
          <w:tcPr>
            <w:tcW w:w="3994"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统计抽样调查</w:t>
            </w:r>
          </w:p>
        </w:tc>
        <w:tc>
          <w:tcPr>
            <w:tcW w:w="171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40.22 </w:t>
            </w:r>
          </w:p>
        </w:tc>
        <w:tc>
          <w:tcPr>
            <w:tcW w:w="174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74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208</w:t>
            </w:r>
          </w:p>
        </w:tc>
        <w:tc>
          <w:tcPr>
            <w:tcW w:w="3994"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社会保障和就业支出</w:t>
            </w:r>
          </w:p>
        </w:tc>
        <w:tc>
          <w:tcPr>
            <w:tcW w:w="171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8.17 </w:t>
            </w:r>
          </w:p>
        </w:tc>
        <w:tc>
          <w:tcPr>
            <w:tcW w:w="174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8.17 </w:t>
            </w:r>
          </w:p>
        </w:tc>
        <w:tc>
          <w:tcPr>
            <w:tcW w:w="174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20805</w:t>
            </w:r>
          </w:p>
        </w:tc>
        <w:tc>
          <w:tcPr>
            <w:tcW w:w="3994"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行政事业单位养老支出</w:t>
            </w:r>
          </w:p>
        </w:tc>
        <w:tc>
          <w:tcPr>
            <w:tcW w:w="171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8.17 </w:t>
            </w:r>
          </w:p>
        </w:tc>
        <w:tc>
          <w:tcPr>
            <w:tcW w:w="174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8.17 </w:t>
            </w:r>
          </w:p>
        </w:tc>
        <w:tc>
          <w:tcPr>
            <w:tcW w:w="174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2080501</w:t>
            </w:r>
          </w:p>
        </w:tc>
        <w:tc>
          <w:tcPr>
            <w:tcW w:w="3994"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行政单位离退休</w:t>
            </w:r>
          </w:p>
        </w:tc>
        <w:tc>
          <w:tcPr>
            <w:tcW w:w="171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3.35 </w:t>
            </w:r>
          </w:p>
        </w:tc>
        <w:tc>
          <w:tcPr>
            <w:tcW w:w="174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3.35 </w:t>
            </w:r>
          </w:p>
        </w:tc>
        <w:tc>
          <w:tcPr>
            <w:tcW w:w="174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2080505</w:t>
            </w:r>
          </w:p>
        </w:tc>
        <w:tc>
          <w:tcPr>
            <w:tcW w:w="3994"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机关事业单位基本养老保险缴费支出</w:t>
            </w:r>
          </w:p>
        </w:tc>
        <w:tc>
          <w:tcPr>
            <w:tcW w:w="171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4.82 </w:t>
            </w:r>
          </w:p>
        </w:tc>
        <w:tc>
          <w:tcPr>
            <w:tcW w:w="174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4.82 </w:t>
            </w:r>
          </w:p>
        </w:tc>
        <w:tc>
          <w:tcPr>
            <w:tcW w:w="174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210</w:t>
            </w:r>
          </w:p>
        </w:tc>
        <w:tc>
          <w:tcPr>
            <w:tcW w:w="3994"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卫生健康支出</w:t>
            </w:r>
          </w:p>
        </w:tc>
        <w:tc>
          <w:tcPr>
            <w:tcW w:w="171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174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174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21011</w:t>
            </w:r>
          </w:p>
        </w:tc>
        <w:tc>
          <w:tcPr>
            <w:tcW w:w="3994"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行政事业单位医疗</w:t>
            </w:r>
          </w:p>
        </w:tc>
        <w:tc>
          <w:tcPr>
            <w:tcW w:w="171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174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174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2101101</w:t>
            </w:r>
          </w:p>
        </w:tc>
        <w:tc>
          <w:tcPr>
            <w:tcW w:w="3994"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行政单位医疗</w:t>
            </w:r>
          </w:p>
        </w:tc>
        <w:tc>
          <w:tcPr>
            <w:tcW w:w="171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174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174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221</w:t>
            </w:r>
          </w:p>
        </w:tc>
        <w:tc>
          <w:tcPr>
            <w:tcW w:w="3994"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住房保障支出</w:t>
            </w:r>
          </w:p>
        </w:tc>
        <w:tc>
          <w:tcPr>
            <w:tcW w:w="171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3.81 </w:t>
            </w:r>
          </w:p>
        </w:tc>
        <w:tc>
          <w:tcPr>
            <w:tcW w:w="174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3.81 </w:t>
            </w:r>
          </w:p>
        </w:tc>
        <w:tc>
          <w:tcPr>
            <w:tcW w:w="174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22102</w:t>
            </w:r>
          </w:p>
        </w:tc>
        <w:tc>
          <w:tcPr>
            <w:tcW w:w="3994"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住房改革支出</w:t>
            </w:r>
          </w:p>
        </w:tc>
        <w:tc>
          <w:tcPr>
            <w:tcW w:w="171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3.81 </w:t>
            </w:r>
          </w:p>
        </w:tc>
        <w:tc>
          <w:tcPr>
            <w:tcW w:w="174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3.81 </w:t>
            </w:r>
          </w:p>
        </w:tc>
        <w:tc>
          <w:tcPr>
            <w:tcW w:w="174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151"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2210201</w:t>
            </w:r>
          </w:p>
        </w:tc>
        <w:tc>
          <w:tcPr>
            <w:tcW w:w="3994"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住房公积金</w:t>
            </w:r>
          </w:p>
        </w:tc>
        <w:tc>
          <w:tcPr>
            <w:tcW w:w="171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3.81 </w:t>
            </w:r>
          </w:p>
        </w:tc>
        <w:tc>
          <w:tcPr>
            <w:tcW w:w="1744"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3.81 </w:t>
            </w:r>
          </w:p>
        </w:tc>
        <w:tc>
          <w:tcPr>
            <w:tcW w:w="174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4080" w:type="dxa"/>
            <w:gridSpan w:val="8"/>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注：本表反映单位本年度各项支出情况。</w:t>
            </w:r>
          </w:p>
        </w:tc>
      </w:tr>
    </w:tbl>
    <w:p>
      <w:pPr>
        <w:ind w:firstLine="640" w:firstLineChars="200"/>
        <w:rPr>
          <w:rFonts w:hint="default" w:ascii="Times New Roman" w:hAnsi="Times New Roman" w:eastAsia="黑体" w:cs="Times New Roman"/>
          <w:color w:val="auto"/>
          <w:sz w:val="32"/>
          <w:highlight w:val="none"/>
        </w:rPr>
      </w:pPr>
    </w:p>
    <w:p>
      <w:pPr>
        <w:ind w:firstLine="640" w:firstLineChars="200"/>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四、财政拨款收入支出决算总表</w:t>
      </w:r>
    </w:p>
    <w:tbl>
      <w:tblPr>
        <w:tblStyle w:val="12"/>
        <w:tblW w:w="1406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48"/>
        <w:gridCol w:w="521"/>
        <w:gridCol w:w="1311"/>
        <w:gridCol w:w="2820"/>
        <w:gridCol w:w="650"/>
        <w:gridCol w:w="1168"/>
        <w:gridCol w:w="1288"/>
        <w:gridCol w:w="1117"/>
        <w:gridCol w:w="12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4060" w:type="dxa"/>
            <w:gridSpan w:val="9"/>
            <w:tcBorders>
              <w:top w:val="nil"/>
              <w:left w:val="nil"/>
              <w:bottom w:val="nil"/>
              <w:right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32"/>
                <w:szCs w:val="32"/>
                <w:highlight w:val="none"/>
                <w:u w:val="none"/>
              </w:rPr>
            </w:pPr>
            <w:r>
              <w:rPr>
                <w:rFonts w:hint="default" w:ascii="Times New Roman" w:hAnsi="Times New Roman" w:eastAsia="宋体" w:cs="Times New Roman"/>
                <w:i w:val="0"/>
                <w:iCs w:val="0"/>
                <w:color w:val="auto"/>
                <w:kern w:val="0"/>
                <w:sz w:val="32"/>
                <w:szCs w:val="32"/>
                <w:highlight w:val="none"/>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3948"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521"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311"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650"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168"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288"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117"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237"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5780" w:type="dxa"/>
            <w:gridSpan w:val="3"/>
            <w:tcBorders>
              <w:top w:val="nil"/>
              <w:left w:val="nil"/>
              <w:bottom w:val="nil"/>
              <w:right w:val="nil"/>
            </w:tcBorders>
            <w:shd w:val="clear" w:color="auto" w:fill="FFFFFF"/>
            <w:noWrap/>
            <w:vAlign w:val="center"/>
          </w:tcPr>
          <w:p>
            <w:pPr>
              <w:jc w:val="left"/>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w:t>
            </w:r>
            <w:r>
              <w:rPr>
                <w:rFonts w:hint="default" w:ascii="Times New Roman" w:hAnsi="Times New Roman" w:cs="Times New Roman"/>
                <w:i w:val="0"/>
                <w:iCs w:val="0"/>
                <w:color w:val="auto"/>
                <w:kern w:val="0"/>
                <w:sz w:val="22"/>
                <w:szCs w:val="22"/>
                <w:highlight w:val="none"/>
                <w:u w:val="none"/>
                <w:lang w:val="en-US" w:eastAsia="zh-CN" w:bidi="ar"/>
              </w:rPr>
              <w:t>伊通满族自治县农村社会经济调查队</w:t>
            </w:r>
          </w:p>
        </w:tc>
        <w:tc>
          <w:tcPr>
            <w:tcW w:w="2820"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650"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168"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288"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117" w:type="dxa"/>
            <w:tcBorders>
              <w:top w:val="nil"/>
              <w:left w:val="nil"/>
              <w:bottom w:val="nil"/>
              <w:right w:val="nil"/>
            </w:tcBorders>
            <w:shd w:val="clear" w:color="auto" w:fill="FFFFFF"/>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1237"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578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收入</w:t>
            </w:r>
          </w:p>
        </w:tc>
        <w:tc>
          <w:tcPr>
            <w:tcW w:w="8280"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9"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    目</w:t>
            </w:r>
          </w:p>
        </w:tc>
        <w:tc>
          <w:tcPr>
            <w:tcW w:w="5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行次</w:t>
            </w:r>
          </w:p>
        </w:tc>
        <w:tc>
          <w:tcPr>
            <w:tcW w:w="13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c>
          <w:tcPr>
            <w:tcW w:w="28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    目</w:t>
            </w:r>
          </w:p>
        </w:tc>
        <w:tc>
          <w:tcPr>
            <w:tcW w:w="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行次</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合计</w:t>
            </w: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一般公共预算财政拨款</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政府性基金预算财政拨款</w:t>
            </w:r>
          </w:p>
        </w:tc>
        <w:tc>
          <w:tcPr>
            <w:tcW w:w="12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栏    次</w:t>
            </w:r>
          </w:p>
        </w:tc>
        <w:tc>
          <w:tcPr>
            <w:tcW w:w="52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3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28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栏    次</w:t>
            </w:r>
          </w:p>
        </w:tc>
        <w:tc>
          <w:tcPr>
            <w:tcW w:w="65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16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12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11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p>
        </w:tc>
        <w:tc>
          <w:tcPr>
            <w:tcW w:w="12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一、一般公共预算财政拨款</w:t>
            </w:r>
          </w:p>
        </w:tc>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131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93.49 </w:t>
            </w:r>
          </w:p>
        </w:tc>
        <w:tc>
          <w:tcPr>
            <w:tcW w:w="28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一、一般公共服务支出</w:t>
            </w:r>
          </w:p>
        </w:tc>
        <w:tc>
          <w:tcPr>
            <w:tcW w:w="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15</w:t>
            </w:r>
          </w:p>
        </w:tc>
        <w:tc>
          <w:tcPr>
            <w:tcW w:w="116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79.75 </w:t>
            </w:r>
          </w:p>
        </w:tc>
        <w:tc>
          <w:tcPr>
            <w:tcW w:w="128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79.75 </w:t>
            </w:r>
          </w:p>
        </w:tc>
        <w:tc>
          <w:tcPr>
            <w:tcW w:w="111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二、政府性基金预算财政拨款</w:t>
            </w:r>
          </w:p>
        </w:tc>
        <w:tc>
          <w:tcPr>
            <w:tcW w:w="5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131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二、社会保障和就业支出</w:t>
            </w:r>
          </w:p>
        </w:tc>
        <w:tc>
          <w:tcPr>
            <w:tcW w:w="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16</w:t>
            </w:r>
          </w:p>
        </w:tc>
        <w:tc>
          <w:tcPr>
            <w:tcW w:w="116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8.17 </w:t>
            </w:r>
          </w:p>
        </w:tc>
        <w:tc>
          <w:tcPr>
            <w:tcW w:w="128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8.17 </w:t>
            </w:r>
          </w:p>
        </w:tc>
        <w:tc>
          <w:tcPr>
            <w:tcW w:w="111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三、国有资本经营预算财政拨款</w:t>
            </w:r>
          </w:p>
        </w:tc>
        <w:tc>
          <w:tcPr>
            <w:tcW w:w="5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131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三、卫生健康支出</w:t>
            </w:r>
          </w:p>
        </w:tc>
        <w:tc>
          <w:tcPr>
            <w:tcW w:w="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17</w:t>
            </w:r>
          </w:p>
        </w:tc>
        <w:tc>
          <w:tcPr>
            <w:tcW w:w="116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128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111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pPr>
              <w:jc w:val="left"/>
              <w:rPr>
                <w:rFonts w:hint="default" w:ascii="Times New Roman" w:hAnsi="Times New Roman" w:eastAsia="宋体" w:cs="Times New Roman"/>
                <w:i w:val="0"/>
                <w:iCs w:val="0"/>
                <w:color w:val="auto"/>
                <w:sz w:val="22"/>
                <w:szCs w:val="22"/>
                <w:highlight w:val="none"/>
                <w:u w:val="none"/>
              </w:rPr>
            </w:pPr>
          </w:p>
        </w:tc>
        <w:tc>
          <w:tcPr>
            <w:tcW w:w="5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p>
        </w:tc>
        <w:tc>
          <w:tcPr>
            <w:tcW w:w="131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四、住房保障支出</w:t>
            </w:r>
          </w:p>
        </w:tc>
        <w:tc>
          <w:tcPr>
            <w:tcW w:w="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18</w:t>
            </w:r>
          </w:p>
        </w:tc>
        <w:tc>
          <w:tcPr>
            <w:tcW w:w="116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lang w:val="en-US"/>
              </w:rPr>
            </w:pPr>
            <w:r>
              <w:rPr>
                <w:rFonts w:hint="default" w:ascii="Times New Roman" w:hAnsi="Times New Roman" w:cs="Times New Roman"/>
                <w:i w:val="0"/>
                <w:iCs w:val="0"/>
                <w:color w:val="auto"/>
                <w:kern w:val="0"/>
                <w:sz w:val="22"/>
                <w:szCs w:val="22"/>
                <w:highlight w:val="none"/>
                <w:u w:val="none"/>
                <w:lang w:val="en-US" w:eastAsia="zh-CN" w:bidi="ar"/>
              </w:rPr>
              <w:t>3.81</w:t>
            </w:r>
          </w:p>
        </w:tc>
        <w:tc>
          <w:tcPr>
            <w:tcW w:w="128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cs="Times New Roman"/>
                <w:i w:val="0"/>
                <w:iCs w:val="0"/>
                <w:color w:val="auto"/>
                <w:kern w:val="0"/>
                <w:sz w:val="22"/>
                <w:szCs w:val="22"/>
                <w:highlight w:val="none"/>
                <w:u w:val="none"/>
                <w:lang w:val="en-US" w:eastAsia="zh-CN" w:bidi="ar"/>
              </w:rPr>
              <w:t>3.81</w:t>
            </w:r>
          </w:p>
        </w:tc>
        <w:tc>
          <w:tcPr>
            <w:tcW w:w="111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pPr>
              <w:jc w:val="left"/>
              <w:rPr>
                <w:rFonts w:hint="default" w:ascii="Times New Roman" w:hAnsi="Times New Roman" w:eastAsia="宋体" w:cs="Times New Roman"/>
                <w:i w:val="0"/>
                <w:iCs w:val="0"/>
                <w:color w:val="auto"/>
                <w:sz w:val="22"/>
                <w:szCs w:val="22"/>
                <w:highlight w:val="none"/>
                <w:u w:val="none"/>
              </w:rPr>
            </w:pPr>
          </w:p>
        </w:tc>
        <w:tc>
          <w:tcPr>
            <w:tcW w:w="5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131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pPr>
              <w:jc w:val="left"/>
              <w:rPr>
                <w:rFonts w:hint="default" w:ascii="Times New Roman" w:hAnsi="Times New Roman" w:eastAsia="宋体" w:cs="Times New Roman"/>
                <w:i w:val="0"/>
                <w:iCs w:val="0"/>
                <w:color w:val="auto"/>
                <w:sz w:val="22"/>
                <w:szCs w:val="22"/>
                <w:highlight w:val="none"/>
                <w:u w:val="none"/>
              </w:rPr>
            </w:pPr>
          </w:p>
        </w:tc>
        <w:tc>
          <w:tcPr>
            <w:tcW w:w="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19</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8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11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pPr>
              <w:jc w:val="left"/>
              <w:rPr>
                <w:rFonts w:hint="default" w:ascii="Times New Roman" w:hAnsi="Times New Roman" w:eastAsia="宋体" w:cs="Times New Roman"/>
                <w:i w:val="0"/>
                <w:iCs w:val="0"/>
                <w:color w:val="auto"/>
                <w:sz w:val="22"/>
                <w:szCs w:val="22"/>
                <w:highlight w:val="none"/>
                <w:u w:val="none"/>
              </w:rPr>
            </w:pPr>
          </w:p>
        </w:tc>
        <w:tc>
          <w:tcPr>
            <w:tcW w:w="5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w:t>
            </w:r>
          </w:p>
        </w:tc>
        <w:tc>
          <w:tcPr>
            <w:tcW w:w="131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pPr>
              <w:jc w:val="left"/>
              <w:rPr>
                <w:rFonts w:hint="default" w:ascii="Times New Roman" w:hAnsi="Times New Roman" w:eastAsia="宋体" w:cs="Times New Roman"/>
                <w:i w:val="0"/>
                <w:iCs w:val="0"/>
                <w:color w:val="auto"/>
                <w:sz w:val="22"/>
                <w:szCs w:val="22"/>
                <w:highlight w:val="none"/>
                <w:u w:val="none"/>
              </w:rPr>
            </w:pPr>
          </w:p>
        </w:tc>
        <w:tc>
          <w:tcPr>
            <w:tcW w:w="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8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11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pPr>
              <w:jc w:val="left"/>
              <w:rPr>
                <w:rFonts w:hint="default" w:ascii="Times New Roman" w:hAnsi="Times New Roman" w:eastAsia="宋体" w:cs="Times New Roman"/>
                <w:i w:val="0"/>
                <w:iCs w:val="0"/>
                <w:color w:val="auto"/>
                <w:sz w:val="22"/>
                <w:szCs w:val="22"/>
                <w:highlight w:val="none"/>
                <w:u w:val="none"/>
              </w:rPr>
            </w:pPr>
          </w:p>
        </w:tc>
        <w:tc>
          <w:tcPr>
            <w:tcW w:w="5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7</w:t>
            </w:r>
          </w:p>
        </w:tc>
        <w:tc>
          <w:tcPr>
            <w:tcW w:w="131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pPr>
              <w:jc w:val="left"/>
              <w:rPr>
                <w:rFonts w:hint="default" w:ascii="Times New Roman" w:hAnsi="Times New Roman" w:eastAsia="宋体" w:cs="Times New Roman"/>
                <w:i w:val="0"/>
                <w:iCs w:val="0"/>
                <w:color w:val="auto"/>
                <w:sz w:val="22"/>
                <w:szCs w:val="22"/>
                <w:highlight w:val="none"/>
                <w:u w:val="none"/>
              </w:rPr>
            </w:pPr>
          </w:p>
        </w:tc>
        <w:tc>
          <w:tcPr>
            <w:tcW w:w="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21</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8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11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pPr>
              <w:jc w:val="left"/>
              <w:rPr>
                <w:rFonts w:hint="default" w:ascii="Times New Roman" w:hAnsi="Times New Roman" w:eastAsia="宋体" w:cs="Times New Roman"/>
                <w:i w:val="0"/>
                <w:iCs w:val="0"/>
                <w:color w:val="auto"/>
                <w:sz w:val="22"/>
                <w:szCs w:val="22"/>
                <w:highlight w:val="none"/>
                <w:u w:val="none"/>
              </w:rPr>
            </w:pPr>
          </w:p>
        </w:tc>
        <w:tc>
          <w:tcPr>
            <w:tcW w:w="5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8</w:t>
            </w:r>
          </w:p>
        </w:tc>
        <w:tc>
          <w:tcPr>
            <w:tcW w:w="1311" w:type="dxa"/>
            <w:tcBorders>
              <w:top w:val="single" w:color="000000" w:sz="4" w:space="0"/>
              <w:left w:val="single" w:color="000000" w:sz="4" w:space="0"/>
              <w:bottom w:val="single" w:color="000000" w:sz="4" w:space="0"/>
              <w:right w:val="single" w:color="000000" w:sz="4" w:space="0"/>
            </w:tcBorders>
            <w:noWrap/>
            <w:vAlign w:val="center"/>
          </w:tcPr>
          <w:p>
            <w:pPr>
              <w:jc w:val="lef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pPr>
              <w:jc w:val="left"/>
              <w:rPr>
                <w:rFonts w:hint="default" w:ascii="Times New Roman" w:hAnsi="Times New Roman" w:eastAsia="宋体" w:cs="Times New Roman"/>
                <w:i w:val="0"/>
                <w:iCs w:val="0"/>
                <w:color w:val="auto"/>
                <w:sz w:val="22"/>
                <w:szCs w:val="22"/>
                <w:highlight w:val="none"/>
                <w:u w:val="none"/>
              </w:rPr>
            </w:pPr>
          </w:p>
        </w:tc>
        <w:tc>
          <w:tcPr>
            <w:tcW w:w="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22</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8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11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本年收入合计</w:t>
            </w:r>
          </w:p>
        </w:tc>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9</w:t>
            </w:r>
          </w:p>
        </w:tc>
        <w:tc>
          <w:tcPr>
            <w:tcW w:w="131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93.49 </w:t>
            </w:r>
          </w:p>
        </w:tc>
        <w:tc>
          <w:tcPr>
            <w:tcW w:w="28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本年支出合计</w:t>
            </w:r>
          </w:p>
        </w:tc>
        <w:tc>
          <w:tcPr>
            <w:tcW w:w="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23</w:t>
            </w:r>
          </w:p>
        </w:tc>
        <w:tc>
          <w:tcPr>
            <w:tcW w:w="116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93.49 </w:t>
            </w:r>
          </w:p>
        </w:tc>
        <w:tc>
          <w:tcPr>
            <w:tcW w:w="128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93.49 </w:t>
            </w:r>
          </w:p>
        </w:tc>
        <w:tc>
          <w:tcPr>
            <w:tcW w:w="111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年初财政拨款结转和结余</w:t>
            </w:r>
          </w:p>
        </w:tc>
        <w:tc>
          <w:tcPr>
            <w:tcW w:w="5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w:t>
            </w:r>
          </w:p>
        </w:tc>
        <w:tc>
          <w:tcPr>
            <w:tcW w:w="131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年末财政拨款结转和结余</w:t>
            </w:r>
          </w:p>
        </w:tc>
        <w:tc>
          <w:tcPr>
            <w:tcW w:w="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24</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8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11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一般公共预算财政拨款</w:t>
            </w:r>
          </w:p>
        </w:tc>
        <w:tc>
          <w:tcPr>
            <w:tcW w:w="5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11</w:t>
            </w:r>
          </w:p>
        </w:tc>
        <w:tc>
          <w:tcPr>
            <w:tcW w:w="131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pPr>
              <w:jc w:val="left"/>
              <w:rPr>
                <w:rFonts w:hint="default" w:ascii="Times New Roman" w:hAnsi="Times New Roman" w:eastAsia="宋体" w:cs="Times New Roman"/>
                <w:i w:val="0"/>
                <w:iCs w:val="0"/>
                <w:color w:val="auto"/>
                <w:sz w:val="22"/>
                <w:szCs w:val="22"/>
                <w:highlight w:val="none"/>
                <w:u w:val="none"/>
              </w:rPr>
            </w:pPr>
          </w:p>
        </w:tc>
        <w:tc>
          <w:tcPr>
            <w:tcW w:w="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25</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8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11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政府性基金预算财政拨款</w:t>
            </w:r>
          </w:p>
        </w:tc>
        <w:tc>
          <w:tcPr>
            <w:tcW w:w="5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12</w:t>
            </w:r>
          </w:p>
        </w:tc>
        <w:tc>
          <w:tcPr>
            <w:tcW w:w="131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pPr>
              <w:jc w:val="left"/>
              <w:rPr>
                <w:rFonts w:hint="default" w:ascii="Times New Roman" w:hAnsi="Times New Roman" w:eastAsia="宋体" w:cs="Times New Roman"/>
                <w:i w:val="0"/>
                <w:iCs w:val="0"/>
                <w:color w:val="auto"/>
                <w:sz w:val="22"/>
                <w:szCs w:val="22"/>
                <w:highlight w:val="none"/>
                <w:u w:val="none"/>
              </w:rPr>
            </w:pPr>
          </w:p>
        </w:tc>
        <w:tc>
          <w:tcPr>
            <w:tcW w:w="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26</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8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11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国有资本经营预算财政拨款</w:t>
            </w:r>
          </w:p>
        </w:tc>
        <w:tc>
          <w:tcPr>
            <w:tcW w:w="5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13</w:t>
            </w:r>
          </w:p>
        </w:tc>
        <w:tc>
          <w:tcPr>
            <w:tcW w:w="131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820" w:type="dxa"/>
            <w:tcBorders>
              <w:top w:val="single" w:color="000000" w:sz="4" w:space="0"/>
              <w:left w:val="single" w:color="000000" w:sz="4" w:space="0"/>
              <w:bottom w:val="single" w:color="000000" w:sz="4" w:space="0"/>
              <w:right w:val="single" w:color="000000" w:sz="4" w:space="0"/>
            </w:tcBorders>
            <w:noWrap/>
            <w:vAlign w:val="center"/>
          </w:tcPr>
          <w:p>
            <w:pPr>
              <w:jc w:val="left"/>
              <w:rPr>
                <w:rFonts w:hint="default" w:ascii="Times New Roman" w:hAnsi="Times New Roman" w:eastAsia="宋体" w:cs="Times New Roman"/>
                <w:i w:val="0"/>
                <w:iCs w:val="0"/>
                <w:color w:val="auto"/>
                <w:sz w:val="22"/>
                <w:szCs w:val="22"/>
                <w:highlight w:val="none"/>
                <w:u w:val="none"/>
              </w:rPr>
            </w:pPr>
          </w:p>
        </w:tc>
        <w:tc>
          <w:tcPr>
            <w:tcW w:w="6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27</w:t>
            </w:r>
          </w:p>
        </w:tc>
        <w:tc>
          <w:tcPr>
            <w:tcW w:w="116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8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11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39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总计</w:t>
            </w:r>
          </w:p>
        </w:tc>
        <w:tc>
          <w:tcPr>
            <w:tcW w:w="5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14</w:t>
            </w:r>
          </w:p>
        </w:tc>
        <w:tc>
          <w:tcPr>
            <w:tcW w:w="131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93.49 </w:t>
            </w:r>
          </w:p>
        </w:tc>
        <w:tc>
          <w:tcPr>
            <w:tcW w:w="28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总计</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28</w:t>
            </w:r>
          </w:p>
        </w:tc>
        <w:tc>
          <w:tcPr>
            <w:tcW w:w="116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93.49 </w:t>
            </w:r>
          </w:p>
        </w:tc>
        <w:tc>
          <w:tcPr>
            <w:tcW w:w="128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93.49 </w:t>
            </w:r>
          </w:p>
        </w:tc>
        <w:tc>
          <w:tcPr>
            <w:tcW w:w="1117"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b/>
                <w:bCs/>
                <w:i w:val="0"/>
                <w:iCs w:val="0"/>
                <w:color w:val="auto"/>
                <w:sz w:val="22"/>
                <w:szCs w:val="22"/>
                <w:highlight w:val="none"/>
                <w:u w:val="none"/>
              </w:rPr>
            </w:pPr>
          </w:p>
        </w:tc>
        <w:tc>
          <w:tcPr>
            <w:tcW w:w="1237"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14060" w:type="dxa"/>
            <w:gridSpan w:val="9"/>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注：本表反映单位本年度一般公共预算财政拨款、政府性基金预算财政拨款和国有资本经营预算财政拨款的总收支和年末结转结余情况。</w:t>
            </w:r>
          </w:p>
        </w:tc>
      </w:tr>
    </w:tbl>
    <w:p>
      <w:pPr>
        <w:ind w:firstLine="640" w:firstLineChars="200"/>
        <w:jc w:val="both"/>
        <w:rPr>
          <w:rFonts w:hint="default" w:ascii="Times New Roman" w:hAnsi="Times New Roman" w:eastAsia="方正小标宋简体" w:cs="Times New Roman"/>
          <w:color w:val="auto"/>
          <w:sz w:val="44"/>
          <w:highlight w:val="none"/>
        </w:rPr>
      </w:pPr>
      <w:r>
        <w:rPr>
          <w:rFonts w:hint="default" w:ascii="Times New Roman" w:hAnsi="Times New Roman" w:eastAsia="黑体" w:cs="Times New Roman"/>
          <w:color w:val="auto"/>
          <w:sz w:val="32"/>
          <w:highlight w:val="none"/>
        </w:rPr>
        <w:t>五、一般公共预算财政拨款支出决算表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黑体" w:cs="Times New Roman"/>
          <w:color w:val="auto"/>
          <w:sz w:val="32"/>
          <w:highlight w:val="none"/>
        </w:rPr>
      </w:pPr>
    </w:p>
    <w:tbl>
      <w:tblPr>
        <w:tblStyle w:val="12"/>
        <w:tblW w:w="455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86"/>
        <w:gridCol w:w="5206"/>
        <w:gridCol w:w="2198"/>
        <w:gridCol w:w="2190"/>
        <w:gridCol w:w="1760"/>
        <w:gridCol w:w="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7" w:hRule="atLeast"/>
          <w:jc w:val="center"/>
        </w:trPr>
        <w:tc>
          <w:tcPr>
            <w:tcW w:w="5000" w:type="pct"/>
            <w:gridSpan w:val="6"/>
            <w:tcBorders>
              <w:top w:val="nil"/>
              <w:left w:val="nil"/>
              <w:bottom w:val="nil"/>
              <w:right w:val="nil"/>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32"/>
                <w:szCs w:val="32"/>
                <w:highlight w:val="none"/>
                <w:u w:val="none"/>
                <w:lang w:val="en-US" w:eastAsia="zh-CN" w:bidi="ar"/>
              </w:rPr>
            </w:pPr>
            <w:r>
              <w:rPr>
                <w:rFonts w:hint="default" w:ascii="Times New Roman" w:hAnsi="Times New Roman" w:eastAsia="宋体" w:cs="Times New Roman"/>
                <w:b w:val="0"/>
                <w:bCs w:val="0"/>
                <w:i w:val="0"/>
                <w:iCs w:val="0"/>
                <w:color w:val="auto"/>
                <w:kern w:val="0"/>
                <w:sz w:val="32"/>
                <w:szCs w:val="32"/>
                <w:highlight w:val="none"/>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677" w:type="pct"/>
            <w:tcBorders>
              <w:top w:val="nil"/>
              <w:left w:val="nil"/>
              <w:bottom w:val="nil"/>
              <w:right w:val="nil"/>
            </w:tcBorders>
            <w:shd w:val="clear" w:color="auto" w:fill="FFFFFF"/>
            <w:noWrap w:val="0"/>
            <w:vAlign w:val="center"/>
          </w:tcPr>
          <w:p>
            <w:pPr>
              <w:jc w:val="center"/>
              <w:rPr>
                <w:rFonts w:hint="default" w:ascii="Times New Roman" w:hAnsi="Times New Roman" w:eastAsia="宋体" w:cs="Times New Roman"/>
                <w:b w:val="0"/>
                <w:bCs w:val="0"/>
                <w:i w:val="0"/>
                <w:iCs w:val="0"/>
                <w:color w:val="auto"/>
                <w:sz w:val="22"/>
                <w:szCs w:val="22"/>
                <w:highlight w:val="none"/>
                <w:u w:val="none"/>
              </w:rPr>
            </w:pPr>
          </w:p>
        </w:tc>
        <w:tc>
          <w:tcPr>
            <w:tcW w:w="1973" w:type="pct"/>
            <w:tcBorders>
              <w:top w:val="nil"/>
              <w:left w:val="nil"/>
              <w:bottom w:val="nil"/>
              <w:right w:val="nil"/>
            </w:tcBorders>
            <w:shd w:val="clear" w:color="auto" w:fill="FFFFFF"/>
            <w:noWrap w:val="0"/>
            <w:vAlign w:val="center"/>
          </w:tcPr>
          <w:p>
            <w:pPr>
              <w:jc w:val="center"/>
              <w:rPr>
                <w:rFonts w:hint="default" w:ascii="Times New Roman" w:hAnsi="Times New Roman" w:eastAsia="宋体" w:cs="Times New Roman"/>
                <w:b w:val="0"/>
                <w:bCs w:val="0"/>
                <w:i w:val="0"/>
                <w:iCs w:val="0"/>
                <w:color w:val="auto"/>
                <w:sz w:val="22"/>
                <w:szCs w:val="22"/>
                <w:highlight w:val="none"/>
                <w:u w:val="none"/>
              </w:rPr>
            </w:pPr>
          </w:p>
        </w:tc>
        <w:tc>
          <w:tcPr>
            <w:tcW w:w="833" w:type="pct"/>
            <w:tcBorders>
              <w:top w:val="nil"/>
              <w:left w:val="nil"/>
              <w:bottom w:val="nil"/>
              <w:right w:val="nil"/>
            </w:tcBorders>
            <w:shd w:val="clear" w:color="auto" w:fill="FFFFFF"/>
            <w:noWrap w:val="0"/>
            <w:vAlign w:val="center"/>
          </w:tcPr>
          <w:p>
            <w:pPr>
              <w:rPr>
                <w:rFonts w:hint="default" w:ascii="Times New Roman" w:hAnsi="Times New Roman" w:eastAsia="宋体" w:cs="Times New Roman"/>
                <w:b w:val="0"/>
                <w:bCs w:val="0"/>
                <w:i w:val="0"/>
                <w:iCs w:val="0"/>
                <w:color w:val="auto"/>
                <w:sz w:val="22"/>
                <w:szCs w:val="22"/>
                <w:highlight w:val="none"/>
                <w:u w:val="none"/>
              </w:rPr>
            </w:pPr>
          </w:p>
        </w:tc>
        <w:tc>
          <w:tcPr>
            <w:tcW w:w="830" w:type="pct"/>
            <w:tcBorders>
              <w:top w:val="nil"/>
              <w:left w:val="nil"/>
              <w:bottom w:val="nil"/>
              <w:right w:val="nil"/>
            </w:tcBorders>
            <w:shd w:val="clear" w:color="auto" w:fill="FFFFFF"/>
            <w:noWrap w:val="0"/>
            <w:vAlign w:val="center"/>
          </w:tcPr>
          <w:p>
            <w:pPr>
              <w:jc w:val="center"/>
              <w:rPr>
                <w:rFonts w:hint="default" w:ascii="Times New Roman" w:hAnsi="Times New Roman" w:eastAsia="宋体" w:cs="Times New Roman"/>
                <w:b w:val="0"/>
                <w:bCs w:val="0"/>
                <w:i w:val="0"/>
                <w:iCs w:val="0"/>
                <w:color w:val="auto"/>
                <w:sz w:val="22"/>
                <w:szCs w:val="22"/>
                <w:highlight w:val="none"/>
                <w:u w:val="none"/>
              </w:rPr>
            </w:pPr>
          </w:p>
        </w:tc>
        <w:tc>
          <w:tcPr>
            <w:tcW w:w="684" w:type="pct"/>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2650" w:type="pct"/>
            <w:gridSpan w:val="2"/>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单位：伊通满族自治县统计局</w:t>
            </w:r>
          </w:p>
        </w:tc>
        <w:tc>
          <w:tcPr>
            <w:tcW w:w="833" w:type="pct"/>
            <w:tcBorders>
              <w:top w:val="nil"/>
              <w:left w:val="nil"/>
              <w:bottom w:val="nil"/>
              <w:right w:val="nil"/>
            </w:tcBorders>
            <w:shd w:val="clear" w:color="auto" w:fill="FFFFFF"/>
            <w:noWrap w:val="0"/>
            <w:vAlign w:val="center"/>
          </w:tcPr>
          <w:p>
            <w:pPr>
              <w:rPr>
                <w:rFonts w:hint="default" w:ascii="Times New Roman" w:hAnsi="Times New Roman" w:eastAsia="宋体" w:cs="Times New Roman"/>
                <w:b w:val="0"/>
                <w:bCs w:val="0"/>
                <w:i w:val="0"/>
                <w:iCs w:val="0"/>
                <w:color w:val="auto"/>
                <w:sz w:val="22"/>
                <w:szCs w:val="22"/>
                <w:highlight w:val="none"/>
                <w:u w:val="none"/>
              </w:rPr>
            </w:pPr>
          </w:p>
        </w:tc>
        <w:tc>
          <w:tcPr>
            <w:tcW w:w="830" w:type="pct"/>
            <w:tcBorders>
              <w:top w:val="nil"/>
              <w:left w:val="nil"/>
              <w:bottom w:val="nil"/>
              <w:right w:val="nil"/>
            </w:tcBorders>
            <w:shd w:val="clear" w:color="auto" w:fill="FFFFFF"/>
            <w:noWrap w:val="0"/>
            <w:vAlign w:val="center"/>
          </w:tcPr>
          <w:p>
            <w:pPr>
              <w:jc w:val="center"/>
              <w:rPr>
                <w:rFonts w:hint="default" w:ascii="Times New Roman" w:hAnsi="Times New Roman" w:eastAsia="宋体" w:cs="Times New Roman"/>
                <w:b w:val="0"/>
                <w:bCs w:val="0"/>
                <w:i w:val="0"/>
                <w:iCs w:val="0"/>
                <w:color w:val="auto"/>
                <w:sz w:val="22"/>
                <w:szCs w:val="22"/>
                <w:highlight w:val="none"/>
                <w:u w:val="none"/>
              </w:rPr>
            </w:pPr>
          </w:p>
        </w:tc>
        <w:tc>
          <w:tcPr>
            <w:tcW w:w="684" w:type="pct"/>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pct"/>
          <w:trHeight w:val="377" w:hRule="atLeast"/>
          <w:jc w:val="center"/>
        </w:trPr>
        <w:tc>
          <w:tcPr>
            <w:tcW w:w="265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 xml:space="preserve">项 </w:t>
            </w:r>
            <w:r>
              <w:rPr>
                <w:rStyle w:val="103"/>
                <w:rFonts w:hint="default" w:ascii="Times New Roman" w:hAnsi="Times New Roman" w:eastAsia="宋体" w:cs="Times New Roman"/>
                <w:b w:val="0"/>
                <w:bCs w:val="0"/>
                <w:color w:val="auto"/>
                <w:highlight w:val="none"/>
                <w:lang w:val="en-US" w:eastAsia="zh-CN" w:bidi="ar"/>
              </w:rPr>
              <w:t xml:space="preserve">   </w:t>
            </w:r>
            <w:r>
              <w:rPr>
                <w:rStyle w:val="104"/>
                <w:rFonts w:hint="default" w:ascii="Times New Roman" w:hAnsi="Times New Roman" w:eastAsia="宋体" w:cs="Times New Roman"/>
                <w:b w:val="0"/>
                <w:bCs w:val="0"/>
                <w:color w:val="auto"/>
                <w:highlight w:val="none"/>
                <w:lang w:val="en-US" w:eastAsia="zh-CN" w:bidi="ar"/>
              </w:rPr>
              <w:t>目</w:t>
            </w:r>
          </w:p>
        </w:tc>
        <w:tc>
          <w:tcPr>
            <w:tcW w:w="2329"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2"/>
                <w:szCs w:val="22"/>
                <w:highlight w:val="none"/>
                <w:u w:val="none"/>
                <w:lang w:val="en-US" w:eastAsia="zh-CN" w:bidi="ar"/>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pct"/>
          <w:trHeight w:val="340"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科目代码</w:t>
            </w:r>
          </w:p>
        </w:tc>
        <w:tc>
          <w:tcPr>
            <w:tcW w:w="19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科目名称</w:t>
            </w:r>
          </w:p>
        </w:tc>
        <w:tc>
          <w:tcPr>
            <w:tcW w:w="8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eastAsia" w:cs="Times New Roman"/>
                <w:b w:val="0"/>
                <w:bCs w:val="0"/>
                <w:i w:val="0"/>
                <w:iCs w:val="0"/>
                <w:color w:val="auto"/>
                <w:kern w:val="0"/>
                <w:sz w:val="22"/>
                <w:szCs w:val="22"/>
                <w:highlight w:val="none"/>
                <w:u w:val="none"/>
                <w:lang w:val="en-US" w:eastAsia="zh-CN" w:bidi="ar"/>
              </w:rPr>
              <w:t>小</w:t>
            </w:r>
            <w:r>
              <w:rPr>
                <w:rFonts w:hint="default" w:ascii="Times New Roman" w:hAnsi="Times New Roman" w:eastAsia="宋体" w:cs="Times New Roman"/>
                <w:b w:val="0"/>
                <w:bCs w:val="0"/>
                <w:i w:val="0"/>
                <w:iCs w:val="0"/>
                <w:color w:val="auto"/>
                <w:kern w:val="0"/>
                <w:sz w:val="22"/>
                <w:szCs w:val="22"/>
                <w:highlight w:val="none"/>
                <w:u w:val="none"/>
                <w:lang w:val="en-US" w:eastAsia="zh-CN" w:bidi="ar"/>
              </w:rPr>
              <w:t>计</w:t>
            </w:r>
          </w:p>
        </w:tc>
        <w:tc>
          <w:tcPr>
            <w:tcW w:w="830" w:type="pc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基本支出</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eastAsia" w:cs="Times New Roman"/>
                <w:b w:val="0"/>
                <w:bCs w:val="0"/>
                <w:i w:val="0"/>
                <w:iCs w:val="0"/>
                <w:color w:val="auto"/>
                <w:kern w:val="0"/>
                <w:sz w:val="22"/>
                <w:szCs w:val="22"/>
                <w:highlight w:val="none"/>
                <w:u w:val="none"/>
                <w:lang w:val="en-US" w:eastAsia="zh-CN" w:bidi="ar"/>
              </w:rPr>
              <w:t>项目</w:t>
            </w:r>
            <w:r>
              <w:rPr>
                <w:rFonts w:hint="default" w:ascii="Times New Roman" w:hAnsi="Times New Roman" w:eastAsia="宋体" w:cs="Times New Roman"/>
                <w:b w:val="0"/>
                <w:bCs w:val="0"/>
                <w:i w:val="0"/>
                <w:iCs w:val="0"/>
                <w:color w:val="auto"/>
                <w:kern w:val="0"/>
                <w:sz w:val="22"/>
                <w:szCs w:val="22"/>
                <w:highlight w:val="none"/>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pct"/>
          <w:trHeight w:val="377" w:hRule="atLeast"/>
          <w:jc w:val="center"/>
        </w:trPr>
        <w:tc>
          <w:tcPr>
            <w:tcW w:w="265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栏次</w:t>
            </w:r>
          </w:p>
        </w:tc>
        <w:tc>
          <w:tcPr>
            <w:tcW w:w="8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1</w:t>
            </w:r>
          </w:p>
        </w:tc>
        <w:tc>
          <w:tcPr>
            <w:tcW w:w="8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2</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eastAsia" w:cs="Times New Roman"/>
                <w:b w:val="0"/>
                <w:bCs w:val="0"/>
                <w:i w:val="0"/>
                <w:iCs w:val="0"/>
                <w:color w:val="auto"/>
                <w:kern w:val="0"/>
                <w:sz w:val="22"/>
                <w:szCs w:val="22"/>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pct"/>
          <w:trHeight w:val="377" w:hRule="atLeast"/>
          <w:jc w:val="center"/>
        </w:trPr>
        <w:tc>
          <w:tcPr>
            <w:tcW w:w="265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合计</w:t>
            </w:r>
          </w:p>
        </w:tc>
        <w:tc>
          <w:tcPr>
            <w:tcW w:w="8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 xml:space="preserve">93.49 </w:t>
            </w:r>
          </w:p>
        </w:tc>
        <w:tc>
          <w:tcPr>
            <w:tcW w:w="83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 xml:space="preserve">59.25 </w:t>
            </w:r>
          </w:p>
        </w:tc>
        <w:tc>
          <w:tcPr>
            <w:tcW w:w="664"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 xml:space="preserve">34.24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w:t>
            </w:r>
          </w:p>
        </w:tc>
        <w:tc>
          <w:tcPr>
            <w:tcW w:w="197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一般公共服务支出</w:t>
            </w:r>
          </w:p>
        </w:tc>
        <w:tc>
          <w:tcPr>
            <w:tcW w:w="8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79.75 </w:t>
            </w:r>
          </w:p>
        </w:tc>
        <w:tc>
          <w:tcPr>
            <w:tcW w:w="83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45.51 </w:t>
            </w:r>
          </w:p>
        </w:tc>
        <w:tc>
          <w:tcPr>
            <w:tcW w:w="664"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34.24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20105</w:t>
            </w:r>
          </w:p>
        </w:tc>
        <w:tc>
          <w:tcPr>
            <w:tcW w:w="197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统计信息事务</w:t>
            </w:r>
          </w:p>
        </w:tc>
        <w:tc>
          <w:tcPr>
            <w:tcW w:w="8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79.75 </w:t>
            </w:r>
          </w:p>
        </w:tc>
        <w:tc>
          <w:tcPr>
            <w:tcW w:w="83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45.51 </w:t>
            </w:r>
          </w:p>
        </w:tc>
        <w:tc>
          <w:tcPr>
            <w:tcW w:w="664"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34.24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2010501</w:t>
            </w:r>
          </w:p>
        </w:tc>
        <w:tc>
          <w:tcPr>
            <w:tcW w:w="197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行政运行</w:t>
            </w:r>
          </w:p>
        </w:tc>
        <w:tc>
          <w:tcPr>
            <w:tcW w:w="8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45.51 </w:t>
            </w:r>
          </w:p>
        </w:tc>
        <w:tc>
          <w:tcPr>
            <w:tcW w:w="83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45.51 </w:t>
            </w:r>
          </w:p>
        </w:tc>
        <w:tc>
          <w:tcPr>
            <w:tcW w:w="664"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2010502</w:t>
            </w:r>
          </w:p>
        </w:tc>
        <w:tc>
          <w:tcPr>
            <w:tcW w:w="197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一般行政管理事务</w:t>
            </w:r>
          </w:p>
        </w:tc>
        <w:tc>
          <w:tcPr>
            <w:tcW w:w="8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34.24 </w:t>
            </w:r>
          </w:p>
        </w:tc>
        <w:tc>
          <w:tcPr>
            <w:tcW w:w="83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b w:val="0"/>
                <w:bCs w:val="0"/>
                <w:i w:val="0"/>
                <w:iCs w:val="0"/>
                <w:color w:val="auto"/>
                <w:sz w:val="22"/>
                <w:szCs w:val="22"/>
                <w:highlight w:val="none"/>
                <w:u w:val="none"/>
              </w:rPr>
            </w:pPr>
          </w:p>
        </w:tc>
        <w:tc>
          <w:tcPr>
            <w:tcW w:w="664"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34.24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208</w:t>
            </w:r>
          </w:p>
        </w:tc>
        <w:tc>
          <w:tcPr>
            <w:tcW w:w="197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社会保障和就业支出</w:t>
            </w:r>
          </w:p>
        </w:tc>
        <w:tc>
          <w:tcPr>
            <w:tcW w:w="8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8.17 </w:t>
            </w:r>
          </w:p>
        </w:tc>
        <w:tc>
          <w:tcPr>
            <w:tcW w:w="83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8.17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b/>
                <w:bCs/>
                <w:i w:val="0"/>
                <w:iCs w:val="0"/>
                <w:color w:val="auto"/>
                <w:kern w:val="0"/>
                <w:sz w:val="22"/>
                <w:szCs w:val="22"/>
                <w:highlight w:val="none"/>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20805</w:t>
            </w:r>
          </w:p>
        </w:tc>
        <w:tc>
          <w:tcPr>
            <w:tcW w:w="197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行政事业单位养老支出</w:t>
            </w:r>
          </w:p>
        </w:tc>
        <w:tc>
          <w:tcPr>
            <w:tcW w:w="8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8.17 </w:t>
            </w:r>
          </w:p>
        </w:tc>
        <w:tc>
          <w:tcPr>
            <w:tcW w:w="83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8.17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2080501</w:t>
            </w:r>
          </w:p>
        </w:tc>
        <w:tc>
          <w:tcPr>
            <w:tcW w:w="197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行政单位离退休</w:t>
            </w:r>
          </w:p>
        </w:tc>
        <w:tc>
          <w:tcPr>
            <w:tcW w:w="8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3.35 </w:t>
            </w:r>
          </w:p>
        </w:tc>
        <w:tc>
          <w:tcPr>
            <w:tcW w:w="83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3.35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2080505</w:t>
            </w:r>
          </w:p>
        </w:tc>
        <w:tc>
          <w:tcPr>
            <w:tcW w:w="197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机关事业单位基本养老保险缴费支出</w:t>
            </w:r>
          </w:p>
        </w:tc>
        <w:tc>
          <w:tcPr>
            <w:tcW w:w="8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4.82 </w:t>
            </w:r>
          </w:p>
        </w:tc>
        <w:tc>
          <w:tcPr>
            <w:tcW w:w="83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4.82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b w:val="0"/>
                <w:bCs w:val="0"/>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210</w:t>
            </w:r>
          </w:p>
        </w:tc>
        <w:tc>
          <w:tcPr>
            <w:tcW w:w="197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卫生健康支出</w:t>
            </w:r>
          </w:p>
        </w:tc>
        <w:tc>
          <w:tcPr>
            <w:tcW w:w="8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83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b w:val="0"/>
                <w:bCs w:val="0"/>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21011</w:t>
            </w:r>
          </w:p>
        </w:tc>
        <w:tc>
          <w:tcPr>
            <w:tcW w:w="197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行政事业单位医疗</w:t>
            </w:r>
          </w:p>
        </w:tc>
        <w:tc>
          <w:tcPr>
            <w:tcW w:w="8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83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b w:val="0"/>
                <w:bCs w:val="0"/>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2101101</w:t>
            </w:r>
          </w:p>
        </w:tc>
        <w:tc>
          <w:tcPr>
            <w:tcW w:w="197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行政单位医疗</w:t>
            </w:r>
          </w:p>
        </w:tc>
        <w:tc>
          <w:tcPr>
            <w:tcW w:w="8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83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1.76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b w:val="0"/>
                <w:bCs w:val="0"/>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221</w:t>
            </w:r>
          </w:p>
        </w:tc>
        <w:tc>
          <w:tcPr>
            <w:tcW w:w="197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住房保障支出</w:t>
            </w:r>
          </w:p>
        </w:tc>
        <w:tc>
          <w:tcPr>
            <w:tcW w:w="8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3.81 </w:t>
            </w:r>
          </w:p>
        </w:tc>
        <w:tc>
          <w:tcPr>
            <w:tcW w:w="83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3.81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b w:val="0"/>
                <w:bCs w:val="0"/>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22102</w:t>
            </w:r>
          </w:p>
        </w:tc>
        <w:tc>
          <w:tcPr>
            <w:tcW w:w="197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住房改革支出</w:t>
            </w:r>
          </w:p>
        </w:tc>
        <w:tc>
          <w:tcPr>
            <w:tcW w:w="8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3.81 </w:t>
            </w:r>
          </w:p>
        </w:tc>
        <w:tc>
          <w:tcPr>
            <w:tcW w:w="83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3.81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b w:val="0"/>
                <w:bCs w:val="0"/>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pct"/>
          <w:trHeight w:val="377" w:hRule="atLeast"/>
          <w:jc w:val="center"/>
        </w:trPr>
        <w:tc>
          <w:tcPr>
            <w:tcW w:w="6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2210201</w:t>
            </w:r>
          </w:p>
        </w:tc>
        <w:tc>
          <w:tcPr>
            <w:tcW w:w="197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u w:val="none"/>
                <w:lang w:val="en-US" w:eastAsia="zh-CN" w:bidi="ar"/>
              </w:rPr>
              <w:t>住房公积金</w:t>
            </w:r>
          </w:p>
        </w:tc>
        <w:tc>
          <w:tcPr>
            <w:tcW w:w="8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3.81 </w:t>
            </w:r>
          </w:p>
        </w:tc>
        <w:tc>
          <w:tcPr>
            <w:tcW w:w="83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3.81 </w:t>
            </w:r>
          </w:p>
        </w:tc>
        <w:tc>
          <w:tcPr>
            <w:tcW w:w="664" w:type="pct"/>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b w:val="0"/>
                <w:bCs w:val="0"/>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pct"/>
          <w:trHeight w:val="377" w:hRule="atLeast"/>
          <w:jc w:val="center"/>
        </w:trPr>
        <w:tc>
          <w:tcPr>
            <w:tcW w:w="4980" w:type="pct"/>
            <w:gridSpan w:val="5"/>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kern w:val="0"/>
                <w:sz w:val="22"/>
                <w:szCs w:val="22"/>
                <w:highlight w:val="none"/>
                <w:u w:val="none"/>
                <w:lang w:val="en-US" w:eastAsia="zh-CN" w:bidi="ar"/>
              </w:rPr>
            </w:pPr>
            <w:r>
              <w:rPr>
                <w:rFonts w:hint="default" w:ascii="Times New Roman" w:hAnsi="Times New Roman" w:eastAsia="宋体" w:cs="Times New Roman"/>
                <w:b w:val="0"/>
                <w:bCs w:val="0"/>
                <w:i w:val="0"/>
                <w:iCs w:val="0"/>
                <w:color w:val="auto"/>
                <w:kern w:val="0"/>
                <w:sz w:val="22"/>
                <w:szCs w:val="22"/>
                <w:highlight w:val="none"/>
                <w:u w:val="none"/>
                <w:lang w:val="en-US" w:eastAsia="zh-CN" w:bidi="ar"/>
              </w:rPr>
              <w:t>注：本表反映单位本年度一般公共预算财政拨款支出情况。</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黑体" w:cs="Times New Roman"/>
          <w:color w:val="auto"/>
          <w:sz w:val="32"/>
          <w:highlight w:val="none"/>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黑体" w:cs="Times New Roman"/>
          <w:color w:val="auto"/>
          <w:sz w:val="32"/>
          <w:highlight w:val="none"/>
        </w:rPr>
      </w:pP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640" w:firstLineChars="200"/>
        <w:jc w:val="left"/>
        <w:textAlignment w:val="auto"/>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一般公共预算财政拨款基本支出决算明细表</w:t>
      </w:r>
    </w:p>
    <w:tbl>
      <w:tblPr>
        <w:tblStyle w:val="12"/>
        <w:tblpPr w:leftFromText="180" w:rightFromText="180" w:vertAnchor="text" w:horzAnchor="page" w:tblpX="1376" w:tblpY="2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6"/>
        <w:gridCol w:w="3039"/>
        <w:gridCol w:w="887"/>
        <w:gridCol w:w="956"/>
        <w:gridCol w:w="2419"/>
        <w:gridCol w:w="971"/>
        <w:gridCol w:w="904"/>
        <w:gridCol w:w="3586"/>
        <w:gridCol w:w="9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tblHeader/>
        </w:trPr>
        <w:tc>
          <w:tcPr>
            <w:tcW w:w="5000" w:type="pct"/>
            <w:gridSpan w:val="9"/>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32"/>
                <w:szCs w:val="32"/>
                <w:highlight w:val="none"/>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blHeader/>
        </w:trPr>
        <w:tc>
          <w:tcPr>
            <w:tcW w:w="278" w:type="pct"/>
            <w:tcBorders>
              <w:top w:val="nil"/>
              <w:left w:val="nil"/>
              <w:bottom w:val="nil"/>
              <w:right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宋体" w:cs="Times New Roman"/>
                <w:i w:val="0"/>
                <w:iCs w:val="0"/>
                <w:color w:val="auto"/>
                <w:sz w:val="22"/>
                <w:szCs w:val="22"/>
                <w:highlight w:val="none"/>
                <w:u w:val="none"/>
              </w:rPr>
            </w:pPr>
          </w:p>
        </w:tc>
        <w:tc>
          <w:tcPr>
            <w:tcW w:w="1048" w:type="pct"/>
            <w:tcBorders>
              <w:top w:val="nil"/>
              <w:left w:val="nil"/>
              <w:bottom w:val="nil"/>
              <w:right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宋体" w:cs="Times New Roman"/>
                <w:i w:val="0"/>
                <w:iCs w:val="0"/>
                <w:color w:val="auto"/>
                <w:sz w:val="22"/>
                <w:szCs w:val="22"/>
                <w:highlight w:val="none"/>
                <w:u w:val="none"/>
              </w:rPr>
            </w:pPr>
          </w:p>
        </w:tc>
        <w:tc>
          <w:tcPr>
            <w:tcW w:w="305" w:type="pct"/>
            <w:tcBorders>
              <w:top w:val="nil"/>
              <w:left w:val="nil"/>
              <w:bottom w:val="nil"/>
              <w:right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宋体" w:cs="Times New Roman"/>
                <w:i w:val="0"/>
                <w:iCs w:val="0"/>
                <w:color w:val="auto"/>
                <w:sz w:val="22"/>
                <w:szCs w:val="22"/>
                <w:highlight w:val="none"/>
                <w:u w:val="none"/>
              </w:rPr>
            </w:pPr>
          </w:p>
        </w:tc>
        <w:tc>
          <w:tcPr>
            <w:tcW w:w="329" w:type="pct"/>
            <w:tcBorders>
              <w:top w:val="nil"/>
              <w:left w:val="nil"/>
              <w:bottom w:val="nil"/>
              <w:right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834" w:type="pct"/>
            <w:tcBorders>
              <w:top w:val="nil"/>
              <w:left w:val="nil"/>
              <w:bottom w:val="nil"/>
              <w:right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334" w:type="pct"/>
            <w:tcBorders>
              <w:top w:val="nil"/>
              <w:left w:val="nil"/>
              <w:bottom w:val="nil"/>
              <w:right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311" w:type="pct"/>
            <w:tcBorders>
              <w:top w:val="nil"/>
              <w:left w:val="nil"/>
              <w:bottom w:val="nil"/>
              <w:right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1556" w:type="pct"/>
            <w:gridSpan w:val="2"/>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blHeader/>
        </w:trPr>
        <w:tc>
          <w:tcPr>
            <w:tcW w:w="1632" w:type="pct"/>
            <w:gridSpan w:val="3"/>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w:t>
            </w:r>
            <w:r>
              <w:rPr>
                <w:rFonts w:hint="default" w:ascii="Times New Roman" w:hAnsi="Times New Roman" w:cs="Times New Roman"/>
                <w:i w:val="0"/>
                <w:iCs w:val="0"/>
                <w:color w:val="auto"/>
                <w:kern w:val="0"/>
                <w:sz w:val="22"/>
                <w:szCs w:val="22"/>
                <w:highlight w:val="none"/>
                <w:u w:val="none"/>
                <w:lang w:val="en-US" w:eastAsia="zh-CN" w:bidi="ar"/>
              </w:rPr>
              <w:t>伊通满族自治县农村社会经济调查队</w:t>
            </w:r>
          </w:p>
        </w:tc>
        <w:tc>
          <w:tcPr>
            <w:tcW w:w="329" w:type="pct"/>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834" w:type="pct"/>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334" w:type="pct"/>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311" w:type="pct"/>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1556" w:type="pct"/>
            <w:gridSpan w:val="2"/>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blHeader/>
        </w:trPr>
        <w:tc>
          <w:tcPr>
            <w:tcW w:w="2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科目代码</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kern w:val="0"/>
                <w:sz w:val="22"/>
                <w:szCs w:val="22"/>
                <w:highlight w:val="none"/>
                <w:u w:val="none"/>
                <w:lang w:val="en-US" w:eastAsia="zh-CN" w:bidi="ar"/>
              </w:rPr>
            </w:pPr>
            <w:r>
              <w:rPr>
                <w:rFonts w:hint="default" w:ascii="Times New Roman" w:hAnsi="Times New Roman" w:eastAsia="宋体" w:cs="Times New Roman"/>
                <w:i w:val="0"/>
                <w:iCs w:val="0"/>
                <w:color w:val="auto"/>
                <w:kern w:val="0"/>
                <w:sz w:val="22"/>
                <w:szCs w:val="22"/>
                <w:highlight w:val="none"/>
                <w:u w:val="none"/>
                <w:lang w:val="en-US" w:eastAsia="zh-CN" w:bidi="ar"/>
              </w:rPr>
              <w:t>科目</w:t>
            </w:r>
          </w:p>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代码</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c>
          <w:tcPr>
            <w:tcW w:w="3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科目代码</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3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301</w:t>
            </w:r>
          </w:p>
        </w:tc>
        <w:tc>
          <w:tcPr>
            <w:tcW w:w="30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工资福利支出</w:t>
            </w:r>
          </w:p>
        </w:tc>
        <w:tc>
          <w:tcPr>
            <w:tcW w:w="8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48.27 </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w:t>
            </w:r>
          </w:p>
        </w:tc>
        <w:tc>
          <w:tcPr>
            <w:tcW w:w="24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商品和服务支出</w:t>
            </w:r>
          </w:p>
        </w:tc>
        <w:tc>
          <w:tcPr>
            <w:tcW w:w="9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7.49 </w:t>
            </w:r>
          </w:p>
        </w:tc>
        <w:tc>
          <w:tcPr>
            <w:tcW w:w="9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307</w:t>
            </w:r>
          </w:p>
        </w:tc>
        <w:tc>
          <w:tcPr>
            <w:tcW w:w="35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债务利息及费用支出</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30101</w:t>
            </w:r>
          </w:p>
        </w:tc>
        <w:tc>
          <w:tcPr>
            <w:tcW w:w="30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基本工资</w:t>
            </w:r>
          </w:p>
        </w:tc>
        <w:tc>
          <w:tcPr>
            <w:tcW w:w="8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13.54 </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30201</w:t>
            </w:r>
          </w:p>
        </w:tc>
        <w:tc>
          <w:tcPr>
            <w:tcW w:w="24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办公费</w:t>
            </w:r>
          </w:p>
        </w:tc>
        <w:tc>
          <w:tcPr>
            <w:tcW w:w="9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1.80 </w:t>
            </w:r>
          </w:p>
        </w:tc>
        <w:tc>
          <w:tcPr>
            <w:tcW w:w="9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30701</w:t>
            </w:r>
          </w:p>
        </w:tc>
        <w:tc>
          <w:tcPr>
            <w:tcW w:w="35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国内债务付息</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30102</w:t>
            </w:r>
          </w:p>
        </w:tc>
        <w:tc>
          <w:tcPr>
            <w:tcW w:w="30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津贴补贴</w:t>
            </w:r>
          </w:p>
        </w:tc>
        <w:tc>
          <w:tcPr>
            <w:tcW w:w="8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11.71 </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30202</w:t>
            </w:r>
          </w:p>
        </w:tc>
        <w:tc>
          <w:tcPr>
            <w:tcW w:w="24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印刷费</w:t>
            </w:r>
          </w:p>
        </w:tc>
        <w:tc>
          <w:tcPr>
            <w:tcW w:w="97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30702</w:t>
            </w:r>
          </w:p>
        </w:tc>
        <w:tc>
          <w:tcPr>
            <w:tcW w:w="35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国外债务付息</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30103</w:t>
            </w:r>
          </w:p>
        </w:tc>
        <w:tc>
          <w:tcPr>
            <w:tcW w:w="30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奖金</w:t>
            </w:r>
          </w:p>
        </w:tc>
        <w:tc>
          <w:tcPr>
            <w:tcW w:w="8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11.50 </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30204</w:t>
            </w:r>
          </w:p>
        </w:tc>
        <w:tc>
          <w:tcPr>
            <w:tcW w:w="24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手续费</w:t>
            </w:r>
          </w:p>
        </w:tc>
        <w:tc>
          <w:tcPr>
            <w:tcW w:w="97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310</w:t>
            </w:r>
          </w:p>
        </w:tc>
        <w:tc>
          <w:tcPr>
            <w:tcW w:w="35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资本性支出</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30106</w:t>
            </w:r>
          </w:p>
        </w:tc>
        <w:tc>
          <w:tcPr>
            <w:tcW w:w="30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伙食补助费</w:t>
            </w:r>
          </w:p>
        </w:tc>
        <w:tc>
          <w:tcPr>
            <w:tcW w:w="887"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30205</w:t>
            </w:r>
          </w:p>
        </w:tc>
        <w:tc>
          <w:tcPr>
            <w:tcW w:w="24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水费</w:t>
            </w:r>
          </w:p>
        </w:tc>
        <w:tc>
          <w:tcPr>
            <w:tcW w:w="97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31001</w:t>
            </w:r>
          </w:p>
        </w:tc>
        <w:tc>
          <w:tcPr>
            <w:tcW w:w="35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房屋建筑物购建</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30107</w:t>
            </w:r>
          </w:p>
        </w:tc>
        <w:tc>
          <w:tcPr>
            <w:tcW w:w="30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绩效工资</w:t>
            </w:r>
          </w:p>
        </w:tc>
        <w:tc>
          <w:tcPr>
            <w:tcW w:w="887"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30206</w:t>
            </w:r>
          </w:p>
        </w:tc>
        <w:tc>
          <w:tcPr>
            <w:tcW w:w="24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电费</w:t>
            </w:r>
          </w:p>
        </w:tc>
        <w:tc>
          <w:tcPr>
            <w:tcW w:w="97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31002</w:t>
            </w:r>
          </w:p>
        </w:tc>
        <w:tc>
          <w:tcPr>
            <w:tcW w:w="35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办公设备购置</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30108</w:t>
            </w:r>
          </w:p>
        </w:tc>
        <w:tc>
          <w:tcPr>
            <w:tcW w:w="30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机关事业单位基本养老保险缴费</w:t>
            </w:r>
          </w:p>
        </w:tc>
        <w:tc>
          <w:tcPr>
            <w:tcW w:w="8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4.82 </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30207</w:t>
            </w:r>
          </w:p>
        </w:tc>
        <w:tc>
          <w:tcPr>
            <w:tcW w:w="24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邮电费</w:t>
            </w:r>
          </w:p>
        </w:tc>
        <w:tc>
          <w:tcPr>
            <w:tcW w:w="9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0.24 </w:t>
            </w:r>
          </w:p>
        </w:tc>
        <w:tc>
          <w:tcPr>
            <w:tcW w:w="9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31003</w:t>
            </w:r>
          </w:p>
        </w:tc>
        <w:tc>
          <w:tcPr>
            <w:tcW w:w="35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专用设备购置</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30109</w:t>
            </w:r>
          </w:p>
        </w:tc>
        <w:tc>
          <w:tcPr>
            <w:tcW w:w="30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职业年金缴费</w:t>
            </w:r>
          </w:p>
        </w:tc>
        <w:tc>
          <w:tcPr>
            <w:tcW w:w="887"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30208</w:t>
            </w:r>
          </w:p>
        </w:tc>
        <w:tc>
          <w:tcPr>
            <w:tcW w:w="24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取暖费</w:t>
            </w:r>
          </w:p>
        </w:tc>
        <w:tc>
          <w:tcPr>
            <w:tcW w:w="97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31005</w:t>
            </w:r>
          </w:p>
        </w:tc>
        <w:tc>
          <w:tcPr>
            <w:tcW w:w="35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基础设施建设</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30110</w:t>
            </w:r>
          </w:p>
        </w:tc>
        <w:tc>
          <w:tcPr>
            <w:tcW w:w="30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职工基本医疗保险缴费</w:t>
            </w:r>
          </w:p>
        </w:tc>
        <w:tc>
          <w:tcPr>
            <w:tcW w:w="8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1.71 </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30209</w:t>
            </w:r>
          </w:p>
        </w:tc>
        <w:tc>
          <w:tcPr>
            <w:tcW w:w="24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物业管理费</w:t>
            </w:r>
          </w:p>
        </w:tc>
        <w:tc>
          <w:tcPr>
            <w:tcW w:w="97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31006</w:t>
            </w:r>
          </w:p>
        </w:tc>
        <w:tc>
          <w:tcPr>
            <w:tcW w:w="35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大型修缮</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30111</w:t>
            </w:r>
          </w:p>
        </w:tc>
        <w:tc>
          <w:tcPr>
            <w:tcW w:w="30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公务员医疗补助缴费</w:t>
            </w:r>
          </w:p>
        </w:tc>
        <w:tc>
          <w:tcPr>
            <w:tcW w:w="887"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30211</w:t>
            </w:r>
          </w:p>
        </w:tc>
        <w:tc>
          <w:tcPr>
            <w:tcW w:w="24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差旅费</w:t>
            </w:r>
          </w:p>
        </w:tc>
        <w:tc>
          <w:tcPr>
            <w:tcW w:w="9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1.91 </w:t>
            </w:r>
          </w:p>
        </w:tc>
        <w:tc>
          <w:tcPr>
            <w:tcW w:w="9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31007</w:t>
            </w:r>
          </w:p>
        </w:tc>
        <w:tc>
          <w:tcPr>
            <w:tcW w:w="35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信息网络及软件购置更新</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30112</w:t>
            </w:r>
          </w:p>
        </w:tc>
        <w:tc>
          <w:tcPr>
            <w:tcW w:w="30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其他社会保障缴费</w:t>
            </w:r>
          </w:p>
        </w:tc>
        <w:tc>
          <w:tcPr>
            <w:tcW w:w="8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0.05 </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30212</w:t>
            </w:r>
          </w:p>
        </w:tc>
        <w:tc>
          <w:tcPr>
            <w:tcW w:w="24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因公出国（境）费用</w:t>
            </w:r>
          </w:p>
        </w:tc>
        <w:tc>
          <w:tcPr>
            <w:tcW w:w="97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31008</w:t>
            </w:r>
          </w:p>
        </w:tc>
        <w:tc>
          <w:tcPr>
            <w:tcW w:w="35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物资储备</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30113</w:t>
            </w:r>
          </w:p>
        </w:tc>
        <w:tc>
          <w:tcPr>
            <w:tcW w:w="30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住房公积金</w:t>
            </w:r>
          </w:p>
        </w:tc>
        <w:tc>
          <w:tcPr>
            <w:tcW w:w="8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3.81 </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30213</w:t>
            </w:r>
          </w:p>
        </w:tc>
        <w:tc>
          <w:tcPr>
            <w:tcW w:w="24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维修（护）费</w:t>
            </w:r>
          </w:p>
        </w:tc>
        <w:tc>
          <w:tcPr>
            <w:tcW w:w="97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31009</w:t>
            </w:r>
          </w:p>
        </w:tc>
        <w:tc>
          <w:tcPr>
            <w:tcW w:w="35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土地补偿</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30114</w:t>
            </w:r>
          </w:p>
        </w:tc>
        <w:tc>
          <w:tcPr>
            <w:tcW w:w="30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医疗费</w:t>
            </w:r>
          </w:p>
        </w:tc>
        <w:tc>
          <w:tcPr>
            <w:tcW w:w="8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0.56 </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30214</w:t>
            </w:r>
          </w:p>
        </w:tc>
        <w:tc>
          <w:tcPr>
            <w:tcW w:w="24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租赁费</w:t>
            </w:r>
          </w:p>
        </w:tc>
        <w:tc>
          <w:tcPr>
            <w:tcW w:w="97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31010</w:t>
            </w:r>
          </w:p>
        </w:tc>
        <w:tc>
          <w:tcPr>
            <w:tcW w:w="35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安置补助</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30199</w:t>
            </w:r>
          </w:p>
        </w:tc>
        <w:tc>
          <w:tcPr>
            <w:tcW w:w="30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其他工资福利支出</w:t>
            </w:r>
          </w:p>
        </w:tc>
        <w:tc>
          <w:tcPr>
            <w:tcW w:w="8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0.55 </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30215</w:t>
            </w:r>
          </w:p>
        </w:tc>
        <w:tc>
          <w:tcPr>
            <w:tcW w:w="24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会议费</w:t>
            </w:r>
          </w:p>
        </w:tc>
        <w:tc>
          <w:tcPr>
            <w:tcW w:w="97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31011</w:t>
            </w:r>
          </w:p>
        </w:tc>
        <w:tc>
          <w:tcPr>
            <w:tcW w:w="35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地上附着物和青苗补偿</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303</w:t>
            </w:r>
          </w:p>
        </w:tc>
        <w:tc>
          <w:tcPr>
            <w:tcW w:w="30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对个人和家庭的补助</w:t>
            </w:r>
          </w:p>
        </w:tc>
        <w:tc>
          <w:tcPr>
            <w:tcW w:w="8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3.50 </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30216</w:t>
            </w:r>
          </w:p>
        </w:tc>
        <w:tc>
          <w:tcPr>
            <w:tcW w:w="24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培训费</w:t>
            </w:r>
          </w:p>
        </w:tc>
        <w:tc>
          <w:tcPr>
            <w:tcW w:w="97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31012</w:t>
            </w:r>
          </w:p>
        </w:tc>
        <w:tc>
          <w:tcPr>
            <w:tcW w:w="35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拆迁补偿</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30301</w:t>
            </w:r>
          </w:p>
        </w:tc>
        <w:tc>
          <w:tcPr>
            <w:tcW w:w="30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离休费</w:t>
            </w:r>
          </w:p>
        </w:tc>
        <w:tc>
          <w:tcPr>
            <w:tcW w:w="887"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30217</w:t>
            </w:r>
          </w:p>
        </w:tc>
        <w:tc>
          <w:tcPr>
            <w:tcW w:w="24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公务接待费</w:t>
            </w:r>
          </w:p>
        </w:tc>
        <w:tc>
          <w:tcPr>
            <w:tcW w:w="97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31013</w:t>
            </w:r>
          </w:p>
        </w:tc>
        <w:tc>
          <w:tcPr>
            <w:tcW w:w="35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公务用车购置</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30302</w:t>
            </w:r>
          </w:p>
        </w:tc>
        <w:tc>
          <w:tcPr>
            <w:tcW w:w="30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退休费</w:t>
            </w:r>
          </w:p>
        </w:tc>
        <w:tc>
          <w:tcPr>
            <w:tcW w:w="8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3.35 </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30218</w:t>
            </w:r>
          </w:p>
        </w:tc>
        <w:tc>
          <w:tcPr>
            <w:tcW w:w="24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专用材料费</w:t>
            </w:r>
          </w:p>
        </w:tc>
        <w:tc>
          <w:tcPr>
            <w:tcW w:w="97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31019</w:t>
            </w:r>
          </w:p>
        </w:tc>
        <w:tc>
          <w:tcPr>
            <w:tcW w:w="35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其他交通工具购置</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8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30303</w:t>
            </w:r>
          </w:p>
        </w:tc>
        <w:tc>
          <w:tcPr>
            <w:tcW w:w="30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退职（役）费</w:t>
            </w:r>
          </w:p>
        </w:tc>
        <w:tc>
          <w:tcPr>
            <w:tcW w:w="887"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30224</w:t>
            </w:r>
          </w:p>
        </w:tc>
        <w:tc>
          <w:tcPr>
            <w:tcW w:w="24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被装购置费</w:t>
            </w:r>
          </w:p>
        </w:tc>
        <w:tc>
          <w:tcPr>
            <w:tcW w:w="971"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90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31021</w:t>
            </w:r>
          </w:p>
        </w:tc>
        <w:tc>
          <w:tcPr>
            <w:tcW w:w="35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文物和陈列品购置</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bl>
    <w:p>
      <w:pPr>
        <w:rPr>
          <w:rFonts w:hint="default" w:ascii="Times New Roman" w:hAnsi="Times New Roman" w:cs="Times New Roman"/>
          <w:color w:val="auto"/>
          <w:highlight w:val="none"/>
        </w:rPr>
      </w:pPr>
    </w:p>
    <w:tbl>
      <w:tblPr>
        <w:tblStyle w:val="12"/>
        <w:tblW w:w="498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3"/>
        <w:gridCol w:w="2970"/>
        <w:gridCol w:w="1075"/>
        <w:gridCol w:w="823"/>
        <w:gridCol w:w="2521"/>
        <w:gridCol w:w="755"/>
        <w:gridCol w:w="859"/>
        <w:gridCol w:w="3722"/>
        <w:gridCol w:w="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blHeader/>
          <w:jc w:val="center"/>
        </w:trPr>
        <w:tc>
          <w:tcPr>
            <w:tcW w:w="5000" w:type="pct"/>
            <w:gridSpan w:val="9"/>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32"/>
                <w:szCs w:val="32"/>
                <w:highlight w:val="none"/>
                <w:u w:val="none"/>
                <w:lang w:val="en-US" w:eastAsia="zh-CN" w:bidi="ar"/>
              </w:rPr>
              <w:t>一般公共预算财政拨款基本支出决算明细表（续表）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blHeader/>
          <w:jc w:val="center"/>
        </w:trPr>
        <w:tc>
          <w:tcPr>
            <w:tcW w:w="277" w:type="pct"/>
            <w:tcBorders>
              <w:top w:val="nil"/>
              <w:left w:val="nil"/>
              <w:bottom w:val="nil"/>
              <w:right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宋体" w:cs="Times New Roman"/>
                <w:i w:val="0"/>
                <w:iCs w:val="0"/>
                <w:color w:val="auto"/>
                <w:sz w:val="22"/>
                <w:szCs w:val="22"/>
                <w:highlight w:val="none"/>
                <w:u w:val="none"/>
              </w:rPr>
            </w:pPr>
          </w:p>
        </w:tc>
        <w:tc>
          <w:tcPr>
            <w:tcW w:w="1027" w:type="pct"/>
            <w:tcBorders>
              <w:top w:val="nil"/>
              <w:left w:val="nil"/>
              <w:bottom w:val="nil"/>
              <w:right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宋体" w:cs="Times New Roman"/>
                <w:i w:val="0"/>
                <w:iCs w:val="0"/>
                <w:color w:val="auto"/>
                <w:sz w:val="22"/>
                <w:szCs w:val="22"/>
                <w:highlight w:val="none"/>
                <w:u w:val="none"/>
              </w:rPr>
            </w:pPr>
          </w:p>
        </w:tc>
        <w:tc>
          <w:tcPr>
            <w:tcW w:w="371" w:type="pct"/>
            <w:tcBorders>
              <w:top w:val="nil"/>
              <w:left w:val="nil"/>
              <w:bottom w:val="nil"/>
              <w:right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宋体" w:cs="Times New Roman"/>
                <w:i w:val="0"/>
                <w:iCs w:val="0"/>
                <w:color w:val="auto"/>
                <w:sz w:val="22"/>
                <w:szCs w:val="22"/>
                <w:highlight w:val="none"/>
                <w:u w:val="none"/>
              </w:rPr>
            </w:pPr>
          </w:p>
        </w:tc>
        <w:tc>
          <w:tcPr>
            <w:tcW w:w="284" w:type="pct"/>
            <w:tcBorders>
              <w:top w:val="nil"/>
              <w:left w:val="nil"/>
              <w:bottom w:val="nil"/>
              <w:right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871" w:type="pct"/>
            <w:tcBorders>
              <w:top w:val="nil"/>
              <w:left w:val="nil"/>
              <w:bottom w:val="nil"/>
              <w:right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261" w:type="pct"/>
            <w:tcBorders>
              <w:top w:val="nil"/>
              <w:left w:val="nil"/>
              <w:bottom w:val="nil"/>
              <w:right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297" w:type="pct"/>
            <w:tcBorders>
              <w:top w:val="nil"/>
              <w:left w:val="nil"/>
              <w:bottom w:val="nil"/>
              <w:right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1609" w:type="pct"/>
            <w:gridSpan w:val="2"/>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right"/>
              <w:textAlignment w:val="center"/>
              <w:rPr>
                <w:rFonts w:hint="default" w:ascii="Times New Roman" w:hAnsi="Times New Roman" w:eastAsia="宋体" w:cs="Times New Roman"/>
                <w:i w:val="0"/>
                <w:iCs w:val="0"/>
                <w:color w:val="auto"/>
                <w:sz w:val="22"/>
                <w:szCs w:val="22"/>
                <w:highlight w:val="none"/>
                <w:u w:val="none"/>
                <w:lang w:val="en-US"/>
              </w:rPr>
            </w:pPr>
            <w:r>
              <w:rPr>
                <w:rFonts w:hint="default" w:ascii="Times New Roman" w:hAnsi="Times New Roman" w:eastAsia="宋体" w:cs="Times New Roman"/>
                <w:i w:val="0"/>
                <w:iCs w:val="0"/>
                <w:color w:val="auto"/>
                <w:kern w:val="0"/>
                <w:sz w:val="22"/>
                <w:szCs w:val="22"/>
                <w:highlight w:val="none"/>
                <w:u w:val="none"/>
                <w:lang w:val="en-US" w:eastAsia="zh-CN" w:bidi="ar"/>
              </w:rPr>
              <w:t>公开06表（续）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blHeader/>
          <w:jc w:val="center"/>
        </w:trPr>
        <w:tc>
          <w:tcPr>
            <w:tcW w:w="1676" w:type="pct"/>
            <w:gridSpan w:val="3"/>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w:t>
            </w:r>
            <w:r>
              <w:rPr>
                <w:rFonts w:hint="default" w:ascii="Times New Roman" w:hAnsi="Times New Roman" w:cs="Times New Roman"/>
                <w:i w:val="0"/>
                <w:iCs w:val="0"/>
                <w:color w:val="auto"/>
                <w:kern w:val="0"/>
                <w:sz w:val="22"/>
                <w:szCs w:val="22"/>
                <w:highlight w:val="none"/>
                <w:u w:val="none"/>
                <w:lang w:val="en-US" w:eastAsia="zh-CN" w:bidi="ar"/>
              </w:rPr>
              <w:t>伊通满族自治县农村社会经济调查队</w:t>
            </w:r>
          </w:p>
        </w:tc>
        <w:tc>
          <w:tcPr>
            <w:tcW w:w="284" w:type="pct"/>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871" w:type="pct"/>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261" w:type="pct"/>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297" w:type="pct"/>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rPr>
                <w:rFonts w:hint="default" w:ascii="Times New Roman" w:hAnsi="Times New Roman" w:eastAsia="宋体" w:cs="Times New Roman"/>
                <w:i w:val="0"/>
                <w:iCs w:val="0"/>
                <w:color w:val="auto"/>
                <w:sz w:val="22"/>
                <w:szCs w:val="22"/>
                <w:highlight w:val="none"/>
                <w:u w:val="none"/>
              </w:rPr>
            </w:pPr>
          </w:p>
        </w:tc>
        <w:tc>
          <w:tcPr>
            <w:tcW w:w="1609" w:type="pct"/>
            <w:gridSpan w:val="2"/>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blHeader/>
          <w:jc w:val="center"/>
        </w:trPr>
        <w:tc>
          <w:tcPr>
            <w:tcW w:w="2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科目代码</w:t>
            </w:r>
          </w:p>
        </w:tc>
        <w:tc>
          <w:tcPr>
            <w:tcW w:w="10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3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科目代码</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2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科目代码</w:t>
            </w:r>
          </w:p>
        </w:tc>
        <w:tc>
          <w:tcPr>
            <w:tcW w:w="12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3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2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30304</w:t>
            </w:r>
          </w:p>
        </w:tc>
        <w:tc>
          <w:tcPr>
            <w:tcW w:w="102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抚恤金</w:t>
            </w:r>
          </w:p>
        </w:tc>
        <w:tc>
          <w:tcPr>
            <w:tcW w:w="37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30225</w:t>
            </w:r>
          </w:p>
        </w:tc>
        <w:tc>
          <w:tcPr>
            <w:tcW w:w="87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专用燃料费</w:t>
            </w:r>
          </w:p>
        </w:tc>
        <w:tc>
          <w:tcPr>
            <w:tcW w:w="26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9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31022</w:t>
            </w:r>
          </w:p>
        </w:tc>
        <w:tc>
          <w:tcPr>
            <w:tcW w:w="128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无形资产购置</w:t>
            </w:r>
          </w:p>
        </w:tc>
        <w:tc>
          <w:tcPr>
            <w:tcW w:w="32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2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30305</w:t>
            </w:r>
          </w:p>
        </w:tc>
        <w:tc>
          <w:tcPr>
            <w:tcW w:w="102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生活补助</w:t>
            </w:r>
          </w:p>
        </w:tc>
        <w:tc>
          <w:tcPr>
            <w:tcW w:w="37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30226</w:t>
            </w:r>
          </w:p>
        </w:tc>
        <w:tc>
          <w:tcPr>
            <w:tcW w:w="87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劳务费</w:t>
            </w:r>
          </w:p>
        </w:tc>
        <w:tc>
          <w:tcPr>
            <w:tcW w:w="26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9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31099</w:t>
            </w:r>
          </w:p>
        </w:tc>
        <w:tc>
          <w:tcPr>
            <w:tcW w:w="128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其他资本性支出</w:t>
            </w:r>
          </w:p>
        </w:tc>
        <w:tc>
          <w:tcPr>
            <w:tcW w:w="32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2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30306</w:t>
            </w:r>
          </w:p>
        </w:tc>
        <w:tc>
          <w:tcPr>
            <w:tcW w:w="102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救济费</w:t>
            </w:r>
          </w:p>
        </w:tc>
        <w:tc>
          <w:tcPr>
            <w:tcW w:w="37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30227</w:t>
            </w:r>
          </w:p>
        </w:tc>
        <w:tc>
          <w:tcPr>
            <w:tcW w:w="87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委托业务费</w:t>
            </w:r>
          </w:p>
        </w:tc>
        <w:tc>
          <w:tcPr>
            <w:tcW w:w="26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9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399</w:t>
            </w:r>
          </w:p>
        </w:tc>
        <w:tc>
          <w:tcPr>
            <w:tcW w:w="128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其他支出</w:t>
            </w:r>
          </w:p>
        </w:tc>
        <w:tc>
          <w:tcPr>
            <w:tcW w:w="32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2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30307</w:t>
            </w:r>
          </w:p>
        </w:tc>
        <w:tc>
          <w:tcPr>
            <w:tcW w:w="102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医疗费补助</w:t>
            </w:r>
          </w:p>
        </w:tc>
        <w:tc>
          <w:tcPr>
            <w:tcW w:w="37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30228</w:t>
            </w:r>
          </w:p>
        </w:tc>
        <w:tc>
          <w:tcPr>
            <w:tcW w:w="87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工会经费</w:t>
            </w:r>
          </w:p>
        </w:tc>
        <w:tc>
          <w:tcPr>
            <w:tcW w:w="2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0.53 </w:t>
            </w:r>
          </w:p>
        </w:tc>
        <w:tc>
          <w:tcPr>
            <w:tcW w:w="29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39907</w:t>
            </w:r>
          </w:p>
        </w:tc>
        <w:tc>
          <w:tcPr>
            <w:tcW w:w="128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国家赔偿费用支出</w:t>
            </w:r>
          </w:p>
        </w:tc>
        <w:tc>
          <w:tcPr>
            <w:tcW w:w="32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2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30308</w:t>
            </w:r>
          </w:p>
        </w:tc>
        <w:tc>
          <w:tcPr>
            <w:tcW w:w="102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助学金</w:t>
            </w:r>
          </w:p>
        </w:tc>
        <w:tc>
          <w:tcPr>
            <w:tcW w:w="37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30229</w:t>
            </w:r>
          </w:p>
        </w:tc>
        <w:tc>
          <w:tcPr>
            <w:tcW w:w="87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福利费</w:t>
            </w:r>
          </w:p>
        </w:tc>
        <w:tc>
          <w:tcPr>
            <w:tcW w:w="2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0.04 </w:t>
            </w:r>
          </w:p>
        </w:tc>
        <w:tc>
          <w:tcPr>
            <w:tcW w:w="29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39908</w:t>
            </w:r>
          </w:p>
        </w:tc>
        <w:tc>
          <w:tcPr>
            <w:tcW w:w="128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对民间非营利组织和群众性自治组织补贴</w:t>
            </w:r>
          </w:p>
        </w:tc>
        <w:tc>
          <w:tcPr>
            <w:tcW w:w="32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2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30309</w:t>
            </w:r>
          </w:p>
        </w:tc>
        <w:tc>
          <w:tcPr>
            <w:tcW w:w="102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奖励金</w:t>
            </w:r>
          </w:p>
        </w:tc>
        <w:tc>
          <w:tcPr>
            <w:tcW w:w="37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0.15 </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30231</w:t>
            </w:r>
          </w:p>
        </w:tc>
        <w:tc>
          <w:tcPr>
            <w:tcW w:w="87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公务用车运行维护费</w:t>
            </w:r>
          </w:p>
        </w:tc>
        <w:tc>
          <w:tcPr>
            <w:tcW w:w="26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9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39909</w:t>
            </w:r>
          </w:p>
        </w:tc>
        <w:tc>
          <w:tcPr>
            <w:tcW w:w="128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经常性赠与</w:t>
            </w:r>
          </w:p>
        </w:tc>
        <w:tc>
          <w:tcPr>
            <w:tcW w:w="32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2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30310</w:t>
            </w:r>
          </w:p>
        </w:tc>
        <w:tc>
          <w:tcPr>
            <w:tcW w:w="102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个人农业生产补贴</w:t>
            </w:r>
          </w:p>
        </w:tc>
        <w:tc>
          <w:tcPr>
            <w:tcW w:w="37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30239</w:t>
            </w:r>
          </w:p>
        </w:tc>
        <w:tc>
          <w:tcPr>
            <w:tcW w:w="87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其他交通费用</w:t>
            </w:r>
          </w:p>
        </w:tc>
        <w:tc>
          <w:tcPr>
            <w:tcW w:w="2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2.32 </w:t>
            </w:r>
          </w:p>
        </w:tc>
        <w:tc>
          <w:tcPr>
            <w:tcW w:w="29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39910</w:t>
            </w:r>
          </w:p>
        </w:tc>
        <w:tc>
          <w:tcPr>
            <w:tcW w:w="128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资本性赠与</w:t>
            </w:r>
          </w:p>
        </w:tc>
        <w:tc>
          <w:tcPr>
            <w:tcW w:w="32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2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30311</w:t>
            </w:r>
          </w:p>
        </w:tc>
        <w:tc>
          <w:tcPr>
            <w:tcW w:w="102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代缴社会保险费</w:t>
            </w:r>
          </w:p>
        </w:tc>
        <w:tc>
          <w:tcPr>
            <w:tcW w:w="37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30240</w:t>
            </w:r>
          </w:p>
        </w:tc>
        <w:tc>
          <w:tcPr>
            <w:tcW w:w="87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税金及附加费用</w:t>
            </w:r>
          </w:p>
        </w:tc>
        <w:tc>
          <w:tcPr>
            <w:tcW w:w="26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9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39999</w:t>
            </w:r>
          </w:p>
        </w:tc>
        <w:tc>
          <w:tcPr>
            <w:tcW w:w="128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其他支出</w:t>
            </w:r>
          </w:p>
        </w:tc>
        <w:tc>
          <w:tcPr>
            <w:tcW w:w="32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2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30399</w:t>
            </w:r>
          </w:p>
        </w:tc>
        <w:tc>
          <w:tcPr>
            <w:tcW w:w="102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其他对个人和家庭的补助</w:t>
            </w:r>
          </w:p>
        </w:tc>
        <w:tc>
          <w:tcPr>
            <w:tcW w:w="37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30299</w:t>
            </w:r>
          </w:p>
        </w:tc>
        <w:tc>
          <w:tcPr>
            <w:tcW w:w="87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  其他商品和服务支出</w:t>
            </w:r>
          </w:p>
        </w:tc>
        <w:tc>
          <w:tcPr>
            <w:tcW w:w="2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0.65 </w:t>
            </w:r>
          </w:p>
        </w:tc>
        <w:tc>
          <w:tcPr>
            <w:tcW w:w="297" w:type="pct"/>
            <w:tcBorders>
              <w:top w:val="single" w:color="000000" w:sz="4" w:space="0"/>
              <w:left w:val="single" w:color="000000" w:sz="4" w:space="0"/>
              <w:bottom w:val="single" w:color="000000" w:sz="4" w:space="0"/>
              <w:right w:val="single" w:color="000000" w:sz="4" w:space="0"/>
            </w:tcBorders>
            <w:noWrap/>
            <w:vAlign w:val="center"/>
          </w:tcPr>
          <w:p>
            <w:pPr>
              <w:jc w:val="left"/>
              <w:rPr>
                <w:rFonts w:hint="default" w:ascii="Times New Roman" w:hAnsi="Times New Roman" w:eastAsia="宋体" w:cs="Times New Roman"/>
                <w:i w:val="0"/>
                <w:iCs w:val="0"/>
                <w:color w:val="auto"/>
                <w:sz w:val="22"/>
                <w:szCs w:val="22"/>
                <w:highlight w:val="none"/>
                <w:u w:val="none"/>
              </w:rPr>
            </w:pPr>
          </w:p>
        </w:tc>
        <w:tc>
          <w:tcPr>
            <w:tcW w:w="1287" w:type="pct"/>
            <w:tcBorders>
              <w:top w:val="single" w:color="000000" w:sz="4" w:space="0"/>
              <w:left w:val="single" w:color="000000" w:sz="4" w:space="0"/>
              <w:bottom w:val="single" w:color="000000" w:sz="4" w:space="0"/>
              <w:right w:val="single" w:color="000000" w:sz="4" w:space="0"/>
            </w:tcBorders>
            <w:noWrap/>
            <w:vAlign w:val="center"/>
          </w:tcPr>
          <w:p>
            <w:pPr>
              <w:jc w:val="left"/>
              <w:rPr>
                <w:rFonts w:hint="default" w:ascii="Times New Roman" w:hAnsi="Times New Roman" w:eastAsia="宋体" w:cs="Times New Roman"/>
                <w:i w:val="0"/>
                <w:iCs w:val="0"/>
                <w:color w:val="auto"/>
                <w:sz w:val="22"/>
                <w:szCs w:val="22"/>
                <w:highlight w:val="none"/>
                <w:u w:val="none"/>
              </w:rPr>
            </w:pPr>
          </w:p>
        </w:tc>
        <w:tc>
          <w:tcPr>
            <w:tcW w:w="321"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1304"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人员经费合计</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51.76 </w:t>
            </w:r>
          </w:p>
        </w:tc>
        <w:tc>
          <w:tcPr>
            <w:tcW w:w="3001" w:type="pct"/>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公用经费合计</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2"/>
                <w:szCs w:val="22"/>
                <w:highlight w:val="none"/>
                <w:u w:val="none"/>
                <w:lang w:val="en-US" w:eastAsia="zh-CN" w:bidi="ar-SA"/>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7.49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3" w:hRule="atLeast"/>
          <w:jc w:val="center"/>
        </w:trPr>
        <w:tc>
          <w:tcPr>
            <w:tcW w:w="5000" w:type="pct"/>
            <w:gridSpan w:val="9"/>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注：本表反映单位本年度一般公共预算财政拨款基本支出明细情况。</w:t>
            </w:r>
          </w:p>
        </w:tc>
      </w:tr>
    </w:tbl>
    <w:p>
      <w:pPr>
        <w:widowControl w:val="0"/>
        <w:numPr>
          <w:ilvl w:val="0"/>
          <w:numId w:val="0"/>
        </w:numPr>
        <w:ind w:firstLine="300" w:firstLineChars="200"/>
        <w:jc w:val="left"/>
        <w:rPr>
          <w:rFonts w:hint="default" w:ascii="Times New Roman" w:hAnsi="Times New Roman" w:eastAsia="黑体" w:cs="Times New Roman"/>
          <w:color w:val="auto"/>
          <w:sz w:val="15"/>
          <w:szCs w:val="6"/>
          <w:highlight w:val="none"/>
        </w:rPr>
      </w:pPr>
    </w:p>
    <w:p>
      <w:pPr>
        <w:widowControl w:val="0"/>
        <w:numPr>
          <w:ilvl w:val="0"/>
          <w:numId w:val="0"/>
        </w:numPr>
        <w:ind w:firstLine="300" w:firstLineChars="200"/>
        <w:jc w:val="left"/>
        <w:rPr>
          <w:rFonts w:hint="default" w:ascii="Times New Roman" w:hAnsi="Times New Roman" w:eastAsia="黑体" w:cs="Times New Roman"/>
          <w:color w:val="auto"/>
          <w:sz w:val="15"/>
          <w:szCs w:val="6"/>
          <w:highlight w:val="none"/>
        </w:rPr>
      </w:pPr>
    </w:p>
    <w:p>
      <w:pPr>
        <w:widowControl w:val="0"/>
        <w:numPr>
          <w:ilvl w:val="0"/>
          <w:numId w:val="0"/>
        </w:numPr>
        <w:ind w:firstLine="300" w:firstLineChars="200"/>
        <w:jc w:val="left"/>
        <w:rPr>
          <w:rFonts w:hint="default" w:ascii="Times New Roman" w:hAnsi="Times New Roman" w:eastAsia="黑体" w:cs="Times New Roman"/>
          <w:color w:val="auto"/>
          <w:sz w:val="15"/>
          <w:szCs w:val="6"/>
          <w:highlight w:val="none"/>
        </w:rPr>
      </w:pPr>
    </w:p>
    <w:p>
      <w:pPr>
        <w:widowControl w:val="0"/>
        <w:numPr>
          <w:ilvl w:val="0"/>
          <w:numId w:val="0"/>
        </w:numPr>
        <w:ind w:firstLine="640" w:firstLineChars="200"/>
        <w:jc w:val="left"/>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br w:type="page"/>
      </w:r>
      <w:r>
        <w:rPr>
          <w:rFonts w:hint="default" w:ascii="Times New Roman" w:hAnsi="Times New Roman" w:eastAsia="黑体" w:cs="Times New Roman"/>
          <w:color w:val="auto"/>
          <w:sz w:val="32"/>
          <w:highlight w:val="none"/>
        </w:rPr>
        <w:t>七、政府性基金预算财政拨款收入支出决算表</w:t>
      </w:r>
    </w:p>
    <w:p>
      <w:pPr>
        <w:widowControl w:val="0"/>
        <w:numPr>
          <w:ilvl w:val="0"/>
          <w:numId w:val="0"/>
        </w:numPr>
        <w:jc w:val="both"/>
        <w:rPr>
          <w:rFonts w:hint="default" w:ascii="Times New Roman" w:hAnsi="Times New Roman" w:eastAsia="黑体" w:cs="Times New Roman"/>
          <w:color w:val="auto"/>
          <w:sz w:val="32"/>
          <w:highlight w:val="none"/>
        </w:rPr>
      </w:pPr>
    </w:p>
    <w:tbl>
      <w:tblPr>
        <w:tblStyle w:val="12"/>
        <w:tblW w:w="137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58"/>
        <w:gridCol w:w="1835"/>
        <w:gridCol w:w="2141"/>
        <w:gridCol w:w="1663"/>
        <w:gridCol w:w="1528"/>
        <w:gridCol w:w="1693"/>
        <w:gridCol w:w="1394"/>
        <w:gridCol w:w="17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13720" w:type="dxa"/>
            <w:gridSpan w:val="8"/>
            <w:tcBorders>
              <w:top w:val="nil"/>
              <w:left w:val="nil"/>
              <w:bottom w:val="nil"/>
              <w:right w:val="nil"/>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32"/>
                <w:szCs w:val="32"/>
                <w:highlight w:val="none"/>
                <w:u w:val="none"/>
              </w:rPr>
            </w:pPr>
            <w:r>
              <w:rPr>
                <w:rFonts w:hint="default" w:ascii="Times New Roman" w:hAnsi="Times New Roman" w:eastAsia="宋体" w:cs="Times New Roman"/>
                <w:i w:val="0"/>
                <w:iCs w:val="0"/>
                <w:color w:val="auto"/>
                <w:kern w:val="0"/>
                <w:sz w:val="32"/>
                <w:szCs w:val="32"/>
                <w:highlight w:val="none"/>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jc w:val="center"/>
        </w:trPr>
        <w:tc>
          <w:tcPr>
            <w:tcW w:w="1758" w:type="dxa"/>
            <w:tcBorders>
              <w:top w:val="nil"/>
              <w:left w:val="nil"/>
              <w:bottom w:val="nil"/>
              <w:right w:val="nil"/>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35" w:type="dxa"/>
            <w:tcBorders>
              <w:top w:val="nil"/>
              <w:left w:val="nil"/>
              <w:bottom w:val="nil"/>
              <w:right w:val="nil"/>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2141"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663"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528"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693"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394"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708"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jc w:val="center"/>
        </w:trPr>
        <w:tc>
          <w:tcPr>
            <w:tcW w:w="5734" w:type="dxa"/>
            <w:gridSpan w:val="3"/>
            <w:tcBorders>
              <w:top w:val="nil"/>
              <w:left w:val="nil"/>
              <w:bottom w:val="nil"/>
              <w:right w:val="nil"/>
            </w:tcBorders>
            <w:shd w:val="clear" w:color="auto" w:fill="FFFFFF"/>
            <w:noWrap/>
            <w:vAlign w:val="center"/>
          </w:tcPr>
          <w:p>
            <w:pP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w:t>
            </w:r>
            <w:r>
              <w:rPr>
                <w:rFonts w:hint="default" w:ascii="Times New Roman" w:hAnsi="Times New Roman" w:cs="Times New Roman"/>
                <w:i w:val="0"/>
                <w:iCs w:val="0"/>
                <w:color w:val="auto"/>
                <w:kern w:val="0"/>
                <w:sz w:val="22"/>
                <w:szCs w:val="22"/>
                <w:highlight w:val="none"/>
                <w:u w:val="none"/>
                <w:lang w:val="en-US" w:eastAsia="zh-CN" w:bidi="ar"/>
              </w:rPr>
              <w:t>伊通满族自治县农村社会经济调查队</w:t>
            </w:r>
          </w:p>
        </w:tc>
        <w:tc>
          <w:tcPr>
            <w:tcW w:w="1663"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528"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693"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394"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708"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jc w:val="center"/>
        </w:trPr>
        <w:tc>
          <w:tcPr>
            <w:tcW w:w="359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项 </w:t>
            </w:r>
            <w:r>
              <w:rPr>
                <w:rStyle w:val="105"/>
                <w:rFonts w:hint="default" w:ascii="Times New Roman" w:hAnsi="Times New Roman" w:eastAsia="宋体" w:cs="Times New Roman"/>
                <w:color w:val="auto"/>
                <w:highlight w:val="none"/>
                <w:lang w:val="en-US" w:eastAsia="zh-CN" w:bidi="ar"/>
              </w:rPr>
              <w:t xml:space="preserve">   </w:t>
            </w:r>
            <w:r>
              <w:rPr>
                <w:rFonts w:hint="default" w:ascii="Times New Roman" w:hAnsi="Times New Roman" w:eastAsia="宋体" w:cs="Times New Roman"/>
                <w:i w:val="0"/>
                <w:iCs w:val="0"/>
                <w:color w:val="auto"/>
                <w:kern w:val="0"/>
                <w:sz w:val="22"/>
                <w:szCs w:val="22"/>
                <w:highlight w:val="none"/>
                <w:u w:val="none"/>
                <w:lang w:val="en-US" w:eastAsia="zh-CN" w:bidi="ar"/>
              </w:rPr>
              <w:t>目</w:t>
            </w:r>
          </w:p>
        </w:tc>
        <w:tc>
          <w:tcPr>
            <w:tcW w:w="214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年初结转和结余</w:t>
            </w:r>
          </w:p>
        </w:tc>
        <w:tc>
          <w:tcPr>
            <w:tcW w:w="16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本年收入</w:t>
            </w:r>
          </w:p>
        </w:tc>
        <w:tc>
          <w:tcPr>
            <w:tcW w:w="461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本年支出</w:t>
            </w:r>
          </w:p>
        </w:tc>
        <w:tc>
          <w:tcPr>
            <w:tcW w:w="170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175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科目代码</w:t>
            </w:r>
          </w:p>
        </w:tc>
        <w:tc>
          <w:tcPr>
            <w:tcW w:w="18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214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52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小计</w:t>
            </w:r>
          </w:p>
        </w:tc>
        <w:tc>
          <w:tcPr>
            <w:tcW w:w="16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基本支出  </w:t>
            </w:r>
          </w:p>
        </w:tc>
        <w:tc>
          <w:tcPr>
            <w:tcW w:w="139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项目支出</w:t>
            </w:r>
          </w:p>
        </w:tc>
        <w:tc>
          <w:tcPr>
            <w:tcW w:w="170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175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214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52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39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70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175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214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52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39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70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359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栏次</w:t>
            </w:r>
          </w:p>
        </w:tc>
        <w:tc>
          <w:tcPr>
            <w:tcW w:w="21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15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359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合计</w:t>
            </w:r>
          </w:p>
        </w:tc>
        <w:tc>
          <w:tcPr>
            <w:tcW w:w="21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52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17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35"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214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52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17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35"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214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52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17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35"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214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52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17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35"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214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52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17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35"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214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52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394"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70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1758" w:type="dxa"/>
            <w:tcBorders>
              <w:top w:val="single" w:color="000000" w:sz="4" w:space="0"/>
              <w:left w:val="single" w:color="000000" w:sz="4" w:space="0"/>
              <w:bottom w:val="nil"/>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35" w:type="dxa"/>
            <w:tcBorders>
              <w:top w:val="single" w:color="000000" w:sz="4" w:space="0"/>
              <w:left w:val="single" w:color="000000" w:sz="4" w:space="0"/>
              <w:bottom w:val="nil"/>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2141" w:type="dxa"/>
            <w:tcBorders>
              <w:top w:val="single" w:color="000000" w:sz="4" w:space="0"/>
              <w:left w:val="single" w:color="000000" w:sz="4" w:space="0"/>
              <w:bottom w:val="nil"/>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663" w:type="dxa"/>
            <w:tcBorders>
              <w:top w:val="single" w:color="000000" w:sz="4" w:space="0"/>
              <w:left w:val="single" w:color="000000" w:sz="4" w:space="0"/>
              <w:bottom w:val="nil"/>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528" w:type="dxa"/>
            <w:tcBorders>
              <w:top w:val="single" w:color="000000" w:sz="4" w:space="0"/>
              <w:left w:val="single" w:color="000000" w:sz="4" w:space="0"/>
              <w:bottom w:val="nil"/>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693" w:type="dxa"/>
            <w:tcBorders>
              <w:top w:val="single" w:color="000000" w:sz="4" w:space="0"/>
              <w:left w:val="single" w:color="000000" w:sz="4" w:space="0"/>
              <w:bottom w:val="nil"/>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394" w:type="dxa"/>
            <w:tcBorders>
              <w:top w:val="single" w:color="000000" w:sz="4" w:space="0"/>
              <w:left w:val="single" w:color="000000" w:sz="4" w:space="0"/>
              <w:bottom w:val="nil"/>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708" w:type="dxa"/>
            <w:tcBorders>
              <w:top w:val="single" w:color="000000" w:sz="4" w:space="0"/>
              <w:left w:val="single" w:color="000000" w:sz="4" w:space="0"/>
              <w:bottom w:val="nil"/>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 w:hRule="atLeast"/>
          <w:jc w:val="center"/>
        </w:trPr>
        <w:tc>
          <w:tcPr>
            <w:tcW w:w="13720" w:type="dxa"/>
            <w:gridSpan w:val="8"/>
            <w:tcBorders>
              <w:top w:val="single" w:color="000000" w:sz="4" w:space="0"/>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注：本表反映单位本年度政府性基金预算财政拨款收入、支出及结转和结余情况。</w:t>
            </w:r>
            <w:r>
              <w:rPr>
                <w:rFonts w:hint="default" w:ascii="Times New Roman" w:hAnsi="Times New Roman" w:eastAsia="宋体" w:cs="Times New Roman"/>
                <w:i w:val="0"/>
                <w:iCs w:val="0"/>
                <w:color w:val="auto"/>
                <w:kern w:val="0"/>
                <w:sz w:val="22"/>
                <w:szCs w:val="22"/>
                <w:highlight w:val="none"/>
                <w:u w:val="none"/>
                <w:lang w:val="en-US" w:eastAsia="zh-CN" w:bidi="ar"/>
              </w:rPr>
              <w:br w:type="textWrapping"/>
            </w:r>
            <w:r>
              <w:rPr>
                <w:rFonts w:hint="default" w:ascii="Times New Roman" w:hAnsi="Times New Roman" w:eastAsia="宋体" w:cs="Times New Roman"/>
                <w:i w:val="0"/>
                <w:iCs w:val="0"/>
                <w:color w:val="auto"/>
                <w:kern w:val="0"/>
                <w:sz w:val="22"/>
                <w:szCs w:val="22"/>
                <w:highlight w:val="none"/>
                <w:u w:val="none"/>
                <w:lang w:val="en-US" w:eastAsia="zh-CN" w:bidi="ar"/>
              </w:rPr>
              <w:t>说明：本年度</w:t>
            </w:r>
            <w:r>
              <w:rPr>
                <w:rFonts w:hint="eastAsia" w:cs="Times New Roman"/>
                <w:i w:val="0"/>
                <w:iCs w:val="0"/>
                <w:color w:val="auto"/>
                <w:kern w:val="0"/>
                <w:sz w:val="22"/>
                <w:szCs w:val="22"/>
                <w:highlight w:val="none"/>
                <w:u w:val="none"/>
                <w:lang w:val="en-US" w:eastAsia="zh-CN" w:bidi="ar"/>
              </w:rPr>
              <w:t>无</w:t>
            </w:r>
            <w:r>
              <w:rPr>
                <w:rFonts w:hint="default" w:ascii="Times New Roman" w:hAnsi="Times New Roman" w:eastAsia="宋体" w:cs="Times New Roman"/>
                <w:i w:val="0"/>
                <w:iCs w:val="0"/>
                <w:color w:val="auto"/>
                <w:kern w:val="0"/>
                <w:sz w:val="22"/>
                <w:szCs w:val="22"/>
                <w:highlight w:val="none"/>
                <w:u w:val="none"/>
                <w:lang w:val="en-US" w:eastAsia="zh-CN" w:bidi="ar"/>
              </w:rPr>
              <w:t>政府性基金预算财政拨款。</w:t>
            </w:r>
          </w:p>
        </w:tc>
      </w:tr>
    </w:tbl>
    <w:p>
      <w:pPr>
        <w:jc w:val="both"/>
        <w:rPr>
          <w:rFonts w:hint="default" w:ascii="Times New Roman" w:hAnsi="Times New Roman" w:eastAsia="方正小标宋简体" w:cs="Times New Roman"/>
          <w:color w:val="auto"/>
          <w:sz w:val="44"/>
          <w:highlight w:val="none"/>
        </w:rPr>
      </w:pPr>
    </w:p>
    <w:p>
      <w:pPr>
        <w:jc w:val="center"/>
        <w:rPr>
          <w:rFonts w:hint="default" w:ascii="Times New Roman" w:hAnsi="Times New Roman" w:eastAsia="方正小标宋简体" w:cs="Times New Roman"/>
          <w:color w:val="auto"/>
          <w:sz w:val="44"/>
          <w:highlight w:val="none"/>
        </w:rPr>
      </w:pPr>
    </w:p>
    <w:p>
      <w:pPr>
        <w:jc w:val="center"/>
        <w:rPr>
          <w:rFonts w:hint="default" w:ascii="Times New Roman" w:hAnsi="Times New Roman" w:eastAsia="方正小标宋简体" w:cs="Times New Roman"/>
          <w:color w:val="auto"/>
          <w:sz w:val="44"/>
          <w:highlight w:val="none"/>
        </w:rPr>
      </w:pPr>
    </w:p>
    <w:p>
      <w:pPr>
        <w:widowControl w:val="0"/>
        <w:numPr>
          <w:ilvl w:val="0"/>
          <w:numId w:val="0"/>
        </w:numPr>
        <w:ind w:firstLine="640" w:firstLineChars="200"/>
        <w:jc w:val="left"/>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lang w:val="en-US" w:eastAsia="zh-CN"/>
        </w:rPr>
        <w:t>八、</w:t>
      </w:r>
      <w:r>
        <w:rPr>
          <w:rFonts w:hint="default" w:ascii="Times New Roman" w:hAnsi="Times New Roman" w:eastAsia="黑体" w:cs="Times New Roman"/>
          <w:color w:val="auto"/>
          <w:sz w:val="32"/>
          <w:highlight w:val="none"/>
        </w:rPr>
        <w:t>国有资本经营预算财政拨款支出决算表</w:t>
      </w:r>
    </w:p>
    <w:p>
      <w:pPr>
        <w:widowControl w:val="0"/>
        <w:numPr>
          <w:ilvl w:val="0"/>
          <w:numId w:val="0"/>
        </w:numPr>
        <w:ind w:leftChars="200"/>
        <w:jc w:val="both"/>
        <w:rPr>
          <w:rFonts w:hint="default" w:ascii="Times New Roman" w:hAnsi="Times New Roman" w:eastAsia="黑体" w:cs="Times New Roman"/>
          <w:color w:val="auto"/>
          <w:sz w:val="22"/>
          <w:szCs w:val="15"/>
          <w:highlight w:val="none"/>
          <w:lang w:val="en-US" w:eastAsia="zh-CN"/>
        </w:rPr>
      </w:pPr>
    </w:p>
    <w:tbl>
      <w:tblPr>
        <w:tblStyle w:val="12"/>
        <w:tblW w:w="131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93"/>
        <w:gridCol w:w="1894"/>
        <w:gridCol w:w="2606"/>
        <w:gridCol w:w="3211"/>
        <w:gridCol w:w="30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13100" w:type="dxa"/>
            <w:gridSpan w:val="5"/>
            <w:tcBorders>
              <w:top w:val="nil"/>
              <w:left w:val="nil"/>
              <w:bottom w:val="nil"/>
              <w:right w:val="nil"/>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32"/>
                <w:szCs w:val="32"/>
                <w:highlight w:val="none"/>
                <w:u w:val="none"/>
              </w:rPr>
            </w:pPr>
            <w:r>
              <w:rPr>
                <w:rFonts w:hint="default" w:ascii="Times New Roman" w:hAnsi="Times New Roman" w:eastAsia="宋体" w:cs="Times New Roman"/>
                <w:i w:val="0"/>
                <w:iCs w:val="0"/>
                <w:color w:val="auto"/>
                <w:kern w:val="0"/>
                <w:sz w:val="32"/>
                <w:szCs w:val="32"/>
                <w:highlight w:val="none"/>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jc w:val="center"/>
        </w:trPr>
        <w:tc>
          <w:tcPr>
            <w:tcW w:w="2293" w:type="dxa"/>
            <w:tcBorders>
              <w:top w:val="nil"/>
              <w:left w:val="nil"/>
              <w:bottom w:val="nil"/>
              <w:right w:val="nil"/>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94" w:type="dxa"/>
            <w:tcBorders>
              <w:top w:val="nil"/>
              <w:left w:val="nil"/>
              <w:bottom w:val="nil"/>
              <w:right w:val="nil"/>
            </w:tcBorders>
            <w:shd w:val="clear" w:color="auto" w:fill="FFFFFF"/>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2606"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3211"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3096"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793" w:type="dxa"/>
            <w:gridSpan w:val="3"/>
            <w:tcBorders>
              <w:top w:val="nil"/>
              <w:left w:val="nil"/>
              <w:bottom w:val="nil"/>
              <w:right w:val="nil"/>
            </w:tcBorders>
            <w:shd w:val="clear" w:color="auto" w:fill="FFFFFF"/>
            <w:noWrap/>
            <w:vAlign w:val="center"/>
          </w:tcPr>
          <w:p>
            <w:pPr>
              <w:jc w:val="left"/>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w:t>
            </w:r>
            <w:r>
              <w:rPr>
                <w:rFonts w:hint="default" w:ascii="Times New Roman" w:hAnsi="Times New Roman" w:cs="Times New Roman"/>
                <w:i w:val="0"/>
                <w:iCs w:val="0"/>
                <w:color w:val="auto"/>
                <w:kern w:val="0"/>
                <w:sz w:val="22"/>
                <w:szCs w:val="22"/>
                <w:highlight w:val="none"/>
                <w:u w:val="none"/>
                <w:lang w:val="en-US" w:eastAsia="zh-CN" w:bidi="ar"/>
              </w:rPr>
              <w:t>伊通满族自治县农村社会经济调查队</w:t>
            </w:r>
          </w:p>
        </w:tc>
        <w:tc>
          <w:tcPr>
            <w:tcW w:w="3211"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3096"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418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    目</w:t>
            </w:r>
          </w:p>
        </w:tc>
        <w:tc>
          <w:tcPr>
            <w:tcW w:w="891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2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科目代码</w:t>
            </w:r>
          </w:p>
        </w:tc>
        <w:tc>
          <w:tcPr>
            <w:tcW w:w="189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科目名称</w:t>
            </w:r>
          </w:p>
        </w:tc>
        <w:tc>
          <w:tcPr>
            <w:tcW w:w="260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合计</w:t>
            </w:r>
          </w:p>
        </w:tc>
        <w:tc>
          <w:tcPr>
            <w:tcW w:w="321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基本支出  </w:t>
            </w:r>
          </w:p>
        </w:tc>
        <w:tc>
          <w:tcPr>
            <w:tcW w:w="309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2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9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260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32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309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2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9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260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32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309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418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栏次</w:t>
            </w:r>
          </w:p>
        </w:tc>
        <w:tc>
          <w:tcPr>
            <w:tcW w:w="26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32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30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418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合计</w:t>
            </w:r>
          </w:p>
        </w:tc>
        <w:tc>
          <w:tcPr>
            <w:tcW w:w="260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321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309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2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94"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260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321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309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2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94"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260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321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309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2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94"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260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321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309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2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94"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260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321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309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2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94"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260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321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309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2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894"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260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321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3096"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7" w:hRule="atLeast"/>
          <w:jc w:val="center"/>
        </w:trPr>
        <w:tc>
          <w:tcPr>
            <w:tcW w:w="13100" w:type="dxa"/>
            <w:gridSpan w:val="5"/>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注：本表反映单位本年度国有资本经营预算财政拨款支出情况。</w:t>
            </w:r>
            <w:r>
              <w:rPr>
                <w:rFonts w:hint="default" w:ascii="Times New Roman" w:hAnsi="Times New Roman" w:eastAsia="宋体" w:cs="Times New Roman"/>
                <w:i w:val="0"/>
                <w:iCs w:val="0"/>
                <w:color w:val="auto"/>
                <w:kern w:val="0"/>
                <w:sz w:val="22"/>
                <w:szCs w:val="22"/>
                <w:highlight w:val="none"/>
                <w:u w:val="none"/>
                <w:lang w:val="en-US" w:eastAsia="zh-CN" w:bidi="ar"/>
              </w:rPr>
              <w:br w:type="textWrapping"/>
            </w:r>
            <w:r>
              <w:rPr>
                <w:rFonts w:hint="default" w:ascii="Times New Roman" w:hAnsi="Times New Roman" w:eastAsia="宋体" w:cs="Times New Roman"/>
                <w:i w:val="0"/>
                <w:iCs w:val="0"/>
                <w:color w:val="auto"/>
                <w:kern w:val="0"/>
                <w:sz w:val="22"/>
                <w:szCs w:val="22"/>
                <w:highlight w:val="none"/>
                <w:u w:val="none"/>
                <w:lang w:val="en-US" w:eastAsia="zh-CN" w:bidi="ar"/>
              </w:rPr>
              <w:t>说明</w:t>
            </w:r>
            <w:r>
              <w:rPr>
                <w:rFonts w:hint="default" w:ascii="Times New Roman" w:hAnsi="Times New Roman" w:cs="Times New Roman"/>
                <w:i w:val="0"/>
                <w:iCs w:val="0"/>
                <w:color w:val="auto"/>
                <w:kern w:val="0"/>
                <w:sz w:val="22"/>
                <w:szCs w:val="22"/>
                <w:highlight w:val="none"/>
                <w:u w:val="none"/>
                <w:lang w:val="en-US" w:eastAsia="zh-CN" w:bidi="ar"/>
              </w:rPr>
              <w:t>：</w:t>
            </w:r>
            <w:r>
              <w:rPr>
                <w:rFonts w:hint="default" w:ascii="Times New Roman" w:hAnsi="Times New Roman" w:eastAsia="宋体" w:cs="Times New Roman"/>
                <w:i w:val="0"/>
                <w:iCs w:val="0"/>
                <w:color w:val="auto"/>
                <w:kern w:val="0"/>
                <w:sz w:val="22"/>
                <w:szCs w:val="22"/>
                <w:highlight w:val="none"/>
                <w:u w:val="none"/>
                <w:lang w:val="en-US" w:eastAsia="zh-CN" w:bidi="ar"/>
              </w:rPr>
              <w:t xml:space="preserve"> 本年度</w:t>
            </w:r>
            <w:r>
              <w:rPr>
                <w:rFonts w:hint="eastAsia" w:cs="Times New Roman"/>
                <w:i w:val="0"/>
                <w:iCs w:val="0"/>
                <w:color w:val="auto"/>
                <w:kern w:val="0"/>
                <w:sz w:val="22"/>
                <w:szCs w:val="22"/>
                <w:highlight w:val="none"/>
                <w:u w:val="none"/>
                <w:lang w:val="en-US" w:eastAsia="zh-CN" w:bidi="ar"/>
              </w:rPr>
              <w:t>无</w:t>
            </w:r>
            <w:r>
              <w:rPr>
                <w:rFonts w:hint="default" w:ascii="Times New Roman" w:hAnsi="Times New Roman" w:eastAsia="宋体" w:cs="Times New Roman"/>
                <w:i w:val="0"/>
                <w:iCs w:val="0"/>
                <w:color w:val="auto"/>
                <w:kern w:val="0"/>
                <w:sz w:val="22"/>
                <w:szCs w:val="22"/>
                <w:highlight w:val="none"/>
                <w:u w:val="none"/>
                <w:lang w:val="en-US" w:eastAsia="zh-CN" w:bidi="ar"/>
              </w:rPr>
              <w:t>国有资本经营预算财政拨款。</w:t>
            </w:r>
          </w:p>
        </w:tc>
      </w:tr>
    </w:tbl>
    <w:p>
      <w:pPr>
        <w:ind w:firstLine="640" w:firstLineChars="200"/>
        <w:rPr>
          <w:rFonts w:hint="default" w:ascii="Times New Roman" w:hAnsi="Times New Roman" w:eastAsia="黑体" w:cs="Times New Roman"/>
          <w:color w:val="auto"/>
          <w:sz w:val="32"/>
          <w:highlight w:val="none"/>
        </w:rPr>
      </w:pPr>
    </w:p>
    <w:p>
      <w:pPr>
        <w:ind w:firstLine="640" w:firstLineChars="200"/>
        <w:rPr>
          <w:rFonts w:hint="default" w:ascii="Times New Roman" w:hAnsi="Times New Roman" w:eastAsia="黑体" w:cs="Times New Roman"/>
          <w:color w:val="auto"/>
          <w:sz w:val="32"/>
          <w:highlight w:val="none"/>
        </w:rPr>
      </w:pPr>
    </w:p>
    <w:p>
      <w:pPr>
        <w:ind w:firstLine="640" w:firstLineChars="200"/>
        <w:rPr>
          <w:rFonts w:hint="default" w:ascii="Times New Roman" w:hAnsi="Times New Roman" w:eastAsia="黑体" w:cs="Times New Roman"/>
          <w:color w:val="auto"/>
          <w:sz w:val="32"/>
          <w:highlight w:val="none"/>
        </w:rPr>
      </w:pPr>
    </w:p>
    <w:p>
      <w:pPr>
        <w:tabs>
          <w:tab w:val="left" w:pos="10500"/>
        </w:tabs>
        <w:ind w:firstLine="640" w:firstLineChars="200"/>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九、财政拨款“三公”经费支出决算表</w:t>
      </w:r>
    </w:p>
    <w:p>
      <w:pPr>
        <w:widowControl w:val="0"/>
        <w:numPr>
          <w:ilvl w:val="0"/>
          <w:numId w:val="0"/>
        </w:numPr>
        <w:jc w:val="center"/>
        <w:rPr>
          <w:rFonts w:hint="default" w:ascii="Times New Roman" w:hAnsi="Times New Roman" w:eastAsia="黑体" w:cs="Times New Roman"/>
          <w:color w:val="auto"/>
          <w:sz w:val="22"/>
          <w:szCs w:val="15"/>
          <w:highlight w:val="none"/>
        </w:rPr>
      </w:pPr>
    </w:p>
    <w:tbl>
      <w:tblPr>
        <w:tblStyle w:val="12"/>
        <w:tblW w:w="1458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21"/>
        <w:gridCol w:w="1212"/>
        <w:gridCol w:w="1113"/>
        <w:gridCol w:w="1350"/>
        <w:gridCol w:w="1425"/>
        <w:gridCol w:w="1350"/>
        <w:gridCol w:w="925"/>
        <w:gridCol w:w="1250"/>
        <w:gridCol w:w="1012"/>
        <w:gridCol w:w="1100"/>
        <w:gridCol w:w="1338"/>
        <w:gridCol w:w="10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4580" w:type="dxa"/>
            <w:gridSpan w:val="12"/>
            <w:tcBorders>
              <w:top w:val="nil"/>
              <w:left w:val="nil"/>
              <w:bottom w:val="nil"/>
              <w:right w:val="nil"/>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32"/>
                <w:szCs w:val="32"/>
                <w:highlight w:val="none"/>
                <w:u w:val="none"/>
              </w:rPr>
            </w:pPr>
            <w:r>
              <w:rPr>
                <w:rFonts w:hint="default" w:ascii="Times New Roman" w:hAnsi="Times New Roman" w:eastAsia="宋体" w:cs="Times New Roman"/>
                <w:i w:val="0"/>
                <w:iCs w:val="0"/>
                <w:color w:val="auto"/>
                <w:kern w:val="0"/>
                <w:sz w:val="32"/>
                <w:szCs w:val="32"/>
                <w:highlight w:val="none"/>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421"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212"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113"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350"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425"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350"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925"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250"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012"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100"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2422" w:type="dxa"/>
            <w:gridSpan w:val="2"/>
            <w:tcBorders>
              <w:top w:val="nil"/>
              <w:left w:val="nil"/>
              <w:bottom w:val="nil"/>
              <w:right w:val="nil"/>
            </w:tcBorders>
            <w:shd w:val="clear" w:color="auto" w:fill="FFFFFF"/>
            <w:noWrap w:val="0"/>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96" w:type="dxa"/>
            <w:gridSpan w:val="4"/>
            <w:tcBorders>
              <w:top w:val="nil"/>
              <w:left w:val="nil"/>
              <w:bottom w:val="nil"/>
              <w:right w:val="nil"/>
            </w:tcBorders>
            <w:shd w:val="clear" w:color="auto" w:fill="FFFFFF"/>
            <w:noWrap/>
            <w:vAlign w:val="center"/>
          </w:tcPr>
          <w:p>
            <w:pPr>
              <w:jc w:val="left"/>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w:t>
            </w:r>
            <w:r>
              <w:rPr>
                <w:rFonts w:hint="default" w:ascii="Times New Roman" w:hAnsi="Times New Roman" w:cs="Times New Roman"/>
                <w:i w:val="0"/>
                <w:iCs w:val="0"/>
                <w:color w:val="auto"/>
                <w:kern w:val="0"/>
                <w:sz w:val="22"/>
                <w:szCs w:val="22"/>
                <w:highlight w:val="none"/>
                <w:u w:val="none"/>
                <w:lang w:val="en-US" w:eastAsia="zh-CN" w:bidi="ar"/>
              </w:rPr>
              <w:t>伊通满族自治县农村社会经济调查队</w:t>
            </w:r>
          </w:p>
        </w:tc>
        <w:tc>
          <w:tcPr>
            <w:tcW w:w="1425"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350"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925"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250"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012"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100" w:type="dxa"/>
            <w:tcBorders>
              <w:top w:val="nil"/>
              <w:left w:val="nil"/>
              <w:bottom w:val="nil"/>
              <w:right w:val="nil"/>
            </w:tcBorders>
            <w:shd w:val="clear" w:color="auto" w:fill="FFFFFF"/>
            <w:noWrap w:val="0"/>
            <w:vAlign w:val="center"/>
          </w:tcPr>
          <w:p>
            <w:pPr>
              <w:rPr>
                <w:rFonts w:hint="default" w:ascii="Times New Roman" w:hAnsi="Times New Roman" w:eastAsia="宋体" w:cs="Times New Roman"/>
                <w:i w:val="0"/>
                <w:iCs w:val="0"/>
                <w:color w:val="auto"/>
                <w:sz w:val="22"/>
                <w:szCs w:val="22"/>
                <w:highlight w:val="none"/>
                <w:u w:val="none"/>
              </w:rPr>
            </w:pPr>
          </w:p>
        </w:tc>
        <w:tc>
          <w:tcPr>
            <w:tcW w:w="2422" w:type="dxa"/>
            <w:gridSpan w:val="2"/>
            <w:tcBorders>
              <w:top w:val="nil"/>
              <w:left w:val="nil"/>
              <w:bottom w:val="nil"/>
              <w:right w:val="nil"/>
            </w:tcBorders>
            <w:shd w:val="clear" w:color="auto" w:fill="FFFFFF"/>
            <w:noWrap w:val="0"/>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871"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预算数</w:t>
            </w:r>
          </w:p>
        </w:tc>
        <w:tc>
          <w:tcPr>
            <w:tcW w:w="670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42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合计</w:t>
            </w:r>
          </w:p>
        </w:tc>
        <w:tc>
          <w:tcPr>
            <w:tcW w:w="121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因公出国（境）费</w:t>
            </w:r>
          </w:p>
        </w:tc>
        <w:tc>
          <w:tcPr>
            <w:tcW w:w="388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公务用车购置及运行维护费</w:t>
            </w:r>
          </w:p>
        </w:tc>
        <w:tc>
          <w:tcPr>
            <w:tcW w:w="13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公务接待费</w:t>
            </w:r>
          </w:p>
        </w:tc>
        <w:tc>
          <w:tcPr>
            <w:tcW w:w="92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合计</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因公出国（境）费</w:t>
            </w:r>
          </w:p>
        </w:tc>
        <w:tc>
          <w:tcPr>
            <w:tcW w:w="345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公务用车购置及运行维护费</w:t>
            </w:r>
          </w:p>
        </w:tc>
        <w:tc>
          <w:tcPr>
            <w:tcW w:w="108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4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1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小计</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公务用车</w:t>
            </w:r>
            <w:r>
              <w:rPr>
                <w:rFonts w:hint="default" w:ascii="Times New Roman" w:hAnsi="Times New Roman" w:eastAsia="宋体" w:cs="Times New Roman"/>
                <w:i w:val="0"/>
                <w:iCs w:val="0"/>
                <w:color w:val="auto"/>
                <w:kern w:val="0"/>
                <w:sz w:val="22"/>
                <w:szCs w:val="22"/>
                <w:highlight w:val="none"/>
                <w:u w:val="none"/>
                <w:lang w:val="en-US" w:eastAsia="zh-CN" w:bidi="ar"/>
              </w:rPr>
              <w:br w:type="textWrapping"/>
            </w:r>
            <w:r>
              <w:rPr>
                <w:rFonts w:hint="default" w:ascii="Times New Roman" w:hAnsi="Times New Roman" w:eastAsia="宋体" w:cs="Times New Roman"/>
                <w:i w:val="0"/>
                <w:iCs w:val="0"/>
                <w:color w:val="auto"/>
                <w:kern w:val="0"/>
                <w:sz w:val="22"/>
                <w:szCs w:val="22"/>
                <w:highlight w:val="none"/>
                <w:u w:val="none"/>
                <w:lang w:val="en-US" w:eastAsia="zh-CN" w:bidi="ar"/>
              </w:rPr>
              <w:t>购置费</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公务用车</w:t>
            </w:r>
            <w:r>
              <w:rPr>
                <w:rFonts w:hint="default" w:ascii="Times New Roman" w:hAnsi="Times New Roman" w:eastAsia="宋体" w:cs="Times New Roman"/>
                <w:i w:val="0"/>
                <w:iCs w:val="0"/>
                <w:color w:val="auto"/>
                <w:kern w:val="0"/>
                <w:sz w:val="22"/>
                <w:szCs w:val="22"/>
                <w:highlight w:val="none"/>
                <w:u w:val="none"/>
                <w:lang w:val="en-US" w:eastAsia="zh-CN" w:bidi="ar"/>
              </w:rPr>
              <w:br w:type="textWrapping"/>
            </w:r>
            <w:r>
              <w:rPr>
                <w:rFonts w:hint="default" w:ascii="Times New Roman" w:hAnsi="Times New Roman" w:eastAsia="宋体" w:cs="Times New Roman"/>
                <w:i w:val="0"/>
                <w:iCs w:val="0"/>
                <w:color w:val="auto"/>
                <w:kern w:val="0"/>
                <w:sz w:val="22"/>
                <w:szCs w:val="22"/>
                <w:highlight w:val="none"/>
                <w:u w:val="none"/>
                <w:lang w:val="en-US" w:eastAsia="zh-CN" w:bidi="ar"/>
              </w:rPr>
              <w:t>运行维护费</w:t>
            </w:r>
          </w:p>
        </w:tc>
        <w:tc>
          <w:tcPr>
            <w:tcW w:w="13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92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小计</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公务用车</w:t>
            </w:r>
            <w:r>
              <w:rPr>
                <w:rFonts w:hint="default" w:ascii="Times New Roman" w:hAnsi="Times New Roman" w:eastAsia="宋体" w:cs="Times New Roman"/>
                <w:i w:val="0"/>
                <w:iCs w:val="0"/>
                <w:color w:val="auto"/>
                <w:kern w:val="0"/>
                <w:sz w:val="22"/>
                <w:szCs w:val="22"/>
                <w:highlight w:val="none"/>
                <w:u w:val="none"/>
                <w:lang w:val="en-US" w:eastAsia="zh-CN" w:bidi="ar"/>
              </w:rPr>
              <w:br w:type="textWrapping"/>
            </w:r>
            <w:r>
              <w:rPr>
                <w:rFonts w:hint="default" w:ascii="Times New Roman" w:hAnsi="Times New Roman" w:eastAsia="宋体" w:cs="Times New Roman"/>
                <w:i w:val="0"/>
                <w:iCs w:val="0"/>
                <w:color w:val="auto"/>
                <w:kern w:val="0"/>
                <w:sz w:val="22"/>
                <w:szCs w:val="22"/>
                <w:highlight w:val="none"/>
                <w:u w:val="none"/>
                <w:lang w:val="en-US" w:eastAsia="zh-CN" w:bidi="ar"/>
              </w:rPr>
              <w:t>购置费</w:t>
            </w:r>
          </w:p>
        </w:tc>
        <w:tc>
          <w:tcPr>
            <w:tcW w:w="1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公务用车</w:t>
            </w:r>
            <w:r>
              <w:rPr>
                <w:rFonts w:hint="default" w:ascii="Times New Roman" w:hAnsi="Times New Roman" w:eastAsia="宋体" w:cs="Times New Roman"/>
                <w:i w:val="0"/>
                <w:iCs w:val="0"/>
                <w:color w:val="auto"/>
                <w:kern w:val="0"/>
                <w:sz w:val="22"/>
                <w:szCs w:val="22"/>
                <w:highlight w:val="none"/>
                <w:u w:val="none"/>
                <w:lang w:val="en-US" w:eastAsia="zh-CN" w:bidi="ar"/>
              </w:rPr>
              <w:br w:type="textWrapping"/>
            </w:r>
            <w:r>
              <w:rPr>
                <w:rFonts w:hint="default" w:ascii="Times New Roman" w:hAnsi="Times New Roman" w:eastAsia="宋体" w:cs="Times New Roman"/>
                <w:i w:val="0"/>
                <w:iCs w:val="0"/>
                <w:color w:val="auto"/>
                <w:kern w:val="0"/>
                <w:sz w:val="22"/>
                <w:szCs w:val="22"/>
                <w:highlight w:val="none"/>
                <w:u w:val="none"/>
                <w:lang w:val="en-US" w:eastAsia="zh-CN" w:bidi="ar"/>
              </w:rPr>
              <w:t>运行维护费</w:t>
            </w:r>
          </w:p>
        </w:tc>
        <w:tc>
          <w:tcPr>
            <w:tcW w:w="108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4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7</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8</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9</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w:t>
            </w:r>
          </w:p>
        </w:tc>
        <w:tc>
          <w:tcPr>
            <w:tcW w:w="1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11</w:t>
            </w:r>
          </w:p>
        </w:tc>
        <w:tc>
          <w:tcPr>
            <w:tcW w:w="10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42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212"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925"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3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c>
          <w:tcPr>
            <w:tcW w:w="1084"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hAnsi="Times New Roman" w:eastAsia="宋体" w:cs="Times New Roman"/>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4580" w:type="dxa"/>
            <w:gridSpan w:val="12"/>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注：本表反映单位本年度财政拨款“三公”经费支出预决算情况。其中，预算数为“三公”经费全年预算数，反映按规定程序调整后的预算数；决算数是包括当年财政拨款和以前年度结转资金安排的实际支出。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4580" w:type="dxa"/>
            <w:gridSpan w:val="12"/>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说明：本年度</w:t>
            </w:r>
            <w:r>
              <w:rPr>
                <w:rFonts w:hint="eastAsia" w:cs="Times New Roman"/>
                <w:i w:val="0"/>
                <w:iCs w:val="0"/>
                <w:color w:val="auto"/>
                <w:kern w:val="0"/>
                <w:sz w:val="22"/>
                <w:szCs w:val="22"/>
                <w:highlight w:val="none"/>
                <w:u w:val="none"/>
                <w:lang w:val="en-US" w:eastAsia="zh-CN" w:bidi="ar"/>
              </w:rPr>
              <w:t>无</w:t>
            </w:r>
            <w:r>
              <w:rPr>
                <w:rFonts w:hint="default" w:ascii="Times New Roman" w:hAnsi="Times New Roman" w:eastAsia="宋体" w:cs="Times New Roman"/>
                <w:i w:val="0"/>
                <w:iCs w:val="0"/>
                <w:color w:val="auto"/>
                <w:kern w:val="0"/>
                <w:sz w:val="22"/>
                <w:szCs w:val="22"/>
                <w:highlight w:val="none"/>
                <w:u w:val="none"/>
                <w:lang w:val="en-US" w:eastAsia="zh-CN" w:bidi="ar"/>
              </w:rPr>
              <w:t>财政拨款“三公”经费支出。</w:t>
            </w:r>
          </w:p>
        </w:tc>
      </w:tr>
    </w:tbl>
    <w:p>
      <w:pPr>
        <w:ind w:firstLine="640" w:firstLineChars="200"/>
        <w:rPr>
          <w:rFonts w:hint="default" w:ascii="Times New Roman" w:hAnsi="Times New Roman" w:eastAsia="黑体" w:cs="Times New Roman"/>
          <w:color w:val="auto"/>
          <w:sz w:val="32"/>
          <w:highlight w:val="none"/>
        </w:rPr>
      </w:pPr>
    </w:p>
    <w:p>
      <w:pPr>
        <w:jc w:val="both"/>
        <w:rPr>
          <w:rFonts w:hint="default" w:ascii="Times New Roman" w:hAnsi="Times New Roman" w:eastAsia="方正小标宋简体" w:cs="Times New Roman"/>
          <w:color w:val="auto"/>
          <w:sz w:val="44"/>
          <w:highlight w:val="none"/>
        </w:rPr>
      </w:pPr>
    </w:p>
    <w:p>
      <w:pPr>
        <w:jc w:val="center"/>
        <w:rPr>
          <w:rFonts w:hint="default" w:ascii="Times New Roman" w:hAnsi="Times New Roman" w:eastAsia="方正小标宋简体" w:cs="Times New Roman"/>
          <w:color w:val="auto"/>
          <w:sz w:val="44"/>
          <w:highlight w:val="none"/>
        </w:rPr>
        <w:sectPr>
          <w:pgSz w:w="16838" w:h="11906" w:orient="landscape"/>
          <w:pgMar w:top="980" w:right="1118" w:bottom="879" w:left="1440" w:header="851" w:footer="567" w:gutter="0"/>
          <w:pgBorders>
            <w:top w:val="none" w:sz="0" w:space="0"/>
            <w:left w:val="none" w:sz="0" w:space="0"/>
            <w:bottom w:val="none" w:sz="0" w:space="0"/>
            <w:right w:val="none" w:sz="0" w:space="0"/>
          </w:pgBorders>
          <w:cols w:space="720" w:num="1"/>
          <w:docGrid w:type="lines" w:linePitch="312" w:charSpace="0"/>
        </w:sectPr>
      </w:pPr>
    </w:p>
    <w:p>
      <w:pPr>
        <w:numPr>
          <w:ilvl w:val="0"/>
          <w:numId w:val="3"/>
        </w:numPr>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lang w:val="en-US" w:eastAsia="zh-CN"/>
        </w:rPr>
        <w:t>单位</w:t>
      </w:r>
      <w:r>
        <w:rPr>
          <w:rFonts w:hint="default" w:ascii="Times New Roman" w:hAnsi="Times New Roman" w:eastAsia="黑体" w:cs="Times New Roman"/>
          <w:color w:val="auto"/>
          <w:sz w:val="32"/>
          <w:highlight w:val="none"/>
        </w:rPr>
        <w:t>预算项目支出绩效自评表</w:t>
      </w:r>
    </w:p>
    <w:tbl>
      <w:tblPr>
        <w:tblStyle w:val="12"/>
        <w:tblW w:w="927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6"/>
        <w:gridCol w:w="931"/>
        <w:gridCol w:w="1309"/>
        <w:gridCol w:w="2420"/>
        <w:gridCol w:w="1160"/>
        <w:gridCol w:w="1160"/>
        <w:gridCol w:w="15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9270" w:type="dxa"/>
            <w:gridSpan w:val="7"/>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项目支出绩效自评表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项目名称</w:t>
            </w:r>
          </w:p>
        </w:tc>
        <w:tc>
          <w:tcPr>
            <w:tcW w:w="8534" w:type="dxa"/>
            <w:gridSpan w:val="6"/>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统计调查综合补助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实施单位</w:t>
            </w:r>
          </w:p>
        </w:tc>
        <w:tc>
          <w:tcPr>
            <w:tcW w:w="8534" w:type="dxa"/>
            <w:gridSpan w:val="6"/>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吉林省统计局</w:t>
            </w:r>
            <w:bookmarkStart w:id="1" w:name="_GoBack"/>
            <w:r>
              <w:rPr>
                <w:rFonts w:hint="default" w:ascii="Times New Roman" w:hAnsi="Times New Roman" w:eastAsia="宋体" w:cs="Times New Roman"/>
                <w:i w:val="0"/>
                <w:iCs w:val="0"/>
                <w:color w:val="auto"/>
                <w:kern w:val="0"/>
                <w:sz w:val="21"/>
                <w:szCs w:val="21"/>
                <w:highlight w:val="none"/>
                <w:u w:val="none"/>
                <w:lang w:val="en-US" w:eastAsia="zh-CN" w:bidi="ar"/>
              </w:rPr>
              <w:t>伊通县</w:t>
            </w:r>
            <w:bookmarkEnd w:id="1"/>
            <w:r>
              <w:rPr>
                <w:rFonts w:hint="default" w:ascii="Times New Roman" w:hAnsi="Times New Roman" w:eastAsia="宋体" w:cs="Times New Roman"/>
                <w:i w:val="0"/>
                <w:iCs w:val="0"/>
                <w:color w:val="auto"/>
                <w:kern w:val="0"/>
                <w:sz w:val="21"/>
                <w:szCs w:val="21"/>
                <w:highlight w:val="none"/>
                <w:u w:val="none"/>
                <w:lang w:val="en-US" w:eastAsia="zh-CN" w:bidi="ar"/>
              </w:rPr>
              <w:t>农村社会经济调查队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736"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资金情况（万元）</w:t>
            </w:r>
          </w:p>
        </w:tc>
        <w:tc>
          <w:tcPr>
            <w:tcW w:w="224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项目资金</w:t>
            </w:r>
          </w:p>
        </w:tc>
        <w:tc>
          <w:tcPr>
            <w:tcW w:w="24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年初预算数</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全年预算数</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全年执行数</w:t>
            </w:r>
          </w:p>
        </w:tc>
        <w:tc>
          <w:tcPr>
            <w:tcW w:w="155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执行率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736"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default" w:ascii="Times New Roman" w:hAnsi="Times New Roman" w:eastAsia="宋体" w:cs="Times New Roman"/>
                <w:i w:val="0"/>
                <w:iCs w:val="0"/>
                <w:color w:val="auto"/>
                <w:sz w:val="21"/>
                <w:szCs w:val="21"/>
                <w:highlight w:val="none"/>
                <w:u w:val="none"/>
              </w:rPr>
            </w:pPr>
          </w:p>
        </w:tc>
        <w:tc>
          <w:tcPr>
            <w:tcW w:w="224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当年财政拨款</w:t>
            </w:r>
          </w:p>
        </w:tc>
        <w:tc>
          <w:tcPr>
            <w:tcW w:w="24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22.00 </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34.24 </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34.24 </w:t>
            </w:r>
          </w:p>
        </w:tc>
        <w:tc>
          <w:tcPr>
            <w:tcW w:w="155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9" w:hRule="atLeast"/>
        </w:trPr>
        <w:tc>
          <w:tcPr>
            <w:tcW w:w="736"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default" w:ascii="Times New Roman" w:hAnsi="Times New Roman" w:eastAsia="宋体" w:cs="Times New Roman"/>
                <w:i w:val="0"/>
                <w:iCs w:val="0"/>
                <w:color w:val="auto"/>
                <w:sz w:val="21"/>
                <w:szCs w:val="21"/>
                <w:highlight w:val="none"/>
                <w:u w:val="none"/>
              </w:rPr>
            </w:pPr>
          </w:p>
        </w:tc>
        <w:tc>
          <w:tcPr>
            <w:tcW w:w="224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上年结转资金</w:t>
            </w:r>
          </w:p>
        </w:tc>
        <w:tc>
          <w:tcPr>
            <w:tcW w:w="24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 </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 </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 </w:t>
            </w:r>
          </w:p>
        </w:tc>
        <w:tc>
          <w:tcPr>
            <w:tcW w:w="155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736"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default" w:ascii="Times New Roman" w:hAnsi="Times New Roman" w:eastAsia="宋体" w:cs="Times New Roman"/>
                <w:i w:val="0"/>
                <w:iCs w:val="0"/>
                <w:color w:val="auto"/>
                <w:sz w:val="21"/>
                <w:szCs w:val="21"/>
                <w:highlight w:val="none"/>
                <w:u w:val="none"/>
              </w:rPr>
            </w:pPr>
          </w:p>
        </w:tc>
        <w:tc>
          <w:tcPr>
            <w:tcW w:w="224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其他资金</w:t>
            </w:r>
          </w:p>
        </w:tc>
        <w:tc>
          <w:tcPr>
            <w:tcW w:w="24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 </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 </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 </w:t>
            </w:r>
          </w:p>
        </w:tc>
        <w:tc>
          <w:tcPr>
            <w:tcW w:w="155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trPr>
        <w:tc>
          <w:tcPr>
            <w:tcW w:w="736"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default" w:ascii="Times New Roman" w:hAnsi="Times New Roman" w:eastAsia="宋体" w:cs="Times New Roman"/>
                <w:i w:val="0"/>
                <w:iCs w:val="0"/>
                <w:color w:val="auto"/>
                <w:sz w:val="21"/>
                <w:szCs w:val="21"/>
                <w:highlight w:val="none"/>
                <w:u w:val="none"/>
              </w:rPr>
            </w:pPr>
          </w:p>
        </w:tc>
        <w:tc>
          <w:tcPr>
            <w:tcW w:w="224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年度资金总和</w:t>
            </w:r>
          </w:p>
        </w:tc>
        <w:tc>
          <w:tcPr>
            <w:tcW w:w="24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22.00 </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34.24 </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34.24 </w:t>
            </w:r>
          </w:p>
        </w:tc>
        <w:tc>
          <w:tcPr>
            <w:tcW w:w="155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36"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年度总体目标</w:t>
            </w:r>
          </w:p>
        </w:tc>
        <w:tc>
          <w:tcPr>
            <w:tcW w:w="4660" w:type="dxa"/>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预期目标</w:t>
            </w:r>
          </w:p>
        </w:tc>
        <w:tc>
          <w:tcPr>
            <w:tcW w:w="3874" w:type="dxa"/>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0" w:hRule="atLeast"/>
        </w:trPr>
        <w:tc>
          <w:tcPr>
            <w:tcW w:w="736"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default" w:ascii="Times New Roman" w:hAnsi="Times New Roman" w:eastAsia="宋体" w:cs="Times New Roman"/>
                <w:i w:val="0"/>
                <w:iCs w:val="0"/>
                <w:color w:val="auto"/>
                <w:sz w:val="21"/>
                <w:szCs w:val="21"/>
                <w:highlight w:val="none"/>
                <w:u w:val="none"/>
              </w:rPr>
            </w:pPr>
          </w:p>
        </w:tc>
        <w:tc>
          <w:tcPr>
            <w:tcW w:w="4660" w:type="dxa"/>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按照国家城乡一体化调查制度要求，完成城乡居民家庭收支抽样调查和新增网点调查任务，在国民经济月报和年度公报中发布城乡住户各项调查数据。</w:t>
            </w:r>
            <w:r>
              <w:rPr>
                <w:rFonts w:hint="default" w:ascii="Times New Roman" w:hAnsi="Times New Roman" w:eastAsia="宋体" w:cs="Times New Roman"/>
                <w:i w:val="0"/>
                <w:iCs w:val="0"/>
                <w:color w:val="auto"/>
                <w:kern w:val="0"/>
                <w:sz w:val="21"/>
                <w:szCs w:val="21"/>
                <w:highlight w:val="none"/>
                <w:u w:val="none"/>
                <w:lang w:val="en-US" w:eastAsia="zh-CN" w:bidi="ar"/>
              </w:rPr>
              <w:br w:type="textWrapping"/>
            </w:r>
            <w:r>
              <w:rPr>
                <w:rFonts w:hint="default" w:ascii="Times New Roman" w:hAnsi="Times New Roman" w:eastAsia="宋体" w:cs="Times New Roman"/>
                <w:i w:val="0"/>
                <w:iCs w:val="0"/>
                <w:color w:val="auto"/>
                <w:kern w:val="0"/>
                <w:sz w:val="21"/>
                <w:szCs w:val="21"/>
                <w:highlight w:val="none"/>
                <w:u w:val="none"/>
                <w:lang w:val="en-US" w:eastAsia="zh-CN" w:bidi="ar"/>
              </w:rPr>
              <w:t>按照国家统计局城乡住户抽样调查网点轮换方法制度，对样本轮换采用多主题结合抽样，每年城乡住户调查要轮换50%的记账户，</w:t>
            </w:r>
            <w:r>
              <w:rPr>
                <w:rFonts w:hint="eastAsia" w:cs="Times New Roman"/>
                <w:i w:val="0"/>
                <w:iCs w:val="0"/>
                <w:color w:val="auto"/>
                <w:kern w:val="0"/>
                <w:sz w:val="21"/>
                <w:szCs w:val="21"/>
                <w:highlight w:val="none"/>
                <w:u w:val="none"/>
                <w:lang w:val="en-US" w:eastAsia="zh-CN" w:bidi="ar"/>
              </w:rPr>
              <w:t>即</w:t>
            </w:r>
            <w:r>
              <w:rPr>
                <w:rFonts w:hint="default" w:ascii="Times New Roman" w:hAnsi="Times New Roman" w:eastAsia="宋体" w:cs="Times New Roman"/>
                <w:i w:val="0"/>
                <w:iCs w:val="0"/>
                <w:color w:val="auto"/>
                <w:kern w:val="0"/>
                <w:sz w:val="21"/>
                <w:szCs w:val="21"/>
                <w:highlight w:val="none"/>
                <w:u w:val="none"/>
                <w:lang w:val="en-US" w:eastAsia="zh-CN" w:bidi="ar"/>
              </w:rPr>
              <w:t>每年要更换1890户记账户。</w:t>
            </w:r>
            <w:r>
              <w:rPr>
                <w:rFonts w:hint="default" w:ascii="Times New Roman" w:hAnsi="Times New Roman" w:eastAsia="宋体" w:cs="Times New Roman"/>
                <w:i w:val="0"/>
                <w:iCs w:val="0"/>
                <w:color w:val="auto"/>
                <w:kern w:val="0"/>
                <w:sz w:val="21"/>
                <w:szCs w:val="21"/>
                <w:highlight w:val="none"/>
                <w:u w:val="none"/>
                <w:lang w:val="en-US" w:eastAsia="zh-CN" w:bidi="ar"/>
              </w:rPr>
              <w:br w:type="textWrapping"/>
            </w:r>
            <w:r>
              <w:rPr>
                <w:rFonts w:hint="default" w:ascii="Times New Roman" w:hAnsi="Times New Roman" w:eastAsia="宋体" w:cs="Times New Roman"/>
                <w:i w:val="0"/>
                <w:iCs w:val="0"/>
                <w:color w:val="auto"/>
                <w:kern w:val="0"/>
                <w:sz w:val="21"/>
                <w:szCs w:val="21"/>
                <w:highlight w:val="none"/>
                <w:u w:val="none"/>
                <w:lang w:val="en-US" w:eastAsia="zh-CN" w:bidi="ar"/>
              </w:rPr>
              <w:t>通过发放记账户补贴，提高住户记账热情和责任感，有利于保障记账户数据质量，保证最终统计数据代表性，1-7月份发放城乡住户调查工作劳务费16.5万元，8-12月份发放5.5万元。</w:t>
            </w:r>
            <w:r>
              <w:rPr>
                <w:rFonts w:hint="default" w:ascii="Times New Roman" w:hAnsi="Times New Roman" w:eastAsia="宋体" w:cs="Times New Roman"/>
                <w:i w:val="0"/>
                <w:iCs w:val="0"/>
                <w:color w:val="auto"/>
                <w:kern w:val="0"/>
                <w:sz w:val="21"/>
                <w:szCs w:val="21"/>
                <w:highlight w:val="none"/>
                <w:u w:val="none"/>
                <w:lang w:val="en-US" w:eastAsia="zh-CN" w:bidi="ar"/>
              </w:rPr>
              <w:br w:type="textWrapping"/>
            </w:r>
            <w:r>
              <w:rPr>
                <w:rFonts w:hint="default" w:ascii="Times New Roman" w:hAnsi="Times New Roman" w:eastAsia="宋体" w:cs="Times New Roman"/>
                <w:i w:val="0"/>
                <w:iCs w:val="0"/>
                <w:color w:val="auto"/>
                <w:kern w:val="0"/>
                <w:sz w:val="21"/>
                <w:szCs w:val="21"/>
                <w:highlight w:val="none"/>
                <w:u w:val="none"/>
                <w:lang w:val="en-US" w:eastAsia="zh-CN" w:bidi="ar"/>
              </w:rPr>
              <w:t>根据国家县域经济城镇居民人均可支配收入调查方案和方法制度，制定本地经济县域城镇居民人均可支配收入，科学合理推算城乡居民收支调查数据，确保数据真实可信，有效使用。</w:t>
            </w:r>
            <w:r>
              <w:rPr>
                <w:rFonts w:hint="default" w:ascii="Times New Roman" w:hAnsi="Times New Roman" w:eastAsia="宋体" w:cs="Times New Roman"/>
                <w:i w:val="0"/>
                <w:iCs w:val="0"/>
                <w:color w:val="auto"/>
                <w:kern w:val="0"/>
                <w:sz w:val="21"/>
                <w:szCs w:val="21"/>
                <w:highlight w:val="none"/>
                <w:u w:val="none"/>
                <w:lang w:val="en-US" w:eastAsia="zh-CN" w:bidi="ar"/>
              </w:rPr>
              <w:br w:type="textWrapping"/>
            </w:r>
            <w:r>
              <w:rPr>
                <w:rFonts w:hint="default" w:ascii="Times New Roman" w:hAnsi="Times New Roman" w:eastAsia="宋体" w:cs="Times New Roman"/>
                <w:i w:val="0"/>
                <w:iCs w:val="0"/>
                <w:color w:val="auto"/>
                <w:kern w:val="0"/>
                <w:sz w:val="21"/>
                <w:szCs w:val="21"/>
                <w:highlight w:val="none"/>
                <w:u w:val="none"/>
                <w:lang w:val="en-US" w:eastAsia="zh-CN" w:bidi="ar"/>
              </w:rPr>
              <w:t>按照国家统计局住户调查制度，通过动员会、培训会议等实现全体人员参与完成电子记账有关制度要求，顺利完成数据处理、审核、汇总等，使全部调查户实现电子记账。</w:t>
            </w:r>
          </w:p>
        </w:tc>
        <w:tc>
          <w:tcPr>
            <w:tcW w:w="3874" w:type="dxa"/>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2025年度统计调查综合补助劳务费按照目标于2025年12月15日前发放完毕，本县住户调查记账户170户，按城乡划分，城镇记账户70户，农村记账户100户；按照记账类别划分，电子记账户162户，纸质记账户8户，电子记账率达到95%以上；2025年四次报表完成数据处理、审核、经过审核通过率100%后汇总上报，上报数据供省局、总队反馈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8" w:hRule="atLeast"/>
        </w:trPr>
        <w:tc>
          <w:tcPr>
            <w:tcW w:w="736"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绩效指标</w:t>
            </w:r>
          </w:p>
        </w:tc>
        <w:tc>
          <w:tcPr>
            <w:tcW w:w="93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一级指标</w:t>
            </w:r>
          </w:p>
        </w:tc>
        <w:tc>
          <w:tcPr>
            <w:tcW w:w="1309"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二级指标</w:t>
            </w:r>
          </w:p>
        </w:tc>
        <w:tc>
          <w:tcPr>
            <w:tcW w:w="24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三级指标</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年度指标值</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实际完成值</w:t>
            </w:r>
          </w:p>
        </w:tc>
        <w:tc>
          <w:tcPr>
            <w:tcW w:w="155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偏差原因分析及改进措施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36"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default" w:ascii="Times New Roman" w:hAnsi="Times New Roman" w:eastAsia="宋体" w:cs="Times New Roman"/>
                <w:i w:val="0"/>
                <w:iCs w:val="0"/>
                <w:color w:val="auto"/>
                <w:sz w:val="21"/>
                <w:szCs w:val="21"/>
                <w:highlight w:val="none"/>
                <w:u w:val="none"/>
              </w:rPr>
            </w:pPr>
          </w:p>
        </w:tc>
        <w:tc>
          <w:tcPr>
            <w:tcW w:w="931"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产出指标</w:t>
            </w:r>
          </w:p>
        </w:tc>
        <w:tc>
          <w:tcPr>
            <w:tcW w:w="1309"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数量指标</w:t>
            </w:r>
          </w:p>
        </w:tc>
        <w:tc>
          <w:tcPr>
            <w:tcW w:w="24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城乡住户调查补助发放人数</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&gt;=180人</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187.00人</w:t>
            </w:r>
          </w:p>
        </w:tc>
        <w:tc>
          <w:tcPr>
            <w:tcW w:w="155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0" w:hRule="atLeast"/>
        </w:trPr>
        <w:tc>
          <w:tcPr>
            <w:tcW w:w="736"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default" w:ascii="Times New Roman" w:hAnsi="Times New Roman" w:eastAsia="宋体" w:cs="Times New Roman"/>
                <w:i w:val="0"/>
                <w:iCs w:val="0"/>
                <w:color w:val="auto"/>
                <w:sz w:val="21"/>
                <w:szCs w:val="21"/>
                <w:highlight w:val="none"/>
                <w:u w:val="none"/>
              </w:rPr>
            </w:pPr>
          </w:p>
        </w:tc>
        <w:tc>
          <w:tcPr>
            <w:tcW w:w="931" w:type="dxa"/>
            <w:vMerge w:val="continue"/>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default" w:ascii="Times New Roman" w:hAnsi="Times New Roman" w:eastAsia="宋体" w:cs="Times New Roman"/>
                <w:i w:val="0"/>
                <w:iCs w:val="0"/>
                <w:color w:val="auto"/>
                <w:sz w:val="21"/>
                <w:szCs w:val="21"/>
                <w:highlight w:val="none"/>
                <w:u w:val="none"/>
              </w:rPr>
            </w:pPr>
          </w:p>
        </w:tc>
        <w:tc>
          <w:tcPr>
            <w:tcW w:w="1309" w:type="dxa"/>
            <w:vMerge w:val="continue"/>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default" w:ascii="Times New Roman" w:hAnsi="Times New Roman" w:eastAsia="宋体" w:cs="Times New Roman"/>
                <w:i w:val="0"/>
                <w:iCs w:val="0"/>
                <w:color w:val="auto"/>
                <w:sz w:val="21"/>
                <w:szCs w:val="21"/>
                <w:highlight w:val="none"/>
                <w:u w:val="none"/>
              </w:rPr>
            </w:pPr>
          </w:p>
        </w:tc>
        <w:tc>
          <w:tcPr>
            <w:tcW w:w="24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城镇住户调查户数</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&gt;=70户</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70.00户</w:t>
            </w:r>
          </w:p>
        </w:tc>
        <w:tc>
          <w:tcPr>
            <w:tcW w:w="155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36"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default" w:ascii="Times New Roman" w:hAnsi="Times New Roman" w:eastAsia="宋体" w:cs="Times New Roman"/>
                <w:i w:val="0"/>
                <w:iCs w:val="0"/>
                <w:color w:val="auto"/>
                <w:sz w:val="21"/>
                <w:szCs w:val="21"/>
                <w:highlight w:val="none"/>
                <w:u w:val="none"/>
              </w:rPr>
            </w:pPr>
          </w:p>
        </w:tc>
        <w:tc>
          <w:tcPr>
            <w:tcW w:w="931" w:type="dxa"/>
            <w:vMerge w:val="continue"/>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default" w:ascii="Times New Roman" w:hAnsi="Times New Roman" w:eastAsia="宋体" w:cs="Times New Roman"/>
                <w:i w:val="0"/>
                <w:iCs w:val="0"/>
                <w:color w:val="auto"/>
                <w:sz w:val="21"/>
                <w:szCs w:val="21"/>
                <w:highlight w:val="none"/>
                <w:u w:val="none"/>
              </w:rPr>
            </w:pPr>
          </w:p>
        </w:tc>
        <w:tc>
          <w:tcPr>
            <w:tcW w:w="1309" w:type="dxa"/>
            <w:vMerge w:val="continue"/>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default" w:ascii="Times New Roman" w:hAnsi="Times New Roman" w:eastAsia="宋体" w:cs="Times New Roman"/>
                <w:i w:val="0"/>
                <w:iCs w:val="0"/>
                <w:color w:val="auto"/>
                <w:sz w:val="21"/>
                <w:szCs w:val="21"/>
                <w:highlight w:val="none"/>
                <w:u w:val="none"/>
              </w:rPr>
            </w:pPr>
          </w:p>
        </w:tc>
        <w:tc>
          <w:tcPr>
            <w:tcW w:w="24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电子记账劳务费用发放人数</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&gt;=155人</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162.00人</w:t>
            </w:r>
          </w:p>
        </w:tc>
        <w:tc>
          <w:tcPr>
            <w:tcW w:w="155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36"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default" w:ascii="Times New Roman" w:hAnsi="Times New Roman" w:eastAsia="宋体" w:cs="Times New Roman"/>
                <w:i w:val="0"/>
                <w:iCs w:val="0"/>
                <w:color w:val="auto"/>
                <w:sz w:val="21"/>
                <w:szCs w:val="21"/>
                <w:highlight w:val="none"/>
                <w:u w:val="none"/>
              </w:rPr>
            </w:pPr>
          </w:p>
        </w:tc>
        <w:tc>
          <w:tcPr>
            <w:tcW w:w="931" w:type="dxa"/>
            <w:vMerge w:val="continue"/>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default" w:ascii="Times New Roman" w:hAnsi="Times New Roman" w:eastAsia="宋体" w:cs="Times New Roman"/>
                <w:i w:val="0"/>
                <w:iCs w:val="0"/>
                <w:color w:val="auto"/>
                <w:sz w:val="21"/>
                <w:szCs w:val="21"/>
                <w:highlight w:val="none"/>
                <w:u w:val="none"/>
              </w:rPr>
            </w:pPr>
          </w:p>
        </w:tc>
        <w:tc>
          <w:tcPr>
            <w:tcW w:w="1309"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质量指标</w:t>
            </w:r>
          </w:p>
        </w:tc>
        <w:tc>
          <w:tcPr>
            <w:tcW w:w="24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核定农村居民收入报表审核通过率</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&gt;=98%</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100.00%</w:t>
            </w:r>
          </w:p>
        </w:tc>
        <w:tc>
          <w:tcPr>
            <w:tcW w:w="155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trPr>
        <w:tc>
          <w:tcPr>
            <w:tcW w:w="736"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default" w:ascii="Times New Roman" w:hAnsi="Times New Roman" w:eastAsia="宋体" w:cs="Times New Roman"/>
                <w:i w:val="0"/>
                <w:iCs w:val="0"/>
                <w:color w:val="auto"/>
                <w:sz w:val="21"/>
                <w:szCs w:val="21"/>
                <w:highlight w:val="none"/>
                <w:u w:val="none"/>
              </w:rPr>
            </w:pPr>
          </w:p>
        </w:tc>
        <w:tc>
          <w:tcPr>
            <w:tcW w:w="93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default" w:ascii="Times New Roman" w:hAnsi="Times New Roman" w:eastAsia="宋体" w:cs="Times New Roman"/>
                <w:i w:val="0"/>
                <w:iCs w:val="0"/>
                <w:color w:val="auto"/>
                <w:sz w:val="21"/>
                <w:szCs w:val="21"/>
                <w:highlight w:val="none"/>
                <w:u w:val="none"/>
              </w:rPr>
            </w:pPr>
          </w:p>
        </w:tc>
        <w:tc>
          <w:tcPr>
            <w:tcW w:w="1309"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时效指标</w:t>
            </w:r>
          </w:p>
        </w:tc>
        <w:tc>
          <w:tcPr>
            <w:tcW w:w="24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城乡住户调查工作劳务费发放及时性</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于12月15日前完成发放</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已于12月15日前完成发放。</w:t>
            </w:r>
          </w:p>
        </w:tc>
        <w:tc>
          <w:tcPr>
            <w:tcW w:w="155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736"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default" w:ascii="Times New Roman" w:hAnsi="Times New Roman" w:eastAsia="宋体" w:cs="Times New Roman"/>
                <w:i w:val="0"/>
                <w:iCs w:val="0"/>
                <w:color w:val="auto"/>
                <w:sz w:val="21"/>
                <w:szCs w:val="21"/>
                <w:highlight w:val="none"/>
                <w:u w:val="none"/>
              </w:rPr>
            </w:pPr>
          </w:p>
        </w:tc>
        <w:tc>
          <w:tcPr>
            <w:tcW w:w="93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效益指标</w:t>
            </w:r>
          </w:p>
        </w:tc>
        <w:tc>
          <w:tcPr>
            <w:tcW w:w="1309"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社会效益指标</w:t>
            </w:r>
          </w:p>
        </w:tc>
        <w:tc>
          <w:tcPr>
            <w:tcW w:w="24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为社会提供本县居民</w:t>
            </w:r>
            <w:r>
              <w:rPr>
                <w:rFonts w:hint="eastAsia" w:cs="Times New Roman"/>
                <w:i w:val="0"/>
                <w:iCs w:val="0"/>
                <w:color w:val="auto"/>
                <w:kern w:val="0"/>
                <w:sz w:val="21"/>
                <w:szCs w:val="21"/>
                <w:highlight w:val="none"/>
                <w:u w:val="none"/>
                <w:lang w:val="en-US" w:eastAsia="zh-CN" w:bidi="ar"/>
              </w:rPr>
              <w:t>人均</w:t>
            </w:r>
            <w:r>
              <w:rPr>
                <w:rFonts w:hint="default" w:ascii="Times New Roman" w:hAnsi="Times New Roman" w:eastAsia="宋体" w:cs="Times New Roman"/>
                <w:i w:val="0"/>
                <w:iCs w:val="0"/>
                <w:color w:val="auto"/>
                <w:kern w:val="0"/>
                <w:sz w:val="21"/>
                <w:szCs w:val="21"/>
                <w:highlight w:val="none"/>
                <w:u w:val="none"/>
                <w:lang w:val="en-US" w:eastAsia="zh-CN" w:bidi="ar"/>
              </w:rPr>
              <w:t>可支配收入可靠数据</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&gt;=1篇</w:t>
            </w:r>
          </w:p>
        </w:tc>
        <w:tc>
          <w:tcPr>
            <w:tcW w:w="116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1.00篇</w:t>
            </w:r>
          </w:p>
        </w:tc>
        <w:tc>
          <w:tcPr>
            <w:tcW w:w="155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无</w:t>
            </w:r>
          </w:p>
        </w:tc>
      </w:tr>
    </w:tbl>
    <w:p>
      <w:pPr>
        <w:jc w:val="center"/>
        <w:rPr>
          <w:rFonts w:hint="default" w:ascii="Times New Roman" w:hAnsi="Times New Roman" w:eastAsia="方正小标宋简体" w:cs="Times New Roman"/>
          <w:color w:val="auto"/>
          <w:sz w:val="44"/>
          <w:highlight w:val="none"/>
        </w:rPr>
      </w:pPr>
      <w:r>
        <w:rPr>
          <w:rFonts w:hint="default" w:ascii="Times New Roman" w:hAnsi="Times New Roman" w:eastAsia="仿宋_GB2312" w:cs="Times New Roman"/>
          <w:color w:val="auto"/>
          <w:sz w:val="44"/>
          <w:highlight w:val="none"/>
        </w:rPr>
        <w:br w:type="page"/>
      </w:r>
      <w:r>
        <w:rPr>
          <w:rFonts w:hint="default" w:ascii="Times New Roman" w:hAnsi="Times New Roman" w:eastAsia="方正小标宋简体" w:cs="Times New Roman"/>
          <w:color w:val="auto"/>
          <w:sz w:val="44"/>
          <w:highlight w:val="none"/>
        </w:rPr>
        <w:t>第三部分 202</w:t>
      </w:r>
      <w:r>
        <w:rPr>
          <w:rFonts w:hint="default" w:ascii="Times New Roman" w:hAnsi="Times New Roman" w:eastAsia="方正小标宋简体" w:cs="Times New Roman"/>
          <w:color w:val="auto"/>
          <w:sz w:val="44"/>
          <w:highlight w:val="none"/>
          <w:lang w:val="en-US" w:eastAsia="zh-CN"/>
        </w:rPr>
        <w:t>5</w:t>
      </w:r>
      <w:r>
        <w:rPr>
          <w:rFonts w:hint="default" w:ascii="Times New Roman" w:hAnsi="Times New Roman" w:eastAsia="方正小标宋简体" w:cs="Times New Roman"/>
          <w:color w:val="auto"/>
          <w:sz w:val="44"/>
          <w:highlight w:val="none"/>
        </w:rPr>
        <w:t>年度</w:t>
      </w:r>
      <w:r>
        <w:rPr>
          <w:rFonts w:hint="eastAsia" w:eastAsia="方正小标宋简体" w:cs="Times New Roman"/>
          <w:color w:val="auto"/>
          <w:sz w:val="44"/>
          <w:highlight w:val="none"/>
          <w:lang w:val="en-US" w:eastAsia="zh-CN"/>
        </w:rPr>
        <w:t>单位</w:t>
      </w:r>
      <w:r>
        <w:rPr>
          <w:rFonts w:hint="default" w:ascii="Times New Roman" w:hAnsi="Times New Roman" w:eastAsia="方正小标宋简体" w:cs="Times New Roman"/>
          <w:color w:val="auto"/>
          <w:sz w:val="44"/>
          <w:highlight w:val="none"/>
        </w:rPr>
        <w:t>决算情况说明</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一、收入支出决算总体情况说明</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2025年度收、支总计均为103.47万元。与2024年度相比，收、支总计均增加14.3万元，增长16%。主要原因是：2025年</w:t>
      </w:r>
      <w:r>
        <w:rPr>
          <w:rFonts w:hint="eastAsia" w:eastAsia="仿宋_GB2312" w:cs="Times New Roman"/>
          <w:color w:val="auto"/>
          <w:kern w:val="2"/>
          <w:sz w:val="32"/>
          <w:szCs w:val="32"/>
          <w:highlight w:val="none"/>
          <w:lang w:val="en-US" w:eastAsia="zh-CN" w:bidi="ar-SA"/>
        </w:rPr>
        <w:t>度</w:t>
      </w:r>
      <w:r>
        <w:rPr>
          <w:rFonts w:hint="default" w:ascii="Times New Roman" w:hAnsi="Times New Roman" w:eastAsia="仿宋_GB2312" w:cs="Times New Roman"/>
          <w:color w:val="auto"/>
          <w:kern w:val="2"/>
          <w:sz w:val="32"/>
          <w:szCs w:val="32"/>
          <w:highlight w:val="none"/>
          <w:lang w:val="en-US" w:eastAsia="zh-CN" w:bidi="ar-SA"/>
        </w:rPr>
        <w:t>调查员劳务费标准提高，财政拨付的项目经费增加。</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二、</w:t>
      </w:r>
      <w:r>
        <w:rPr>
          <w:rFonts w:hint="default" w:ascii="Times New Roman" w:hAnsi="Times New Roman" w:eastAsia="黑体" w:cs="Times New Roman"/>
          <w:color w:val="auto"/>
          <w:sz w:val="32"/>
          <w:szCs w:val="30"/>
          <w:highlight w:val="none"/>
        </w:rPr>
        <w:t>收入决算情况说明</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本年收入合计103.47万元，其中：财政拨款收入93.49万元，比上年增加16.99万元，增长22.2%，主要是2025年</w:t>
      </w:r>
      <w:r>
        <w:rPr>
          <w:rFonts w:hint="eastAsia" w:eastAsia="仿宋_GB2312" w:cs="Times New Roman"/>
          <w:color w:val="auto"/>
          <w:sz w:val="32"/>
          <w:szCs w:val="32"/>
          <w:highlight w:val="none"/>
          <w:lang w:val="en-US" w:eastAsia="zh-CN"/>
        </w:rPr>
        <w:t>度</w:t>
      </w:r>
      <w:r>
        <w:rPr>
          <w:rFonts w:hint="default" w:ascii="Times New Roman" w:hAnsi="Times New Roman" w:eastAsia="仿宋_GB2312" w:cs="Times New Roman"/>
          <w:color w:val="auto"/>
          <w:sz w:val="32"/>
          <w:szCs w:val="32"/>
          <w:highlight w:val="none"/>
        </w:rPr>
        <w:t>调查员劳务费标准提高，财政拨付的项目经费增加；上级补助收入0万元，与上年持平，主要是本单位无上级补助收入；事业收入0万元，与上年持平，主要是本单位无事业收入；经营收入0万元，与上年持平，主要是本单位无经营收入；附属单位上缴收入0万元，与上年持平，主要是本单位无附属单位上缴收入；其他收入9.97万元，比上年减少1.54万元，降低13.4%，主要是县级财政保障压力增加，对应非财政拨款减少。</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三、</w:t>
      </w:r>
      <w:r>
        <w:rPr>
          <w:rFonts w:hint="default" w:ascii="Times New Roman" w:hAnsi="Times New Roman" w:eastAsia="黑体" w:cs="Times New Roman"/>
          <w:color w:val="auto"/>
          <w:sz w:val="32"/>
          <w:szCs w:val="30"/>
          <w:highlight w:val="none"/>
        </w:rPr>
        <w:t>支出决算情况说明</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本年支出合计99.48万元，其中：基本支出59.25万元，比上年增加4.75万元，增长8.7%，主要是应付职工薪酬随着工龄增加，人员经费支出较上年增长。项目支出40.22万元，比上年增加5.55万元，增长16%，主要是2025</w:t>
      </w:r>
      <w:r>
        <w:rPr>
          <w:rFonts w:hint="eastAsia" w:eastAsia="仿宋_GB2312" w:cs="Times New Roman"/>
          <w:color w:val="auto"/>
          <w:sz w:val="32"/>
          <w:szCs w:val="32"/>
          <w:highlight w:val="none"/>
          <w:lang w:val="en-US" w:eastAsia="zh-CN"/>
        </w:rPr>
        <w:t>年度</w:t>
      </w:r>
      <w:r>
        <w:rPr>
          <w:rFonts w:hint="default" w:ascii="Times New Roman" w:hAnsi="Times New Roman" w:eastAsia="仿宋_GB2312" w:cs="Times New Roman"/>
          <w:color w:val="auto"/>
          <w:sz w:val="32"/>
          <w:szCs w:val="32"/>
          <w:highlight w:val="none"/>
          <w:lang w:eastAsia="zh-CN"/>
        </w:rPr>
        <w:t>调查员劳务费标准提高，财政拨付的项目经费支出增加。上缴上级支出0万元，与上年持平，主要是本单位无上缴上级支出；经营支出0万元，与上年持平，主要是本单位无经营支出；对附属单位补助支出0万元，与上年持平，主要是本单位无对附属单位补助支出。</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四、</w:t>
      </w:r>
      <w:r>
        <w:rPr>
          <w:rFonts w:hint="default" w:ascii="Times New Roman" w:hAnsi="Times New Roman" w:eastAsia="黑体" w:cs="Times New Roman"/>
          <w:color w:val="auto"/>
          <w:sz w:val="32"/>
          <w:szCs w:val="30"/>
          <w:highlight w:val="none"/>
        </w:rPr>
        <w:t>财政拨款收入支出决算总体情况说明</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2025年度财政拨款收、支总计均为93.49万元。与2024年度相比，财政拨款收、支总计各增加16.99万元，增长22.2%。主要原因是：2025</w:t>
      </w:r>
      <w:r>
        <w:rPr>
          <w:rFonts w:hint="eastAsia" w:eastAsia="仿宋_GB2312" w:cs="Times New Roman"/>
          <w:color w:val="auto"/>
          <w:sz w:val="32"/>
          <w:szCs w:val="32"/>
          <w:highlight w:val="none"/>
          <w:lang w:val="en-US" w:eastAsia="zh-CN"/>
        </w:rPr>
        <w:t>年度</w:t>
      </w:r>
      <w:r>
        <w:rPr>
          <w:rFonts w:hint="default" w:ascii="Times New Roman" w:hAnsi="Times New Roman" w:eastAsia="仿宋_GB2312" w:cs="Times New Roman"/>
          <w:color w:val="auto"/>
          <w:sz w:val="32"/>
          <w:szCs w:val="32"/>
          <w:highlight w:val="none"/>
        </w:rPr>
        <w:t>调查员劳务费标准提高，财政拨付的项目经费增加。</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五、</w:t>
      </w:r>
      <w:r>
        <w:rPr>
          <w:rFonts w:hint="default" w:ascii="Times New Roman" w:hAnsi="Times New Roman" w:eastAsia="黑体" w:cs="Times New Roman"/>
          <w:color w:val="auto"/>
          <w:sz w:val="32"/>
          <w:szCs w:val="30"/>
          <w:highlight w:val="none"/>
        </w:rPr>
        <w:t>一般公共预算财政拨款支出决算情况说明</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楷体_GB2312" w:cs="Times New Roman"/>
          <w:b w:val="0"/>
          <w:bCs w:val="0"/>
          <w:color w:val="auto"/>
          <w:sz w:val="32"/>
          <w:highlight w:val="none"/>
        </w:rPr>
      </w:pPr>
      <w:r>
        <w:rPr>
          <w:rFonts w:hint="default" w:ascii="Times New Roman" w:hAnsi="Times New Roman" w:eastAsia="楷体_GB2312" w:cs="Times New Roman"/>
          <w:b w:val="0"/>
          <w:bCs w:val="0"/>
          <w:color w:val="auto"/>
          <w:sz w:val="32"/>
          <w:highlight w:val="none"/>
        </w:rPr>
        <w:t>（一）一般公共预算财政拨款支出决算总体情况</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仿宋_GB2312" w:cs="Times New Roman"/>
          <w:color w:val="auto"/>
          <w:sz w:val="32"/>
          <w:szCs w:val="30"/>
          <w:highlight w:val="none"/>
        </w:rPr>
      </w:pPr>
      <w:r>
        <w:rPr>
          <w:rFonts w:hint="default" w:ascii="Times New Roman" w:hAnsi="Times New Roman" w:eastAsia="仿宋_GB2312" w:cs="Times New Roman"/>
          <w:color w:val="auto"/>
          <w:sz w:val="32"/>
          <w:szCs w:val="32"/>
          <w:highlight w:val="none"/>
        </w:rPr>
        <w:t>2025年度一般公共预算财政拨款支出93.49万元，占本年支出合计的94%。与2024年度相比，一般公共预算财政拨款支出增加16.99万元，增长22.2%。主要原因是：2025</w:t>
      </w:r>
      <w:r>
        <w:rPr>
          <w:rFonts w:hint="eastAsia" w:eastAsia="仿宋_GB2312" w:cs="Times New Roman"/>
          <w:color w:val="auto"/>
          <w:sz w:val="32"/>
          <w:szCs w:val="32"/>
          <w:highlight w:val="none"/>
          <w:lang w:val="en-US" w:eastAsia="zh-CN"/>
        </w:rPr>
        <w:t>年度</w:t>
      </w:r>
      <w:r>
        <w:rPr>
          <w:rFonts w:hint="default" w:ascii="Times New Roman" w:hAnsi="Times New Roman" w:eastAsia="仿宋_GB2312" w:cs="Times New Roman"/>
          <w:color w:val="auto"/>
          <w:sz w:val="32"/>
          <w:szCs w:val="32"/>
          <w:highlight w:val="none"/>
        </w:rPr>
        <w:t>调查员劳务费标准提高，项目经费支出相应增加。</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仿宋_GB2312" w:cs="Times New Roman"/>
          <w:b/>
          <w:bCs/>
          <w:color w:val="auto"/>
          <w:sz w:val="32"/>
          <w:highlight w:val="none"/>
        </w:rPr>
      </w:pPr>
      <w:r>
        <w:rPr>
          <w:rFonts w:hint="default" w:ascii="Times New Roman" w:hAnsi="Times New Roman" w:eastAsia="楷体_GB2312" w:cs="Times New Roman"/>
          <w:b w:val="0"/>
          <w:bCs w:val="0"/>
          <w:color w:val="auto"/>
          <w:sz w:val="32"/>
          <w:highlight w:val="none"/>
        </w:rPr>
        <w:t>（二）一般公共预算财政拨款支出决算结构情况</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0"/>
          <w:highlight w:val="none"/>
        </w:rPr>
        <w:t>2025年度一般公共预算财政拨款支出93.49万元，主要用于以下方面：一般公共服务支出79.75万元，占85.3%。社会保障和就业支出8.17万元，占8.7%。卫生健康支出1.76万元，占1.9%。住房保障支出3.81万元，占4.1%。</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楷体_GB2312" w:cs="Times New Roman"/>
          <w:b w:val="0"/>
          <w:bCs w:val="0"/>
          <w:color w:val="auto"/>
          <w:sz w:val="32"/>
          <w:highlight w:val="none"/>
        </w:rPr>
      </w:pPr>
      <w:r>
        <w:rPr>
          <w:rFonts w:hint="default" w:ascii="Times New Roman" w:hAnsi="Times New Roman" w:eastAsia="楷体_GB2312" w:cs="Times New Roman"/>
          <w:b w:val="0"/>
          <w:bCs w:val="0"/>
          <w:color w:val="auto"/>
          <w:sz w:val="32"/>
          <w:highlight w:val="none"/>
        </w:rPr>
        <w:t>（三）一般公共预算财政拨款支出决算具体情况</w:t>
      </w:r>
    </w:p>
    <w:p>
      <w:pPr>
        <w:keepNext w:val="0"/>
        <w:keepLines w:val="0"/>
        <w:pageBreakBefore w:val="0"/>
        <w:kinsoku/>
        <w:wordWrap/>
        <w:overflowPunct/>
        <w:topLinePunct w:val="0"/>
        <w:bidi w:val="0"/>
        <w:snapToGrid/>
        <w:spacing w:line="240" w:lineRule="auto"/>
        <w:ind w:left="0" w:leftChars="0"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年度一般公共预算财政拨款支出年初预算为</w:t>
      </w:r>
      <w:r>
        <w:rPr>
          <w:rFonts w:hint="eastAsia" w:eastAsia="仿宋_GB2312" w:cs="Times New Roman"/>
          <w:color w:val="auto"/>
          <w:sz w:val="32"/>
          <w:szCs w:val="32"/>
          <w:highlight w:val="none"/>
          <w:lang w:val="en-US" w:eastAsia="zh-CN"/>
        </w:rPr>
        <w:t>83.51</w:t>
      </w:r>
      <w:r>
        <w:rPr>
          <w:rFonts w:hint="default" w:ascii="Times New Roman" w:hAnsi="Times New Roman" w:eastAsia="仿宋_GB2312" w:cs="Times New Roman"/>
          <w:color w:val="auto"/>
          <w:sz w:val="32"/>
          <w:szCs w:val="32"/>
          <w:highlight w:val="none"/>
        </w:rPr>
        <w:t>万元，支出决算为</w:t>
      </w:r>
      <w:r>
        <w:rPr>
          <w:rFonts w:hint="eastAsia" w:eastAsia="仿宋_GB2312" w:cs="Times New Roman"/>
          <w:color w:val="auto"/>
          <w:sz w:val="32"/>
          <w:szCs w:val="32"/>
          <w:highlight w:val="none"/>
          <w:lang w:val="en-US" w:eastAsia="zh-CN"/>
        </w:rPr>
        <w:t>93.49</w:t>
      </w:r>
      <w:r>
        <w:rPr>
          <w:rFonts w:hint="default" w:ascii="Times New Roman" w:hAnsi="Times New Roman" w:eastAsia="仿宋_GB2312" w:cs="Times New Roman"/>
          <w:color w:val="auto"/>
          <w:sz w:val="32"/>
          <w:szCs w:val="32"/>
          <w:highlight w:val="none"/>
        </w:rPr>
        <w:t>万元，完成年初预算的</w:t>
      </w:r>
      <w:r>
        <w:rPr>
          <w:rFonts w:hint="eastAsia" w:eastAsia="仿宋_GB2312" w:cs="Times New Roman"/>
          <w:color w:val="auto"/>
          <w:sz w:val="32"/>
          <w:szCs w:val="32"/>
          <w:highlight w:val="none"/>
          <w:lang w:val="en-US" w:eastAsia="zh-CN"/>
        </w:rPr>
        <w:t>112</w:t>
      </w:r>
      <w:r>
        <w:rPr>
          <w:rFonts w:hint="default" w:ascii="Times New Roman" w:hAnsi="Times New Roman" w:eastAsia="仿宋_GB2312" w:cs="Times New Roman"/>
          <w:color w:val="auto"/>
          <w:sz w:val="32"/>
          <w:szCs w:val="32"/>
          <w:highlight w:val="none"/>
        </w:rPr>
        <w:t>%。其中：</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1.一般公共服务</w:t>
      </w:r>
      <w:r>
        <w:rPr>
          <w:rFonts w:hint="default" w:ascii="Times New Roman" w:hAnsi="Times New Roman" w:eastAsia="仿宋_GB2312" w:cs="Times New Roman"/>
          <w:color w:val="auto"/>
          <w:sz w:val="32"/>
          <w:szCs w:val="32"/>
          <w:highlight w:val="none"/>
          <w:lang w:eastAsia="zh-CN"/>
        </w:rPr>
        <w:t>支出</w:t>
      </w:r>
      <w:r>
        <w:rPr>
          <w:rFonts w:hint="default" w:ascii="Times New Roman" w:hAnsi="Times New Roman" w:eastAsia="仿宋_GB2312" w:cs="Times New Roman"/>
          <w:color w:val="auto"/>
          <w:sz w:val="32"/>
          <w:szCs w:val="32"/>
          <w:highlight w:val="none"/>
        </w:rPr>
        <w:t>（类）统计信息事务（款）行政运行（项）。年初预算为</w:t>
      </w:r>
      <w:r>
        <w:rPr>
          <w:rFonts w:hint="eastAsia" w:eastAsia="仿宋_GB2312" w:cs="Times New Roman"/>
          <w:color w:val="auto"/>
          <w:sz w:val="32"/>
          <w:szCs w:val="32"/>
          <w:highlight w:val="none"/>
          <w:lang w:val="en-US" w:eastAsia="zh-CN"/>
        </w:rPr>
        <w:t>46.45</w:t>
      </w:r>
      <w:r>
        <w:rPr>
          <w:rFonts w:hint="default" w:ascii="Times New Roman" w:hAnsi="Times New Roman" w:eastAsia="仿宋_GB2312" w:cs="Times New Roman"/>
          <w:color w:val="auto"/>
          <w:sz w:val="32"/>
          <w:szCs w:val="32"/>
          <w:highlight w:val="none"/>
        </w:rPr>
        <w:t>万元，支出决算为</w:t>
      </w:r>
      <w:r>
        <w:rPr>
          <w:rFonts w:hint="eastAsia" w:eastAsia="仿宋_GB2312" w:cs="Times New Roman"/>
          <w:color w:val="auto"/>
          <w:sz w:val="32"/>
          <w:szCs w:val="32"/>
          <w:highlight w:val="none"/>
          <w:lang w:val="en-US" w:eastAsia="zh-CN"/>
        </w:rPr>
        <w:t>45.51</w:t>
      </w:r>
      <w:r>
        <w:rPr>
          <w:rFonts w:hint="default" w:ascii="Times New Roman" w:hAnsi="Times New Roman" w:eastAsia="仿宋_GB2312" w:cs="Times New Roman"/>
          <w:color w:val="auto"/>
          <w:sz w:val="32"/>
          <w:szCs w:val="32"/>
          <w:highlight w:val="none"/>
        </w:rPr>
        <w:t>万元，完成年初预算的</w:t>
      </w:r>
      <w:r>
        <w:rPr>
          <w:rFonts w:hint="eastAsia" w:eastAsia="仿宋_GB2312" w:cs="Times New Roman"/>
          <w:color w:val="auto"/>
          <w:sz w:val="32"/>
          <w:szCs w:val="32"/>
          <w:highlight w:val="none"/>
          <w:lang w:val="en-US" w:eastAsia="zh-CN"/>
        </w:rPr>
        <w:t>98</w:t>
      </w:r>
      <w:r>
        <w:rPr>
          <w:rFonts w:hint="default" w:ascii="Times New Roman" w:hAnsi="Times New Roman" w:eastAsia="仿宋_GB2312" w:cs="Times New Roman"/>
          <w:color w:val="auto"/>
          <w:sz w:val="32"/>
          <w:szCs w:val="32"/>
          <w:highlight w:val="none"/>
        </w:rPr>
        <w:t>%。</w:t>
      </w:r>
      <w:bookmarkStart w:id="0" w:name="OLE_LINK1"/>
      <w:r>
        <w:rPr>
          <w:rFonts w:hint="default" w:ascii="Times New Roman" w:hAnsi="Times New Roman" w:eastAsia="仿宋_GB2312" w:cs="Times New Roman"/>
          <w:color w:val="auto"/>
          <w:sz w:val="32"/>
          <w:szCs w:val="32"/>
          <w:highlight w:val="none"/>
        </w:rPr>
        <w:t>决算数</w:t>
      </w:r>
      <w:r>
        <w:rPr>
          <w:rFonts w:hint="eastAsia" w:eastAsia="仿宋_GB2312" w:cs="Times New Roman"/>
          <w:color w:val="auto"/>
          <w:sz w:val="32"/>
          <w:szCs w:val="32"/>
          <w:highlight w:val="none"/>
          <w:lang w:eastAsia="zh-CN"/>
        </w:rPr>
        <w:t>小</w:t>
      </w:r>
      <w:r>
        <w:rPr>
          <w:rFonts w:hint="default" w:ascii="Times New Roman" w:hAnsi="Times New Roman" w:eastAsia="仿宋_GB2312" w:cs="Times New Roman"/>
          <w:color w:val="auto"/>
          <w:sz w:val="32"/>
          <w:szCs w:val="32"/>
          <w:highlight w:val="none"/>
        </w:rPr>
        <w:t>于预算数</w:t>
      </w:r>
      <w:bookmarkEnd w:id="0"/>
      <w:r>
        <w:rPr>
          <w:rFonts w:hint="default" w:ascii="Times New Roman" w:hAnsi="Times New Roman" w:eastAsia="仿宋_GB2312" w:cs="Times New Roman"/>
          <w:color w:val="auto"/>
          <w:sz w:val="32"/>
          <w:szCs w:val="32"/>
          <w:highlight w:val="none"/>
        </w:rPr>
        <w:t>的主要原因是</w:t>
      </w:r>
      <w:r>
        <w:rPr>
          <w:rFonts w:hint="eastAsia" w:eastAsia="仿宋_GB2312" w:cs="Times New Roman"/>
          <w:color w:val="auto"/>
          <w:sz w:val="32"/>
          <w:szCs w:val="32"/>
          <w:highlight w:val="none"/>
          <w:lang w:val="en-US" w:eastAsia="zh-CN"/>
        </w:rPr>
        <w:t>2025年度1名在职人员调出，经费支出减少。</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2.一般公共服务</w:t>
      </w:r>
      <w:r>
        <w:rPr>
          <w:rFonts w:hint="default" w:ascii="Times New Roman" w:hAnsi="Times New Roman" w:eastAsia="仿宋_GB2312" w:cs="Times New Roman"/>
          <w:color w:val="auto"/>
          <w:sz w:val="32"/>
          <w:szCs w:val="32"/>
          <w:highlight w:val="none"/>
          <w:lang w:eastAsia="zh-CN"/>
        </w:rPr>
        <w:t>支出</w:t>
      </w:r>
      <w:r>
        <w:rPr>
          <w:rFonts w:hint="default" w:ascii="Times New Roman" w:hAnsi="Times New Roman" w:eastAsia="仿宋_GB2312" w:cs="Times New Roman"/>
          <w:color w:val="auto"/>
          <w:sz w:val="32"/>
          <w:szCs w:val="32"/>
          <w:highlight w:val="none"/>
        </w:rPr>
        <w:t>（类）统计信息事务（款）</w:t>
      </w:r>
      <w:r>
        <w:rPr>
          <w:rFonts w:hint="eastAsia" w:eastAsia="仿宋_GB2312" w:cs="Times New Roman"/>
          <w:color w:val="auto"/>
          <w:sz w:val="32"/>
          <w:szCs w:val="32"/>
          <w:highlight w:val="none"/>
          <w:lang w:eastAsia="zh-CN"/>
        </w:rPr>
        <w:t>统计抽样调查</w:t>
      </w:r>
      <w:r>
        <w:rPr>
          <w:rFonts w:hint="default" w:ascii="Times New Roman" w:hAnsi="Times New Roman" w:eastAsia="仿宋_GB2312" w:cs="Times New Roman"/>
          <w:color w:val="auto"/>
          <w:sz w:val="32"/>
          <w:szCs w:val="32"/>
          <w:highlight w:val="none"/>
        </w:rPr>
        <w:t>（项）。年初预算为</w:t>
      </w:r>
      <w:r>
        <w:rPr>
          <w:rFonts w:hint="eastAsia" w:eastAsia="仿宋_GB2312" w:cs="Times New Roman"/>
          <w:color w:val="auto"/>
          <w:sz w:val="32"/>
          <w:szCs w:val="32"/>
          <w:highlight w:val="none"/>
          <w:lang w:val="en-US" w:eastAsia="zh-CN"/>
        </w:rPr>
        <w:t>22.00</w:t>
      </w:r>
      <w:r>
        <w:rPr>
          <w:rFonts w:hint="default" w:ascii="Times New Roman" w:hAnsi="Times New Roman" w:eastAsia="仿宋_GB2312" w:cs="Times New Roman"/>
          <w:color w:val="auto"/>
          <w:sz w:val="32"/>
          <w:szCs w:val="32"/>
          <w:highlight w:val="none"/>
        </w:rPr>
        <w:t>万元，支出决算为</w:t>
      </w:r>
      <w:r>
        <w:rPr>
          <w:rFonts w:hint="eastAsia" w:eastAsia="仿宋_GB2312" w:cs="Times New Roman"/>
          <w:color w:val="auto"/>
          <w:sz w:val="32"/>
          <w:szCs w:val="32"/>
          <w:highlight w:val="none"/>
          <w:lang w:val="en-US" w:eastAsia="zh-CN"/>
        </w:rPr>
        <w:t>34.24</w:t>
      </w:r>
      <w:r>
        <w:rPr>
          <w:rFonts w:hint="default" w:ascii="Times New Roman" w:hAnsi="Times New Roman" w:eastAsia="仿宋_GB2312" w:cs="Times New Roman"/>
          <w:color w:val="auto"/>
          <w:sz w:val="32"/>
          <w:szCs w:val="32"/>
          <w:highlight w:val="none"/>
        </w:rPr>
        <w:t>万元，完成年初预算的</w:t>
      </w:r>
      <w:r>
        <w:rPr>
          <w:rFonts w:hint="eastAsia" w:eastAsia="仿宋_GB2312" w:cs="Times New Roman"/>
          <w:color w:val="auto"/>
          <w:sz w:val="32"/>
          <w:szCs w:val="32"/>
          <w:highlight w:val="none"/>
          <w:lang w:val="en-US" w:eastAsia="zh-CN"/>
        </w:rPr>
        <w:t>155.6</w:t>
      </w:r>
      <w:r>
        <w:rPr>
          <w:rFonts w:hint="default" w:ascii="Times New Roman" w:hAnsi="Times New Roman" w:eastAsia="仿宋_GB2312" w:cs="Times New Roman"/>
          <w:color w:val="auto"/>
          <w:sz w:val="32"/>
          <w:szCs w:val="32"/>
          <w:highlight w:val="none"/>
        </w:rPr>
        <w:t>%。决算数大于预算数的主要原因是2025</w:t>
      </w:r>
      <w:r>
        <w:rPr>
          <w:rFonts w:hint="eastAsia" w:eastAsia="仿宋_GB2312" w:cs="Times New Roman"/>
          <w:color w:val="auto"/>
          <w:sz w:val="32"/>
          <w:szCs w:val="32"/>
          <w:highlight w:val="none"/>
          <w:lang w:val="en-US" w:eastAsia="zh-CN"/>
        </w:rPr>
        <w:t>年度</w:t>
      </w:r>
      <w:r>
        <w:rPr>
          <w:rFonts w:hint="default" w:ascii="Times New Roman" w:hAnsi="Times New Roman" w:eastAsia="仿宋_GB2312" w:cs="Times New Roman"/>
          <w:color w:val="auto"/>
          <w:sz w:val="32"/>
          <w:szCs w:val="32"/>
          <w:highlight w:val="none"/>
        </w:rPr>
        <w:t>调查员劳务费标准提高，财政拨付的项目经费增加。</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3.社会保障和就业支出（类）行政事业单位养老支出（款）行政单位离退休（项）</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年初预算为</w:t>
      </w:r>
      <w:r>
        <w:rPr>
          <w:rFonts w:hint="eastAsia" w:eastAsia="仿宋_GB2312" w:cs="Times New Roman"/>
          <w:color w:val="auto"/>
          <w:sz w:val="32"/>
          <w:szCs w:val="32"/>
          <w:highlight w:val="none"/>
          <w:lang w:val="en-US" w:eastAsia="zh-CN"/>
        </w:rPr>
        <w:t>3.46</w:t>
      </w:r>
      <w:r>
        <w:rPr>
          <w:rFonts w:hint="default" w:ascii="Times New Roman" w:hAnsi="Times New Roman" w:eastAsia="仿宋_GB2312" w:cs="Times New Roman"/>
          <w:color w:val="auto"/>
          <w:sz w:val="32"/>
          <w:szCs w:val="32"/>
          <w:highlight w:val="none"/>
        </w:rPr>
        <w:t>万元，支出决算为</w:t>
      </w:r>
      <w:r>
        <w:rPr>
          <w:rFonts w:hint="eastAsia" w:eastAsia="仿宋_GB2312" w:cs="Times New Roman"/>
          <w:color w:val="auto"/>
          <w:sz w:val="32"/>
          <w:szCs w:val="32"/>
          <w:highlight w:val="none"/>
          <w:lang w:val="en-US" w:eastAsia="zh-CN"/>
        </w:rPr>
        <w:t>3.35</w:t>
      </w:r>
      <w:r>
        <w:rPr>
          <w:rFonts w:hint="default" w:ascii="Times New Roman" w:hAnsi="Times New Roman" w:eastAsia="仿宋_GB2312" w:cs="Times New Roman"/>
          <w:color w:val="auto"/>
          <w:sz w:val="32"/>
          <w:szCs w:val="32"/>
          <w:highlight w:val="none"/>
        </w:rPr>
        <w:t>万元，完成年初预算的</w:t>
      </w:r>
      <w:r>
        <w:rPr>
          <w:rFonts w:hint="eastAsia" w:eastAsia="仿宋_GB2312" w:cs="Times New Roman"/>
          <w:color w:val="auto"/>
          <w:sz w:val="32"/>
          <w:szCs w:val="32"/>
          <w:highlight w:val="none"/>
          <w:lang w:val="en-US" w:eastAsia="zh-CN"/>
        </w:rPr>
        <w:t>96.8</w:t>
      </w:r>
      <w:r>
        <w:rPr>
          <w:rFonts w:hint="default" w:ascii="Times New Roman" w:hAnsi="Times New Roman" w:eastAsia="仿宋_GB2312" w:cs="Times New Roman"/>
          <w:color w:val="auto"/>
          <w:sz w:val="32"/>
          <w:szCs w:val="32"/>
          <w:highlight w:val="none"/>
        </w:rPr>
        <w:t>%。决算数大于预算数的主要原因是</w:t>
      </w:r>
      <w:r>
        <w:rPr>
          <w:rFonts w:hint="eastAsia" w:ascii="Times New Roman" w:hAnsi="Times New Roman" w:eastAsia="仿宋_GB2312" w:cs="Times New Roman"/>
          <w:color w:val="auto"/>
          <w:sz w:val="32"/>
          <w:szCs w:val="32"/>
          <w:highlight w:val="none"/>
          <w:lang w:val="en-US" w:eastAsia="zh-CN"/>
        </w:rPr>
        <w:t>2025年度1名在职人员调出，经费</w:t>
      </w:r>
      <w:r>
        <w:rPr>
          <w:rFonts w:hint="eastAsia" w:eastAsia="仿宋_GB2312" w:cs="Times New Roman"/>
          <w:color w:val="auto"/>
          <w:sz w:val="32"/>
          <w:szCs w:val="32"/>
          <w:highlight w:val="none"/>
          <w:lang w:val="en-US" w:eastAsia="zh-CN"/>
        </w:rPr>
        <w:t>支出减少。</w:t>
      </w:r>
    </w:p>
    <w:p>
      <w:pPr>
        <w:keepNext w:val="0"/>
        <w:keepLines w:val="0"/>
        <w:pageBreakBefore w:val="0"/>
        <w:widowControl w:val="0"/>
        <w:tabs>
          <w:tab w:val="left" w:pos="3360"/>
        </w:tabs>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.社会保障和就业支出（类）行政事业单位养老支出（款）机关事业单位基本养老保险缴费支出（项）</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年初预算为</w:t>
      </w:r>
      <w:r>
        <w:rPr>
          <w:rFonts w:hint="eastAsia" w:eastAsia="仿宋_GB2312" w:cs="Times New Roman"/>
          <w:color w:val="auto"/>
          <w:sz w:val="32"/>
          <w:szCs w:val="32"/>
          <w:highlight w:val="none"/>
          <w:lang w:val="en-US" w:eastAsia="zh-CN"/>
        </w:rPr>
        <w:t>5.44</w:t>
      </w:r>
      <w:r>
        <w:rPr>
          <w:rFonts w:hint="default" w:ascii="Times New Roman" w:hAnsi="Times New Roman" w:eastAsia="仿宋_GB2312" w:cs="Times New Roman"/>
          <w:color w:val="auto"/>
          <w:sz w:val="32"/>
          <w:szCs w:val="32"/>
          <w:highlight w:val="none"/>
        </w:rPr>
        <w:t>万元，支出决算为</w:t>
      </w:r>
      <w:r>
        <w:rPr>
          <w:rFonts w:hint="eastAsia" w:eastAsia="仿宋_GB2312" w:cs="Times New Roman"/>
          <w:color w:val="auto"/>
          <w:sz w:val="32"/>
          <w:szCs w:val="32"/>
          <w:highlight w:val="none"/>
          <w:lang w:val="en-US" w:eastAsia="zh-CN"/>
        </w:rPr>
        <w:t>4.82</w:t>
      </w:r>
      <w:r>
        <w:rPr>
          <w:rFonts w:hint="default" w:ascii="Times New Roman" w:hAnsi="Times New Roman" w:eastAsia="仿宋_GB2312" w:cs="Times New Roman"/>
          <w:color w:val="auto"/>
          <w:sz w:val="32"/>
          <w:szCs w:val="32"/>
          <w:highlight w:val="none"/>
        </w:rPr>
        <w:t>万元，完成年初预算的</w:t>
      </w:r>
      <w:r>
        <w:rPr>
          <w:rFonts w:hint="eastAsia" w:eastAsia="仿宋_GB2312" w:cs="Times New Roman"/>
          <w:color w:val="auto"/>
          <w:sz w:val="32"/>
          <w:szCs w:val="32"/>
          <w:highlight w:val="none"/>
          <w:lang w:val="en-US" w:eastAsia="zh-CN"/>
        </w:rPr>
        <w:t>88.6</w:t>
      </w:r>
      <w:r>
        <w:rPr>
          <w:rFonts w:hint="default" w:ascii="Times New Roman" w:hAnsi="Times New Roman" w:eastAsia="仿宋_GB2312" w:cs="Times New Roman"/>
          <w:color w:val="auto"/>
          <w:sz w:val="32"/>
          <w:szCs w:val="32"/>
          <w:highlight w:val="none"/>
        </w:rPr>
        <w:t>%。决算数小于预算数的主要原因是</w:t>
      </w:r>
      <w:r>
        <w:rPr>
          <w:rFonts w:hint="eastAsia" w:ascii="Times New Roman" w:hAnsi="Times New Roman" w:eastAsia="仿宋_GB2312" w:cs="Times New Roman"/>
          <w:color w:val="auto"/>
          <w:sz w:val="32"/>
          <w:szCs w:val="32"/>
          <w:highlight w:val="none"/>
          <w:lang w:val="en-US" w:eastAsia="zh-CN"/>
        </w:rPr>
        <w:t>2025年度1名在职人员调出，经费</w:t>
      </w:r>
      <w:r>
        <w:rPr>
          <w:rFonts w:hint="eastAsia" w:eastAsia="仿宋_GB2312" w:cs="Times New Roman"/>
          <w:color w:val="auto"/>
          <w:sz w:val="32"/>
          <w:szCs w:val="32"/>
          <w:highlight w:val="none"/>
          <w:lang w:val="en-US" w:eastAsia="zh-CN"/>
        </w:rPr>
        <w:t>支出减少。</w:t>
      </w:r>
    </w:p>
    <w:p>
      <w:pPr>
        <w:keepNext w:val="0"/>
        <w:keepLines w:val="0"/>
        <w:pageBreakBefore w:val="0"/>
        <w:widowControl w:val="0"/>
        <w:tabs>
          <w:tab w:val="left" w:pos="3360"/>
        </w:tabs>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.卫生健康支出（类）行政事业单位医疗（款）行政单位医疗（项）</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年初预算为</w:t>
      </w:r>
      <w:r>
        <w:rPr>
          <w:rFonts w:hint="eastAsia" w:eastAsia="仿宋_GB2312" w:cs="Times New Roman"/>
          <w:color w:val="auto"/>
          <w:sz w:val="32"/>
          <w:szCs w:val="32"/>
          <w:highlight w:val="none"/>
          <w:lang w:val="en-US" w:eastAsia="zh-CN"/>
        </w:rPr>
        <w:t>1.76</w:t>
      </w:r>
      <w:r>
        <w:rPr>
          <w:rFonts w:hint="default" w:ascii="Times New Roman" w:hAnsi="Times New Roman" w:eastAsia="仿宋_GB2312" w:cs="Times New Roman"/>
          <w:color w:val="auto"/>
          <w:sz w:val="32"/>
          <w:szCs w:val="32"/>
          <w:highlight w:val="none"/>
        </w:rPr>
        <w:t>万元，支出决算为</w:t>
      </w:r>
      <w:r>
        <w:rPr>
          <w:rFonts w:hint="eastAsia" w:eastAsia="仿宋_GB2312" w:cs="Times New Roman"/>
          <w:color w:val="auto"/>
          <w:sz w:val="32"/>
          <w:szCs w:val="32"/>
          <w:highlight w:val="none"/>
          <w:lang w:val="en-US" w:eastAsia="zh-CN"/>
        </w:rPr>
        <w:t>1.76</w:t>
      </w:r>
      <w:r>
        <w:rPr>
          <w:rFonts w:hint="default" w:ascii="Times New Roman" w:hAnsi="Times New Roman" w:eastAsia="仿宋_GB2312" w:cs="Times New Roman"/>
          <w:color w:val="auto"/>
          <w:sz w:val="32"/>
          <w:szCs w:val="32"/>
          <w:highlight w:val="none"/>
        </w:rPr>
        <w:t>万元，完成年初预算的</w:t>
      </w:r>
      <w:r>
        <w:rPr>
          <w:rFonts w:hint="eastAsia" w:eastAsia="仿宋_GB2312" w:cs="Times New Roman"/>
          <w:color w:val="auto"/>
          <w:sz w:val="32"/>
          <w:szCs w:val="32"/>
          <w:highlight w:val="none"/>
          <w:lang w:val="en-US" w:eastAsia="zh-CN"/>
        </w:rPr>
        <w:t>100</w:t>
      </w:r>
      <w:r>
        <w:rPr>
          <w:rFonts w:hint="default" w:ascii="Times New Roman" w:hAnsi="Times New Roman" w:eastAsia="仿宋_GB2312" w:cs="Times New Roman"/>
          <w:color w:val="auto"/>
          <w:sz w:val="32"/>
          <w:szCs w:val="32"/>
          <w:highlight w:val="none"/>
        </w:rPr>
        <w:t>%。决算数</w:t>
      </w:r>
      <w:r>
        <w:rPr>
          <w:rFonts w:hint="eastAsia" w:eastAsia="仿宋_GB2312" w:cs="Times New Roman"/>
          <w:color w:val="auto"/>
          <w:sz w:val="32"/>
          <w:szCs w:val="32"/>
          <w:highlight w:val="none"/>
          <w:lang w:val="en-US" w:eastAsia="zh-CN"/>
        </w:rPr>
        <w:t>与</w:t>
      </w:r>
      <w:r>
        <w:rPr>
          <w:rFonts w:hint="default" w:ascii="Times New Roman" w:hAnsi="Times New Roman" w:eastAsia="仿宋_GB2312" w:cs="Times New Roman"/>
          <w:color w:val="auto"/>
          <w:sz w:val="32"/>
          <w:szCs w:val="32"/>
          <w:highlight w:val="none"/>
        </w:rPr>
        <w:t>预算数</w:t>
      </w:r>
      <w:r>
        <w:rPr>
          <w:rFonts w:hint="eastAsia" w:eastAsia="仿宋_GB2312" w:cs="Times New Roman"/>
          <w:color w:val="auto"/>
          <w:sz w:val="32"/>
          <w:szCs w:val="32"/>
          <w:highlight w:val="none"/>
          <w:lang w:eastAsia="zh-CN"/>
        </w:rPr>
        <w:t>持平</w:t>
      </w:r>
      <w:r>
        <w:rPr>
          <w:rFonts w:hint="default" w:ascii="Times New Roman" w:hAnsi="Times New Roman" w:eastAsia="仿宋_GB2312" w:cs="Times New Roman"/>
          <w:color w:val="auto"/>
          <w:sz w:val="32"/>
          <w:szCs w:val="32"/>
          <w:highlight w:val="none"/>
        </w:rPr>
        <w:t>。</w:t>
      </w:r>
    </w:p>
    <w:p>
      <w:pPr>
        <w:keepNext w:val="0"/>
        <w:keepLines w:val="0"/>
        <w:pageBreakBefore w:val="0"/>
        <w:widowControl w:val="0"/>
        <w:tabs>
          <w:tab w:val="left" w:pos="3360"/>
        </w:tabs>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.住房保障支出（类）住房改革支出（款）住房公积金（项）</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年初预算为</w:t>
      </w:r>
      <w:r>
        <w:rPr>
          <w:rFonts w:hint="eastAsia" w:eastAsia="仿宋_GB2312" w:cs="Times New Roman"/>
          <w:color w:val="auto"/>
          <w:sz w:val="32"/>
          <w:szCs w:val="32"/>
          <w:highlight w:val="none"/>
          <w:lang w:val="en-US" w:eastAsia="zh-CN"/>
        </w:rPr>
        <w:t>4.40</w:t>
      </w:r>
      <w:r>
        <w:rPr>
          <w:rFonts w:hint="default" w:ascii="Times New Roman" w:hAnsi="Times New Roman" w:eastAsia="仿宋_GB2312" w:cs="Times New Roman"/>
          <w:color w:val="auto"/>
          <w:sz w:val="32"/>
          <w:szCs w:val="32"/>
          <w:highlight w:val="none"/>
        </w:rPr>
        <w:t>万元，支出决算为</w:t>
      </w:r>
      <w:r>
        <w:rPr>
          <w:rFonts w:hint="eastAsia" w:eastAsia="仿宋_GB2312" w:cs="Times New Roman"/>
          <w:color w:val="auto"/>
          <w:sz w:val="32"/>
          <w:szCs w:val="32"/>
          <w:highlight w:val="none"/>
          <w:lang w:val="en-US" w:eastAsia="zh-CN"/>
        </w:rPr>
        <w:t>3.81</w:t>
      </w:r>
      <w:r>
        <w:rPr>
          <w:rFonts w:hint="default" w:ascii="Times New Roman" w:hAnsi="Times New Roman" w:eastAsia="仿宋_GB2312" w:cs="Times New Roman"/>
          <w:color w:val="auto"/>
          <w:sz w:val="32"/>
          <w:szCs w:val="32"/>
          <w:highlight w:val="none"/>
        </w:rPr>
        <w:t>万元，完成年初预算的</w:t>
      </w:r>
      <w:r>
        <w:rPr>
          <w:rFonts w:hint="eastAsia" w:eastAsia="仿宋_GB2312" w:cs="Times New Roman"/>
          <w:color w:val="auto"/>
          <w:sz w:val="32"/>
          <w:szCs w:val="32"/>
          <w:highlight w:val="none"/>
          <w:lang w:val="en-US" w:eastAsia="zh-CN"/>
        </w:rPr>
        <w:t>86.6</w:t>
      </w:r>
      <w:r>
        <w:rPr>
          <w:rFonts w:hint="default" w:ascii="Times New Roman" w:hAnsi="Times New Roman" w:eastAsia="仿宋_GB2312" w:cs="Times New Roman"/>
          <w:color w:val="auto"/>
          <w:sz w:val="32"/>
          <w:szCs w:val="32"/>
          <w:highlight w:val="none"/>
        </w:rPr>
        <w:t>%。决算数小于预算数的主要原因是</w:t>
      </w:r>
      <w:r>
        <w:rPr>
          <w:rFonts w:hint="eastAsia" w:ascii="Times New Roman" w:hAnsi="Times New Roman" w:eastAsia="仿宋_GB2312" w:cs="Times New Roman"/>
          <w:color w:val="auto"/>
          <w:sz w:val="32"/>
          <w:szCs w:val="32"/>
          <w:highlight w:val="none"/>
          <w:lang w:val="en-US" w:eastAsia="zh-CN"/>
        </w:rPr>
        <w:t>2025年度1名在职人员调出，经费</w:t>
      </w:r>
      <w:r>
        <w:rPr>
          <w:rFonts w:hint="eastAsia" w:eastAsia="仿宋_GB2312" w:cs="Times New Roman"/>
          <w:color w:val="auto"/>
          <w:sz w:val="32"/>
          <w:szCs w:val="32"/>
          <w:highlight w:val="none"/>
          <w:lang w:val="en-US" w:eastAsia="zh-CN"/>
        </w:rPr>
        <w:t>支出减少。</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六、</w:t>
      </w:r>
      <w:r>
        <w:rPr>
          <w:rFonts w:hint="default" w:ascii="Times New Roman" w:hAnsi="Times New Roman" w:eastAsia="黑体" w:cs="Times New Roman"/>
          <w:color w:val="auto"/>
          <w:sz w:val="32"/>
          <w:szCs w:val="30"/>
          <w:highlight w:val="none"/>
        </w:rPr>
        <w:t>一般公共预算财政拨款基本支出决算情况说明</w:t>
      </w:r>
    </w:p>
    <w:p>
      <w:pPr>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仿宋_GB2312" w:cs="Times New Roman"/>
          <w:color w:val="auto"/>
          <w:sz w:val="32"/>
          <w:szCs w:val="30"/>
          <w:highlight w:val="none"/>
        </w:rPr>
        <w:t>202</w:t>
      </w:r>
      <w:r>
        <w:rPr>
          <w:rFonts w:hint="default" w:ascii="Times New Roman" w:hAnsi="Times New Roman" w:eastAsia="仿宋_GB2312" w:cs="Times New Roman"/>
          <w:color w:val="auto"/>
          <w:sz w:val="32"/>
          <w:szCs w:val="30"/>
          <w:highlight w:val="none"/>
          <w:lang w:val="en-US" w:eastAsia="zh-CN"/>
        </w:rPr>
        <w:t>5</w:t>
      </w:r>
      <w:r>
        <w:rPr>
          <w:rFonts w:hint="default" w:ascii="Times New Roman" w:hAnsi="Times New Roman" w:eastAsia="仿宋_GB2312" w:cs="Times New Roman"/>
          <w:color w:val="auto"/>
          <w:sz w:val="32"/>
          <w:szCs w:val="30"/>
          <w:highlight w:val="none"/>
        </w:rPr>
        <w:t>年度</w:t>
      </w:r>
      <w:r>
        <w:rPr>
          <w:rFonts w:hint="default" w:ascii="Times New Roman" w:hAnsi="Times New Roman" w:eastAsia="仿宋_GB2312" w:cs="Times New Roman"/>
          <w:color w:val="auto"/>
          <w:sz w:val="32"/>
          <w:szCs w:val="32"/>
          <w:highlight w:val="none"/>
        </w:rPr>
        <w:t>一般公共预算财政拨款基本支出</w:t>
      </w:r>
      <w:r>
        <w:rPr>
          <w:rFonts w:hint="default" w:ascii="Times New Roman" w:hAnsi="Times New Roman" w:eastAsia="仿宋_GB2312" w:cs="Times New Roman"/>
          <w:color w:val="auto"/>
          <w:sz w:val="32"/>
          <w:szCs w:val="32"/>
          <w:highlight w:val="none"/>
          <w:lang w:val="en-US" w:eastAsia="zh-CN"/>
        </w:rPr>
        <w:t>59.25</w:t>
      </w:r>
      <w:r>
        <w:rPr>
          <w:rFonts w:hint="default" w:ascii="Times New Roman" w:hAnsi="Times New Roman" w:eastAsia="仿宋_GB2312" w:cs="Times New Roman"/>
          <w:color w:val="auto"/>
          <w:sz w:val="32"/>
          <w:szCs w:val="32"/>
          <w:highlight w:val="none"/>
        </w:rPr>
        <w:t>万元，其中：</w:t>
      </w:r>
    </w:p>
    <w:p>
      <w:pPr>
        <w:ind w:firstLine="643"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仿宋_GB2312" w:cs="Times New Roman"/>
          <w:b/>
          <w:color w:val="auto"/>
          <w:sz w:val="32"/>
          <w:szCs w:val="32"/>
          <w:highlight w:val="none"/>
        </w:rPr>
        <w:t>人员经费</w:t>
      </w:r>
      <w:r>
        <w:rPr>
          <w:rFonts w:hint="default" w:ascii="Times New Roman" w:hAnsi="Times New Roman" w:eastAsia="仿宋_GB2312" w:cs="Times New Roman"/>
          <w:b/>
          <w:color w:val="auto"/>
          <w:sz w:val="32"/>
          <w:szCs w:val="32"/>
          <w:highlight w:val="none"/>
          <w:lang w:val="en-US" w:eastAsia="zh-CN"/>
        </w:rPr>
        <w:t>51.76</w:t>
      </w:r>
      <w:r>
        <w:rPr>
          <w:rFonts w:hint="default" w:ascii="Times New Roman" w:hAnsi="Times New Roman" w:eastAsia="仿宋_GB2312" w:cs="Times New Roman"/>
          <w:b/>
          <w:color w:val="auto"/>
          <w:sz w:val="32"/>
          <w:szCs w:val="32"/>
          <w:highlight w:val="none"/>
        </w:rPr>
        <w:t>万元</w:t>
      </w:r>
      <w:r>
        <w:rPr>
          <w:rFonts w:hint="default" w:ascii="Times New Roman" w:hAnsi="Times New Roman" w:eastAsia="仿宋_GB2312" w:cs="Times New Roman"/>
          <w:color w:val="auto"/>
          <w:sz w:val="32"/>
          <w:szCs w:val="32"/>
          <w:highlight w:val="none"/>
        </w:rPr>
        <w:t>，主要包括：基本工资、津贴补贴、奖金、机关事业单位基本养老保险缴费、职工基本医疗保险缴费、其他社会保障缴费、住房公积金、医疗费、其他工资福利支出</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退休费</w:t>
      </w:r>
      <w:r>
        <w:rPr>
          <w:rFonts w:hint="eastAsia" w:eastAsia="仿宋_GB2312" w:cs="Times New Roman"/>
          <w:color w:val="auto"/>
          <w:sz w:val="32"/>
          <w:szCs w:val="32"/>
          <w:highlight w:val="none"/>
          <w:lang w:eastAsia="zh-CN"/>
        </w:rPr>
        <w:t>和奖励金</w:t>
      </w:r>
      <w:r>
        <w:rPr>
          <w:rFonts w:hint="default" w:ascii="Times New Roman" w:hAnsi="Times New Roman" w:eastAsia="仿宋_GB2312" w:cs="Times New Roman"/>
          <w:color w:val="auto"/>
          <w:sz w:val="32"/>
          <w:szCs w:val="32"/>
          <w:highlight w:val="none"/>
        </w:rPr>
        <w:t>。</w:t>
      </w:r>
    </w:p>
    <w:p>
      <w:pPr>
        <w:ind w:firstLine="643"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rPr>
        <w:t>公用经费</w:t>
      </w:r>
      <w:r>
        <w:rPr>
          <w:rFonts w:hint="default" w:ascii="Times New Roman" w:hAnsi="Times New Roman" w:eastAsia="仿宋_GB2312" w:cs="Times New Roman"/>
          <w:b/>
          <w:color w:val="auto"/>
          <w:sz w:val="32"/>
          <w:szCs w:val="32"/>
          <w:highlight w:val="none"/>
          <w:lang w:val="en-US" w:eastAsia="zh-CN"/>
        </w:rPr>
        <w:t>7.49</w:t>
      </w:r>
      <w:r>
        <w:rPr>
          <w:rFonts w:hint="default" w:ascii="Times New Roman" w:hAnsi="Times New Roman" w:eastAsia="仿宋_GB2312" w:cs="Times New Roman"/>
          <w:b/>
          <w:color w:val="auto"/>
          <w:sz w:val="32"/>
          <w:szCs w:val="32"/>
          <w:highlight w:val="none"/>
        </w:rPr>
        <w:t>万元</w:t>
      </w:r>
      <w:r>
        <w:rPr>
          <w:rFonts w:hint="default" w:ascii="Times New Roman" w:hAnsi="Times New Roman" w:eastAsia="仿宋_GB2312" w:cs="Times New Roman"/>
          <w:color w:val="auto"/>
          <w:sz w:val="32"/>
          <w:szCs w:val="32"/>
          <w:highlight w:val="none"/>
        </w:rPr>
        <w:t>，主要包括：办公费、邮电费、差旅费、工会经费、福利费</w:t>
      </w:r>
      <w:r>
        <w:rPr>
          <w:rFonts w:hint="default" w:ascii="Times New Roman" w:hAnsi="Times New Roman" w:eastAsia="仿宋_GB2312" w:cs="Times New Roman"/>
          <w:color w:val="auto"/>
          <w:sz w:val="32"/>
          <w:szCs w:val="32"/>
          <w:highlight w:val="none"/>
          <w:lang w:eastAsia="zh-CN"/>
        </w:rPr>
        <w:t>和</w:t>
      </w:r>
      <w:r>
        <w:rPr>
          <w:rFonts w:hint="default" w:ascii="Times New Roman" w:hAnsi="Times New Roman" w:eastAsia="仿宋_GB2312" w:cs="Times New Roman"/>
          <w:color w:val="auto"/>
          <w:sz w:val="32"/>
          <w:szCs w:val="32"/>
          <w:highlight w:val="none"/>
        </w:rPr>
        <w:t>其他交通费用</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黑体" w:cs="Times New Roman"/>
          <w:color w:val="auto"/>
          <w:sz w:val="32"/>
          <w:szCs w:val="30"/>
          <w:highlight w:val="none"/>
        </w:rPr>
      </w:pPr>
      <w:r>
        <w:rPr>
          <w:rFonts w:hint="default" w:ascii="Times New Roman" w:hAnsi="Times New Roman" w:eastAsia="黑体" w:cs="Times New Roman"/>
          <w:color w:val="auto"/>
          <w:sz w:val="32"/>
          <w:highlight w:val="none"/>
        </w:rPr>
        <w:t>七、政府性基金预算财政拨款收入支出决算情况说明</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本单位无政府性基金预算财政拨款预算。</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八、国有资本经营预算财政拨款支出决算情况说明</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仿宋_GB2312" w:cs="Times New Roman"/>
          <w:color w:val="auto"/>
          <w:sz w:val="32"/>
          <w:szCs w:val="30"/>
          <w:highlight w:val="none"/>
        </w:rPr>
      </w:pPr>
      <w:r>
        <w:rPr>
          <w:rFonts w:hint="default" w:ascii="Times New Roman" w:hAnsi="Times New Roman" w:eastAsia="仿宋_GB2312" w:cs="Times New Roman"/>
          <w:color w:val="auto"/>
          <w:sz w:val="32"/>
          <w:szCs w:val="32"/>
          <w:highlight w:val="none"/>
          <w:lang w:eastAsia="zh-CN"/>
        </w:rPr>
        <w:t>本单位无国有资本经营预算财政拨款。</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九、</w:t>
      </w:r>
      <w:r>
        <w:rPr>
          <w:rFonts w:hint="default" w:ascii="Times New Roman" w:hAnsi="Times New Roman" w:eastAsia="黑体" w:cs="Times New Roman"/>
          <w:color w:val="auto"/>
          <w:sz w:val="32"/>
          <w:szCs w:val="30"/>
          <w:highlight w:val="none"/>
        </w:rPr>
        <w:t>财政拨款“三公”经费支出决算情况说明</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楷体_GB2312" w:cs="Times New Roman"/>
          <w:color w:val="auto"/>
          <w:sz w:val="32"/>
          <w:highlight w:val="none"/>
        </w:rPr>
      </w:pPr>
      <w:r>
        <w:rPr>
          <w:rFonts w:hint="default" w:ascii="Times New Roman" w:hAnsi="Times New Roman" w:eastAsia="楷体_GB2312" w:cs="Times New Roman"/>
          <w:color w:val="auto"/>
          <w:sz w:val="32"/>
          <w:highlight w:val="none"/>
        </w:rPr>
        <w:t>（一）“三公”经费财政拨款支出决算总体情况说明</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年度“三公”经费财政拨款支出预算为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万元，支出决算为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与上年持平</w:t>
      </w:r>
      <w:r>
        <w:rPr>
          <w:rFonts w:hint="default" w:ascii="Times New Roman" w:hAnsi="Times New Roman" w:eastAsia="仿宋_GB2312" w:cs="Times New Roman"/>
          <w:color w:val="auto"/>
          <w:sz w:val="32"/>
          <w:szCs w:val="32"/>
          <w:highlight w:val="none"/>
        </w:rPr>
        <w:t>。</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楷体_GB2312" w:cs="Times New Roman"/>
          <w:color w:val="auto"/>
          <w:sz w:val="32"/>
          <w:highlight w:val="none"/>
        </w:rPr>
      </w:pPr>
      <w:r>
        <w:rPr>
          <w:rFonts w:hint="default" w:ascii="Times New Roman" w:hAnsi="Times New Roman" w:eastAsia="楷体_GB2312" w:cs="Times New Roman"/>
          <w:color w:val="auto"/>
          <w:sz w:val="32"/>
          <w:highlight w:val="none"/>
        </w:rPr>
        <w:t>（二）“三公”经费财政拨款支出决算具体情况说明</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1.因公出国（境）费预算为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支出决算为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万元。全年共有因公出国（境）团组</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个，因公出国（境）</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人次</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2.公务用车购置及运行费预算为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万元，支出决算为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万元。其中：</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公务用车购置费支出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万元。截至202</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年12月31日，公务用车保有量为0辆</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公务用车购置数为0辆。</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公务用车运行维护费支出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公务接待费预算为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万元，支出决算为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万元。其中：</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外事接待费支出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万元。全年共接待外事来访团组数</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个、来访外宾</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人次（不包括陪同人员）。</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仿宋_GB2312" w:cs="Times New Roman"/>
          <w:color w:val="auto"/>
          <w:sz w:val="32"/>
          <w:szCs w:val="30"/>
          <w:highlight w:val="none"/>
        </w:rPr>
      </w:pPr>
      <w:r>
        <w:rPr>
          <w:rFonts w:hint="default" w:ascii="Times New Roman" w:hAnsi="Times New Roman" w:eastAsia="仿宋_GB2312" w:cs="Times New Roman"/>
          <w:color w:val="auto"/>
          <w:sz w:val="32"/>
          <w:szCs w:val="32"/>
          <w:highlight w:val="none"/>
        </w:rPr>
        <w:t>其他国内公务接待支出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万元。全年共接待国内来访团组</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个、来宾</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人次（不包括陪同人员）。</w:t>
      </w:r>
    </w:p>
    <w:p>
      <w:pPr>
        <w:keepNext w:val="0"/>
        <w:keepLines w:val="0"/>
        <w:pageBreakBefore w:val="0"/>
        <w:widowControl w:val="0"/>
        <w:kinsoku/>
        <w:wordWrap/>
        <w:overflowPunct/>
        <w:topLinePunct w:val="0"/>
        <w:autoSpaceDE/>
        <w:autoSpaceDN/>
        <w:bidi w:val="0"/>
        <w:snapToGrid/>
        <w:spacing w:line="240" w:lineRule="auto"/>
        <w:ind w:right="0" w:rightChars="0" w:firstLine="640" w:firstLineChars="200"/>
        <w:textAlignment w:val="auto"/>
        <w:outlineLvl w:val="9"/>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十、</w:t>
      </w:r>
      <w:r>
        <w:rPr>
          <w:rFonts w:hint="default" w:ascii="Times New Roman" w:hAnsi="Times New Roman" w:eastAsia="黑体" w:cs="Times New Roman"/>
          <w:color w:val="auto"/>
          <w:sz w:val="32"/>
          <w:szCs w:val="32"/>
          <w:highlight w:val="none"/>
        </w:rPr>
        <w:t>关于</w:t>
      </w:r>
      <w:r>
        <w:rPr>
          <w:rFonts w:hint="default" w:ascii="Times New Roman" w:hAnsi="Times New Roman" w:eastAsia="黑体" w:cs="Times New Roman"/>
          <w:color w:val="auto"/>
          <w:sz w:val="32"/>
          <w:szCs w:val="32"/>
          <w:highlight w:val="none"/>
          <w:lang w:val="en"/>
        </w:rPr>
        <w:t>202</w:t>
      </w:r>
      <w:r>
        <w:rPr>
          <w:rFonts w:hint="default" w:ascii="Times New Roman" w:hAnsi="Times New Roman" w:eastAsia="黑体" w:cs="Times New Roman"/>
          <w:color w:val="auto"/>
          <w:sz w:val="32"/>
          <w:szCs w:val="32"/>
          <w:highlight w:val="none"/>
          <w:lang w:val="en-US" w:eastAsia="zh-CN"/>
        </w:rPr>
        <w:t>5</w:t>
      </w:r>
      <w:r>
        <w:rPr>
          <w:rFonts w:hint="default" w:ascii="Times New Roman" w:hAnsi="Times New Roman" w:eastAsia="黑体" w:cs="Times New Roman"/>
          <w:color w:val="auto"/>
          <w:sz w:val="32"/>
          <w:szCs w:val="32"/>
          <w:highlight w:val="none"/>
          <w:lang w:val="en"/>
        </w:rPr>
        <w:t>年度</w:t>
      </w:r>
      <w:r>
        <w:rPr>
          <w:rFonts w:hint="default" w:ascii="Times New Roman" w:hAnsi="Times New Roman" w:eastAsia="黑体" w:cs="Times New Roman"/>
          <w:color w:val="auto"/>
          <w:sz w:val="32"/>
          <w:szCs w:val="32"/>
          <w:highlight w:val="none"/>
        </w:rPr>
        <w:t>绩效评价情况说明</w:t>
      </w:r>
    </w:p>
    <w:p>
      <w:pPr>
        <w:pStyle w:val="5"/>
        <w:keepNext w:val="0"/>
        <w:keepLines w:val="0"/>
        <w:pageBreakBefore w:val="0"/>
        <w:numPr>
          <w:ilvl w:val="0"/>
          <w:numId w:val="4"/>
        </w:numPr>
        <w:kinsoku/>
        <w:wordWrap/>
        <w:overflowPunct/>
        <w:topLinePunct w:val="0"/>
        <w:autoSpaceDE/>
        <w:autoSpaceDN/>
        <w:bidi w:val="0"/>
        <w:snapToGrid/>
        <w:spacing w:after="0" w:line="240" w:lineRule="auto"/>
        <w:ind w:left="0" w:leftChars="0" w:firstLine="640" w:firstLineChars="200"/>
        <w:textAlignment w:val="auto"/>
        <w:rPr>
          <w:rFonts w:hint="default" w:ascii="Times New Roman" w:hAnsi="Times New Roman" w:eastAsia="方正楷体_GB2312" w:cs="Times New Roman"/>
          <w:color w:val="auto"/>
          <w:kern w:val="2"/>
          <w:sz w:val="32"/>
          <w:szCs w:val="32"/>
          <w:highlight w:val="none"/>
          <w:lang w:val="en-US" w:eastAsia="zh-CN" w:bidi="ar-SA"/>
        </w:rPr>
      </w:pPr>
      <w:r>
        <w:rPr>
          <w:rFonts w:hint="default" w:ascii="Times New Roman" w:hAnsi="Times New Roman" w:eastAsia="方正楷体_GB2312" w:cs="Times New Roman"/>
          <w:color w:val="auto"/>
          <w:kern w:val="2"/>
          <w:sz w:val="32"/>
          <w:szCs w:val="32"/>
          <w:highlight w:val="none"/>
          <w:lang w:val="en-US" w:eastAsia="zh-CN" w:bidi="ar-SA"/>
        </w:rPr>
        <w:t>绩效评价工作开展情况。</w:t>
      </w:r>
    </w:p>
    <w:p>
      <w:pPr>
        <w:pStyle w:val="5"/>
        <w:keepNext w:val="0"/>
        <w:keepLines w:val="0"/>
        <w:pageBreakBefore w:val="0"/>
        <w:numPr>
          <w:ilvl w:val="0"/>
          <w:numId w:val="0"/>
        </w:numPr>
        <w:kinsoku/>
        <w:wordWrap/>
        <w:overflowPunct/>
        <w:topLinePunct w:val="0"/>
        <w:autoSpaceDE/>
        <w:autoSpaceDN/>
        <w:bidi w:val="0"/>
        <w:snapToGrid/>
        <w:spacing w:after="0" w:line="240" w:lineRule="auto"/>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根据预算绩效管理要求，本单位组织对2025年度一般公共预算项目支出全面开展绩效自评，其中，一级项目1个，二级项目1 个，共涉及资金34.24万元，占一般公共预算项目支出总额的100%。本单位无政府性基金预算和国有资本经营预算，不开展相关项目绩效自评。</w:t>
      </w:r>
    </w:p>
    <w:p>
      <w:pPr>
        <w:pStyle w:val="5"/>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部门绩效评价和部门整体支出绩效评价由吉林省统计局开展，评价情况及评价结果在吉林省统计局部门决算公开当中统一体现，我单位不再另行公开说明。</w:t>
      </w:r>
    </w:p>
    <w:p>
      <w:pPr>
        <w:pStyle w:val="2"/>
        <w:keepNext w:val="0"/>
        <w:keepLines w:val="0"/>
        <w:pageBreakBefore w:val="0"/>
        <w:numPr>
          <w:ilvl w:val="0"/>
          <w:numId w:val="4"/>
        </w:numPr>
        <w:kinsoku/>
        <w:wordWrap/>
        <w:overflowPunct/>
        <w:topLinePunct w:val="0"/>
        <w:autoSpaceDE/>
        <w:autoSpaceDN/>
        <w:bidi w:val="0"/>
        <w:snapToGrid/>
        <w:spacing w:before="0" w:line="240" w:lineRule="auto"/>
        <w:ind w:left="0" w:leftChars="0" w:firstLine="640" w:firstLineChars="200"/>
        <w:textAlignment w:val="auto"/>
        <w:rPr>
          <w:rFonts w:hint="default" w:ascii="Times New Roman" w:hAnsi="Times New Roman" w:eastAsia="方正楷体_GB2312" w:cs="Times New Roman"/>
          <w:b w:val="0"/>
          <w:bCs w:val="0"/>
          <w:color w:val="auto"/>
          <w:kern w:val="2"/>
          <w:sz w:val="32"/>
          <w:szCs w:val="32"/>
          <w:highlight w:val="none"/>
          <w:lang w:val="en-US" w:eastAsia="zh-CN" w:bidi="ar-SA"/>
        </w:rPr>
      </w:pPr>
      <w:r>
        <w:rPr>
          <w:rFonts w:hint="default" w:ascii="Times New Roman" w:hAnsi="Times New Roman" w:eastAsia="方正楷体_GB2312" w:cs="Times New Roman"/>
          <w:b w:val="0"/>
          <w:bCs w:val="0"/>
          <w:color w:val="auto"/>
          <w:kern w:val="2"/>
          <w:sz w:val="32"/>
          <w:szCs w:val="32"/>
          <w:highlight w:val="none"/>
          <w:lang w:val="en-US" w:eastAsia="zh-CN" w:bidi="ar-SA"/>
        </w:rPr>
        <w:t>项目绩效自评结果。</w:t>
      </w:r>
    </w:p>
    <w:p>
      <w:pPr>
        <w:pStyle w:val="5"/>
        <w:keepNext w:val="0"/>
        <w:keepLines w:val="0"/>
        <w:pageBreakBefore w:val="0"/>
        <w:widowControl/>
        <w:kinsoku/>
        <w:wordWrap/>
        <w:overflowPunct/>
        <w:topLinePunct w:val="0"/>
        <w:autoSpaceDE/>
        <w:autoSpaceDN/>
        <w:bidi w:val="0"/>
        <w:snapToGrid/>
        <w:spacing w:after="0" w:line="240" w:lineRule="auto"/>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统计调查综合补助项目绩效自评情况：根据年初设定的绩效目标，项目绩效自评得分为100分。项目全年预算数为34.24万元，执行数为34.24万元，完成预算的100%。项目绩效目标完成情况：一是严格落实国家城乡住户调查制度规范，扎实开展170户记账户日常记账监控工作。通过常态化发放记账户专项补贴，有效调动住户记账积极性与主观能动性，进一步压实记账责任，从源头夯实统计数据基础，保障住户调查数据真实、完整、规范，确保最终统计结果具备全面代表性。同时，严格对标国家统计局住户调查工作标准，通过召开业务培训会实现调查工作人员全员参训、全面履职，熟练掌握电子记账工作流程与制度要求。有序推进日常数据录入、校对、处理、汇总等全流程工作，本年度170户调查户中有162户完成电子记账，电子记账率稳定保持在95%以上。二是高标准完成年度城乡住户调查报表报送工作。2025年，我单位圆满完成4次季度报表、1次年度报表的编制上报工作，严格执行数据初审、复审、终审全流程审核机制，报表审核通过率达100%，所有数据均按规范完成汇总、整理及上报工作。上报数据成功推送至省统计局、调查总队，为上级部门精准研判民生发展态势、科学制定惠民利民政策、系统开展经济社会发展形势分析，提供了扎实可靠、精准有效的统计数据支撑，充分发挥了统计工作的数据服务和决策保障作用。</w:t>
      </w:r>
      <w:r>
        <w:rPr>
          <w:rFonts w:hint="eastAsia" w:eastAsia="仿宋_GB2312" w:cs="Times New Roman"/>
          <w:color w:val="auto"/>
          <w:kern w:val="2"/>
          <w:sz w:val="32"/>
          <w:szCs w:val="32"/>
          <w:highlight w:val="none"/>
          <w:lang w:val="en-US" w:eastAsia="zh-CN" w:bidi="ar-SA"/>
        </w:rPr>
        <w:t>发现的主要问题及原因：无。下一步改进措施：无。</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十一、其他重要事项情况说明</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楷体_GB2312" w:cs="Times New Roman"/>
          <w:color w:val="auto"/>
          <w:sz w:val="32"/>
          <w:highlight w:val="none"/>
        </w:rPr>
      </w:pPr>
      <w:r>
        <w:rPr>
          <w:rFonts w:hint="default" w:ascii="Times New Roman" w:hAnsi="Times New Roman" w:eastAsia="楷体_GB2312" w:cs="Times New Roman"/>
          <w:color w:val="auto"/>
          <w:sz w:val="32"/>
          <w:highlight w:val="none"/>
        </w:rPr>
        <w:t>（一）机关运行经费执行情况说明</w:t>
      </w:r>
    </w:p>
    <w:p>
      <w:pPr>
        <w:keepNext w:val="0"/>
        <w:keepLines w:val="0"/>
        <w:pageBreakBefore w:val="0"/>
        <w:widowControl w:val="0"/>
        <w:kinsoku/>
        <w:wordWrap/>
        <w:overflowPunct/>
        <w:topLinePunct w:val="0"/>
        <w:autoSpaceDE w:val="0"/>
        <w:autoSpaceDN w:val="0"/>
        <w:bidi w:val="0"/>
        <w:adjustRightInd w:val="0"/>
        <w:snapToGrid/>
        <w:spacing w:line="240" w:lineRule="auto"/>
        <w:ind w:right="0" w:rightChars="0" w:firstLine="640" w:firstLineChars="200"/>
        <w:jc w:val="left"/>
        <w:textAlignment w:val="auto"/>
        <w:outlineLvl w:val="9"/>
        <w:rPr>
          <w:rFonts w:hint="default" w:ascii="Times New Roman" w:hAnsi="Times New Roman" w:eastAsia="仿宋_GB2312" w:cs="Times New Roman"/>
          <w:color w:val="auto"/>
          <w:sz w:val="32"/>
          <w:szCs w:val="30"/>
          <w:highlight w:val="none"/>
        </w:rPr>
      </w:pPr>
      <w:r>
        <w:rPr>
          <w:rFonts w:hint="default" w:ascii="Times New Roman" w:hAnsi="Times New Roman" w:eastAsia="仿宋_GB2312" w:cs="Times New Roman"/>
          <w:color w:val="auto"/>
          <w:sz w:val="32"/>
          <w:highlight w:val="none"/>
        </w:rPr>
        <w:t>202</w:t>
      </w:r>
      <w:r>
        <w:rPr>
          <w:rFonts w:hint="default" w:ascii="Times New Roman" w:hAnsi="Times New Roman" w:eastAsia="仿宋_GB2312" w:cs="Times New Roman"/>
          <w:color w:val="auto"/>
          <w:sz w:val="32"/>
          <w:highlight w:val="none"/>
          <w:lang w:val="en-US" w:eastAsia="zh-CN"/>
        </w:rPr>
        <w:t>5</w:t>
      </w:r>
      <w:r>
        <w:rPr>
          <w:rFonts w:hint="default" w:ascii="Times New Roman" w:hAnsi="Times New Roman" w:eastAsia="仿宋_GB2312" w:cs="Times New Roman"/>
          <w:color w:val="auto"/>
          <w:sz w:val="32"/>
          <w:highlight w:val="none"/>
        </w:rPr>
        <w:t>年度机关运行经费支出</w:t>
      </w:r>
      <w:r>
        <w:rPr>
          <w:rFonts w:hint="default" w:ascii="Times New Roman" w:hAnsi="Times New Roman" w:eastAsia="仿宋_GB2312" w:cs="Times New Roman"/>
          <w:color w:val="auto"/>
          <w:sz w:val="32"/>
          <w:highlight w:val="none"/>
          <w:lang w:val="en-US" w:eastAsia="zh-CN"/>
        </w:rPr>
        <w:t>7.49</w:t>
      </w:r>
      <w:r>
        <w:rPr>
          <w:rFonts w:hint="default" w:ascii="Times New Roman" w:hAnsi="Times New Roman" w:eastAsia="仿宋_GB2312" w:cs="Times New Roman"/>
          <w:color w:val="auto"/>
          <w:sz w:val="32"/>
          <w:highlight w:val="none"/>
        </w:rPr>
        <w:t>万元，</w:t>
      </w:r>
      <w:r>
        <w:rPr>
          <w:rFonts w:hint="default" w:ascii="Times New Roman" w:hAnsi="Times New Roman" w:eastAsia="仿宋_GB2312" w:cs="Times New Roman"/>
          <w:color w:val="auto"/>
          <w:sz w:val="32"/>
          <w:szCs w:val="30"/>
          <w:highlight w:val="none"/>
        </w:rPr>
        <w:t>较202</w:t>
      </w:r>
      <w:r>
        <w:rPr>
          <w:rFonts w:hint="default" w:ascii="Times New Roman" w:hAnsi="Times New Roman" w:eastAsia="仿宋_GB2312" w:cs="Times New Roman"/>
          <w:color w:val="auto"/>
          <w:sz w:val="32"/>
          <w:szCs w:val="30"/>
          <w:highlight w:val="none"/>
          <w:lang w:val="en-US" w:eastAsia="zh-CN"/>
        </w:rPr>
        <w:t>4</w:t>
      </w:r>
      <w:r>
        <w:rPr>
          <w:rFonts w:hint="default" w:ascii="Times New Roman" w:hAnsi="Times New Roman" w:eastAsia="仿宋_GB2312" w:cs="Times New Roman"/>
          <w:color w:val="auto"/>
          <w:sz w:val="32"/>
          <w:szCs w:val="30"/>
          <w:highlight w:val="none"/>
        </w:rPr>
        <w:t>年度减少</w:t>
      </w:r>
      <w:r>
        <w:rPr>
          <w:rFonts w:hint="default" w:ascii="Times New Roman" w:hAnsi="Times New Roman" w:eastAsia="仿宋_GB2312" w:cs="Times New Roman"/>
          <w:color w:val="auto"/>
          <w:sz w:val="32"/>
          <w:szCs w:val="30"/>
          <w:highlight w:val="none"/>
          <w:lang w:val="en-US" w:eastAsia="zh-CN"/>
        </w:rPr>
        <w:t>0.05</w:t>
      </w:r>
      <w:r>
        <w:rPr>
          <w:rFonts w:hint="default" w:ascii="Times New Roman" w:hAnsi="Times New Roman" w:eastAsia="仿宋_GB2312" w:cs="Times New Roman"/>
          <w:color w:val="auto"/>
          <w:sz w:val="32"/>
          <w:szCs w:val="30"/>
          <w:highlight w:val="none"/>
        </w:rPr>
        <w:t>万元，</w:t>
      </w:r>
      <w:r>
        <w:rPr>
          <w:rFonts w:hint="default" w:ascii="Times New Roman" w:hAnsi="Times New Roman" w:eastAsia="仿宋_GB2312" w:cs="Times New Roman"/>
          <w:color w:val="auto"/>
          <w:kern w:val="0"/>
          <w:sz w:val="32"/>
          <w:szCs w:val="32"/>
          <w:highlight w:val="none"/>
          <w:lang w:eastAsia="zh-CN"/>
        </w:rPr>
        <w:t>下降</w:t>
      </w:r>
      <w:r>
        <w:rPr>
          <w:rFonts w:hint="default" w:ascii="Times New Roman" w:hAnsi="Times New Roman" w:eastAsia="仿宋_GB2312" w:cs="Times New Roman"/>
          <w:color w:val="auto"/>
          <w:kern w:val="0"/>
          <w:sz w:val="32"/>
          <w:szCs w:val="32"/>
          <w:highlight w:val="none"/>
          <w:lang w:val="en-US" w:eastAsia="zh-CN"/>
        </w:rPr>
        <w:t>0.7</w:t>
      </w: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sz w:val="32"/>
          <w:highlight w:val="none"/>
        </w:rPr>
        <w:t>，主要是</w:t>
      </w:r>
      <w:r>
        <w:rPr>
          <w:rFonts w:hint="default" w:ascii="Times New Roman" w:hAnsi="Times New Roman" w:eastAsia="仿宋_GB2312" w:cs="Times New Roman"/>
          <w:color w:val="auto"/>
          <w:sz w:val="32"/>
          <w:szCs w:val="30"/>
          <w:highlight w:val="none"/>
        </w:rPr>
        <w:t>按照财政</w:t>
      </w:r>
      <w:r>
        <w:rPr>
          <w:rFonts w:hint="eastAsia" w:eastAsia="仿宋_GB2312" w:cs="Times New Roman"/>
          <w:color w:val="auto"/>
          <w:sz w:val="32"/>
          <w:szCs w:val="30"/>
          <w:highlight w:val="none"/>
          <w:lang w:eastAsia="zh-CN"/>
        </w:rPr>
        <w:t>“</w:t>
      </w:r>
      <w:r>
        <w:rPr>
          <w:rFonts w:hint="default" w:ascii="Times New Roman" w:hAnsi="Times New Roman" w:eastAsia="仿宋_GB2312" w:cs="Times New Roman"/>
          <w:color w:val="auto"/>
          <w:sz w:val="32"/>
          <w:szCs w:val="30"/>
          <w:highlight w:val="none"/>
        </w:rPr>
        <w:t>过紧日子</w:t>
      </w:r>
      <w:r>
        <w:rPr>
          <w:rFonts w:hint="eastAsia" w:eastAsia="仿宋_GB2312" w:cs="Times New Roman"/>
          <w:color w:val="auto"/>
          <w:sz w:val="32"/>
          <w:szCs w:val="30"/>
          <w:highlight w:val="none"/>
          <w:lang w:eastAsia="zh-CN"/>
        </w:rPr>
        <w:t>”</w:t>
      </w:r>
      <w:r>
        <w:rPr>
          <w:rFonts w:hint="default" w:ascii="Times New Roman" w:hAnsi="Times New Roman" w:eastAsia="仿宋_GB2312" w:cs="Times New Roman"/>
          <w:color w:val="auto"/>
          <w:sz w:val="32"/>
          <w:szCs w:val="30"/>
          <w:highlight w:val="none"/>
        </w:rPr>
        <w:t>要求，厉行节约，压减公用经费支出</w:t>
      </w:r>
      <w:r>
        <w:rPr>
          <w:rFonts w:hint="default" w:ascii="Times New Roman" w:hAnsi="Times New Roman" w:eastAsia="仿宋_GB2312" w:cs="Times New Roman"/>
          <w:color w:val="auto"/>
          <w:sz w:val="32"/>
          <w:szCs w:val="30"/>
          <w:highlight w:val="none"/>
          <w:lang w:eastAsia="zh-CN"/>
        </w:rPr>
        <w:t>。</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楷体_GB2312" w:cs="Times New Roman"/>
          <w:color w:val="auto"/>
          <w:sz w:val="32"/>
          <w:highlight w:val="none"/>
        </w:rPr>
      </w:pPr>
      <w:r>
        <w:rPr>
          <w:rFonts w:hint="default" w:ascii="Times New Roman" w:hAnsi="Times New Roman" w:eastAsia="楷体_GB2312" w:cs="Times New Roman"/>
          <w:color w:val="auto"/>
          <w:sz w:val="32"/>
          <w:highlight w:val="none"/>
        </w:rPr>
        <w:t>（二）政府采购支出情况说明</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highlight w:val="none"/>
        </w:rPr>
        <w:t>202</w:t>
      </w:r>
      <w:r>
        <w:rPr>
          <w:rFonts w:hint="default" w:ascii="Times New Roman" w:hAnsi="Times New Roman" w:eastAsia="仿宋_GB2312" w:cs="Times New Roman"/>
          <w:color w:val="auto"/>
          <w:sz w:val="32"/>
          <w:highlight w:val="none"/>
          <w:lang w:val="en-US" w:eastAsia="zh-CN"/>
        </w:rPr>
        <w:t>5年度</w:t>
      </w:r>
      <w:r>
        <w:rPr>
          <w:rFonts w:hint="default" w:ascii="Times New Roman" w:hAnsi="Times New Roman" w:eastAsia="仿宋_GB2312" w:cs="Times New Roman"/>
          <w:color w:val="auto"/>
          <w:sz w:val="32"/>
          <w:szCs w:val="32"/>
          <w:highlight w:val="none"/>
        </w:rPr>
        <w:t>政府采购支出总额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万元，其中：政府采购货物支出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万元、政府采购工程支出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万元、政府采购服务支出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万元。授予中小企业合同金额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万元，其中：授予小微企业合同金额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bidi w:val="0"/>
        <w:snapToGrid/>
        <w:spacing w:line="240" w:lineRule="auto"/>
        <w:ind w:right="0" w:rightChars="0" w:firstLine="640" w:firstLineChars="200"/>
        <w:textAlignment w:val="auto"/>
        <w:outlineLvl w:val="9"/>
        <w:rPr>
          <w:rFonts w:hint="default" w:ascii="Times New Roman" w:hAnsi="Times New Roman" w:eastAsia="楷体_GB2312" w:cs="Times New Roman"/>
          <w:color w:val="auto"/>
          <w:sz w:val="32"/>
          <w:highlight w:val="none"/>
        </w:rPr>
      </w:pPr>
      <w:r>
        <w:rPr>
          <w:rFonts w:hint="default" w:ascii="Times New Roman" w:hAnsi="Times New Roman" w:eastAsia="楷体_GB2312" w:cs="Times New Roman"/>
          <w:color w:val="auto"/>
          <w:sz w:val="32"/>
          <w:highlight w:val="none"/>
        </w:rPr>
        <w:t>（三）国有资产占用情况说明</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highlight w:val="none"/>
        </w:rPr>
        <w:t>截至202</w:t>
      </w:r>
      <w:r>
        <w:rPr>
          <w:rFonts w:hint="default" w:ascii="Times New Roman" w:hAnsi="Times New Roman" w:eastAsia="仿宋_GB2312" w:cs="Times New Roman"/>
          <w:color w:val="auto"/>
          <w:sz w:val="32"/>
          <w:highlight w:val="none"/>
          <w:lang w:val="en-US" w:eastAsia="zh-CN"/>
        </w:rPr>
        <w:t>5</w:t>
      </w:r>
      <w:r>
        <w:rPr>
          <w:rFonts w:hint="default" w:ascii="Times New Roman" w:hAnsi="Times New Roman" w:eastAsia="仿宋_GB2312" w:cs="Times New Roman"/>
          <w:color w:val="auto"/>
          <w:sz w:val="32"/>
          <w:highlight w:val="none"/>
        </w:rPr>
        <w:t>年12月31日，</w:t>
      </w:r>
      <w:r>
        <w:rPr>
          <w:rFonts w:hint="default" w:ascii="Times New Roman" w:hAnsi="Times New Roman" w:eastAsia="仿宋_GB2312" w:cs="Times New Roman"/>
          <w:color w:val="auto"/>
          <w:sz w:val="32"/>
          <w:szCs w:val="32"/>
          <w:highlight w:val="none"/>
          <w:lang w:eastAsia="zh-CN"/>
        </w:rPr>
        <w:t>伊通满族自治县农村社会经济调查队</w:t>
      </w:r>
      <w:r>
        <w:rPr>
          <w:rFonts w:hint="default" w:ascii="Times New Roman" w:hAnsi="Times New Roman" w:eastAsia="仿宋_GB2312" w:cs="Times New Roman"/>
          <w:color w:val="auto"/>
          <w:sz w:val="32"/>
          <w:szCs w:val="32"/>
          <w:highlight w:val="none"/>
        </w:rPr>
        <w:t>共有车辆</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辆，其中，</w:t>
      </w:r>
      <w:r>
        <w:rPr>
          <w:rFonts w:hint="default" w:ascii="Times New Roman" w:hAnsi="Times New Roman" w:eastAsia="仿宋_GB2312" w:cs="Times New Roman"/>
          <w:color w:val="auto"/>
          <w:kern w:val="0"/>
          <w:sz w:val="32"/>
          <w:szCs w:val="32"/>
          <w:highlight w:val="none"/>
        </w:rPr>
        <w:t>副部（省）级及以上领导用车</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辆、主要负责人用车</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辆、机要通信用车</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辆、应急保障用车</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辆、执法执勤用车</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辆、特种专业技术用车</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辆、离退休干部用车</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辆、其他用车</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辆；单位价值100万元（含）以上设备（不含车辆）</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台（套）。</w:t>
      </w:r>
    </w:p>
    <w:p>
      <w:pPr>
        <w:keepNext w:val="0"/>
        <w:keepLines w:val="0"/>
        <w:pageBreakBefore w:val="0"/>
        <w:widowControl w:val="0"/>
        <w:kinsoku/>
        <w:wordWrap/>
        <w:overflowPunct/>
        <w:topLinePunct w:val="0"/>
        <w:bidi w:val="0"/>
        <w:spacing w:line="560" w:lineRule="exact"/>
        <w:ind w:right="0" w:rightChars="0"/>
        <w:jc w:val="center"/>
        <w:textAlignment w:val="auto"/>
        <w:outlineLvl w:val="9"/>
        <w:rPr>
          <w:rFonts w:hint="default" w:ascii="Times New Roman" w:hAnsi="Times New Roman" w:eastAsia="方正小标宋简体" w:cs="Times New Roman"/>
          <w:color w:val="auto"/>
          <w:sz w:val="44"/>
          <w:highlight w:val="none"/>
        </w:rPr>
      </w:pPr>
    </w:p>
    <w:p>
      <w:pPr>
        <w:keepNext w:val="0"/>
        <w:keepLines w:val="0"/>
        <w:pageBreakBefore w:val="0"/>
        <w:widowControl w:val="0"/>
        <w:kinsoku/>
        <w:wordWrap/>
        <w:overflowPunct/>
        <w:topLinePunct w:val="0"/>
        <w:bidi w:val="0"/>
        <w:spacing w:line="560" w:lineRule="exact"/>
        <w:ind w:right="0" w:rightChars="0"/>
        <w:jc w:val="center"/>
        <w:textAlignment w:val="auto"/>
        <w:outlineLvl w:val="9"/>
        <w:rPr>
          <w:rFonts w:hint="default" w:ascii="Times New Roman" w:hAnsi="Times New Roman" w:eastAsia="方正小标宋简体" w:cs="Times New Roman"/>
          <w:color w:val="auto"/>
          <w:sz w:val="44"/>
          <w:highlight w:val="none"/>
        </w:rPr>
      </w:pPr>
    </w:p>
    <w:p>
      <w:pPr>
        <w:keepNext w:val="0"/>
        <w:keepLines w:val="0"/>
        <w:pageBreakBefore w:val="0"/>
        <w:widowControl w:val="0"/>
        <w:kinsoku/>
        <w:wordWrap/>
        <w:overflowPunct/>
        <w:topLinePunct w:val="0"/>
        <w:bidi w:val="0"/>
        <w:spacing w:line="560" w:lineRule="exact"/>
        <w:ind w:right="0" w:rightChars="0"/>
        <w:jc w:val="center"/>
        <w:textAlignment w:val="auto"/>
        <w:outlineLvl w:val="9"/>
        <w:rPr>
          <w:rFonts w:hint="default" w:ascii="Times New Roman" w:hAnsi="Times New Roman" w:eastAsia="方正小标宋简体" w:cs="Times New Roman"/>
          <w:color w:val="auto"/>
          <w:sz w:val="44"/>
          <w:highlight w:val="none"/>
        </w:rPr>
      </w:pPr>
    </w:p>
    <w:p>
      <w:pPr>
        <w:keepNext w:val="0"/>
        <w:keepLines w:val="0"/>
        <w:pageBreakBefore w:val="0"/>
        <w:widowControl w:val="0"/>
        <w:kinsoku/>
        <w:wordWrap/>
        <w:overflowPunct/>
        <w:topLinePunct w:val="0"/>
        <w:bidi w:val="0"/>
        <w:spacing w:line="560" w:lineRule="exact"/>
        <w:ind w:right="0" w:rightChars="0"/>
        <w:jc w:val="center"/>
        <w:textAlignment w:val="auto"/>
        <w:outlineLvl w:val="9"/>
        <w:rPr>
          <w:rFonts w:hint="default" w:ascii="Times New Roman" w:hAnsi="Times New Roman" w:eastAsia="方正小标宋简体" w:cs="Times New Roman"/>
          <w:color w:val="auto"/>
          <w:sz w:val="44"/>
          <w:highlight w:val="none"/>
        </w:rPr>
      </w:pPr>
      <w:r>
        <w:rPr>
          <w:rFonts w:hint="default" w:ascii="Times New Roman" w:hAnsi="Times New Roman" w:eastAsia="方正小标宋简体" w:cs="Times New Roman"/>
          <w:color w:val="auto"/>
          <w:sz w:val="44"/>
          <w:highlight w:val="none"/>
        </w:rPr>
        <w:t>第四部分  名词解释</w:t>
      </w:r>
    </w:p>
    <w:p>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p>
    <w:p>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一、财政拨款收入</w:t>
      </w:r>
      <w:r>
        <w:rPr>
          <w:rFonts w:hint="default" w:ascii="Times New Roman" w:hAnsi="Times New Roman" w:eastAsia="仿宋_GB2312" w:cs="Times New Roman"/>
          <w:b/>
          <w:bCs/>
          <w:color w:val="auto"/>
          <w:sz w:val="32"/>
          <w:highlight w:val="none"/>
        </w:rPr>
        <w:t>：</w:t>
      </w:r>
      <w:r>
        <w:rPr>
          <w:rFonts w:hint="default" w:ascii="Times New Roman" w:hAnsi="Times New Roman" w:eastAsia="仿宋_GB2312" w:cs="Times New Roman"/>
          <w:color w:val="auto"/>
          <w:sz w:val="32"/>
          <w:highlight w:val="none"/>
        </w:rPr>
        <w:t>指单位从同级财政部门取得的财政预算资金。</w:t>
      </w:r>
    </w:p>
    <w:p>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二、上级补助收入</w:t>
      </w:r>
      <w:r>
        <w:rPr>
          <w:rFonts w:hint="default" w:ascii="Times New Roman" w:hAnsi="Times New Roman" w:eastAsia="仿宋_GB2312" w:cs="Times New Roman"/>
          <w:b/>
          <w:bCs/>
          <w:color w:val="auto"/>
          <w:sz w:val="32"/>
          <w:highlight w:val="none"/>
        </w:rPr>
        <w:t>：</w:t>
      </w:r>
      <w:r>
        <w:rPr>
          <w:rFonts w:hint="default" w:ascii="Times New Roman" w:hAnsi="Times New Roman" w:eastAsia="仿宋_GB2312" w:cs="Times New Roman"/>
          <w:color w:val="auto"/>
          <w:sz w:val="32"/>
          <w:highlight w:val="none"/>
        </w:rPr>
        <w:t>指从主管部门</w:t>
      </w:r>
      <w:r>
        <w:rPr>
          <w:rFonts w:hint="default" w:ascii="Times New Roman" w:hAnsi="Times New Roman" w:eastAsia="仿宋_GB2312" w:cs="Times New Roman"/>
          <w:color w:val="auto"/>
          <w:sz w:val="32"/>
          <w:highlight w:val="none"/>
          <w:lang w:eastAsia="zh-CN"/>
        </w:rPr>
        <w:t>或</w:t>
      </w:r>
      <w:r>
        <w:rPr>
          <w:rFonts w:hint="default" w:ascii="Times New Roman" w:hAnsi="Times New Roman" w:eastAsia="仿宋_GB2312" w:cs="Times New Roman"/>
          <w:color w:val="auto"/>
          <w:sz w:val="32"/>
          <w:highlight w:val="none"/>
        </w:rPr>
        <w:t>上级单位取得的非财政补助收入。</w:t>
      </w:r>
    </w:p>
    <w:p>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default" w:ascii="Times New Roman" w:hAnsi="Times New Roman" w:eastAsia="仿宋_GB2312" w:cs="Times New Roman"/>
          <w:b w:val="0"/>
          <w:bCs w:val="0"/>
          <w:color w:val="auto"/>
          <w:sz w:val="32"/>
          <w:highlight w:val="none"/>
        </w:rPr>
      </w:pPr>
      <w:r>
        <w:rPr>
          <w:rFonts w:hint="default" w:ascii="Times New Roman" w:hAnsi="Times New Roman" w:eastAsia="黑体" w:cs="Times New Roman"/>
          <w:b w:val="0"/>
          <w:bCs w:val="0"/>
          <w:color w:val="auto"/>
          <w:sz w:val="32"/>
          <w:highlight w:val="none"/>
        </w:rPr>
        <w:t>三、事业收入</w:t>
      </w:r>
      <w:r>
        <w:rPr>
          <w:rFonts w:hint="default" w:ascii="Times New Roman" w:hAnsi="Times New Roman" w:eastAsia="仿宋_GB2312" w:cs="Times New Roman"/>
          <w:b/>
          <w:bCs/>
          <w:color w:val="auto"/>
          <w:sz w:val="32"/>
          <w:highlight w:val="none"/>
        </w:rPr>
        <w:t>：</w:t>
      </w:r>
      <w:r>
        <w:rPr>
          <w:rFonts w:hint="default" w:ascii="Times New Roman" w:hAnsi="Times New Roman" w:eastAsia="仿宋_GB2312" w:cs="Times New Roman"/>
          <w:b w:val="0"/>
          <w:bCs w:val="0"/>
          <w:color w:val="auto"/>
          <w:sz w:val="32"/>
          <w:highlight w:val="none"/>
        </w:rPr>
        <w:t>指事业单位开展专业业务活动及辅助活动取得的收入。</w:t>
      </w:r>
    </w:p>
    <w:p>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四、经营收入：</w:t>
      </w:r>
      <w:r>
        <w:rPr>
          <w:rFonts w:hint="default" w:ascii="Times New Roman" w:hAnsi="Times New Roman" w:eastAsia="仿宋_GB2312" w:cs="Times New Roman"/>
          <w:color w:val="auto"/>
          <w:sz w:val="32"/>
          <w:highlight w:val="none"/>
        </w:rPr>
        <w:t>指事业单位在专业业务活动及其辅助活动之外开展非独立核算经营活动取得的收入。</w:t>
      </w:r>
    </w:p>
    <w:p>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五、附属单位上缴收入：</w:t>
      </w:r>
      <w:r>
        <w:rPr>
          <w:rFonts w:hint="default" w:ascii="Times New Roman" w:hAnsi="Times New Roman" w:eastAsia="仿宋_GB2312" w:cs="Times New Roman"/>
          <w:color w:val="auto"/>
          <w:sz w:val="32"/>
          <w:highlight w:val="none"/>
        </w:rPr>
        <w:t>指事业单位附属独立核算单位按照有关规定上缴的收入。</w:t>
      </w:r>
    </w:p>
    <w:p>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六、其他收入：</w:t>
      </w:r>
      <w:r>
        <w:rPr>
          <w:rFonts w:hint="default" w:ascii="Times New Roman" w:hAnsi="Times New Roman" w:eastAsia="仿宋_GB2312" w:cs="Times New Roman"/>
          <w:color w:val="auto"/>
          <w:sz w:val="32"/>
          <w:highlight w:val="none"/>
        </w:rPr>
        <w:t>指除上述收入以外的各项收入。包括未纳入财政预算或财政专户管理的投资收益、银行存款利息收入、租金收入、捐赠收入</w:t>
      </w:r>
      <w:r>
        <w:rPr>
          <w:rFonts w:hint="default" w:ascii="Times New Roman" w:hAnsi="Times New Roman" w:eastAsia="仿宋_GB2312" w:cs="Times New Roman"/>
          <w:color w:val="auto"/>
          <w:sz w:val="32"/>
          <w:highlight w:val="none"/>
          <w:lang w:eastAsia="zh-CN"/>
        </w:rPr>
        <w:t>、</w:t>
      </w:r>
      <w:r>
        <w:rPr>
          <w:rFonts w:hint="default" w:ascii="Times New Roman" w:hAnsi="Times New Roman" w:eastAsia="仿宋_GB2312" w:cs="Times New Roman"/>
          <w:color w:val="auto"/>
          <w:sz w:val="32"/>
          <w:highlight w:val="none"/>
        </w:rPr>
        <w:t>现金盘盈收入、存货盘盈收入</w:t>
      </w:r>
      <w:r>
        <w:rPr>
          <w:rFonts w:hint="default" w:ascii="Times New Roman" w:hAnsi="Times New Roman" w:eastAsia="仿宋_GB2312" w:cs="Times New Roman"/>
          <w:color w:val="auto"/>
          <w:sz w:val="32"/>
          <w:highlight w:val="none"/>
          <w:lang w:eastAsia="zh-CN"/>
        </w:rPr>
        <w:t>、</w:t>
      </w:r>
      <w:r>
        <w:rPr>
          <w:rFonts w:hint="default" w:ascii="Times New Roman" w:hAnsi="Times New Roman" w:eastAsia="仿宋_GB2312" w:cs="Times New Roman"/>
          <w:color w:val="auto"/>
          <w:sz w:val="32"/>
          <w:highlight w:val="none"/>
        </w:rPr>
        <w:t>收回已核销应收及预付款项、无法偿付的应付及预收款项，从省</w:t>
      </w:r>
      <w:r>
        <w:rPr>
          <w:rFonts w:hint="default" w:ascii="Times New Roman" w:hAnsi="Times New Roman" w:eastAsia="仿宋_GB2312" w:cs="Times New Roman"/>
          <w:color w:val="auto"/>
          <w:sz w:val="32"/>
          <w:highlight w:val="none"/>
          <w:lang w:eastAsia="zh-CN"/>
        </w:rPr>
        <w:t>级</w:t>
      </w:r>
      <w:r>
        <w:rPr>
          <w:rFonts w:hint="default" w:ascii="Times New Roman" w:hAnsi="Times New Roman" w:eastAsia="仿宋_GB2312" w:cs="Times New Roman"/>
          <w:color w:val="auto"/>
          <w:sz w:val="32"/>
          <w:highlight w:val="none"/>
        </w:rPr>
        <w:t>财政以外的同级单位取得的经费、从省</w:t>
      </w:r>
      <w:r>
        <w:rPr>
          <w:rFonts w:hint="default" w:ascii="Times New Roman" w:hAnsi="Times New Roman" w:eastAsia="仿宋_GB2312" w:cs="Times New Roman"/>
          <w:color w:val="auto"/>
          <w:sz w:val="32"/>
          <w:highlight w:val="none"/>
          <w:lang w:eastAsia="zh-CN"/>
        </w:rPr>
        <w:t>财政以外其他</w:t>
      </w:r>
      <w:r>
        <w:rPr>
          <w:rFonts w:hint="default" w:ascii="Times New Roman" w:hAnsi="Times New Roman" w:eastAsia="仿宋_GB2312" w:cs="Times New Roman"/>
          <w:color w:val="auto"/>
          <w:sz w:val="32"/>
          <w:highlight w:val="none"/>
        </w:rPr>
        <w:t>财政取得的经费，以及行政单位收到的财政专户管理资金等。</w:t>
      </w:r>
    </w:p>
    <w:p>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七、使用非财政拨款结余（含专用结余）：</w:t>
      </w:r>
      <w:r>
        <w:rPr>
          <w:rFonts w:hint="default" w:ascii="Times New Roman" w:hAnsi="Times New Roman" w:eastAsia="仿宋_GB2312" w:cs="Times New Roman"/>
          <w:color w:val="auto"/>
          <w:sz w:val="32"/>
          <w:highlight w:val="none"/>
        </w:rPr>
        <w:t>指事业单位按照预算管理要求使用非财政拨款结余弥补收支差额的金额，以及使用专用结余安排支出的金额。</w:t>
      </w:r>
    </w:p>
    <w:p>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八、年初结转和结余：</w:t>
      </w:r>
      <w:r>
        <w:rPr>
          <w:rFonts w:hint="default" w:ascii="Times New Roman" w:hAnsi="Times New Roman" w:eastAsia="仿宋_GB2312" w:cs="Times New Roman"/>
          <w:color w:val="auto"/>
          <w:sz w:val="32"/>
          <w:highlight w:val="none"/>
        </w:rPr>
        <w:t>指单位以前年度未</w:t>
      </w:r>
      <w:r>
        <w:rPr>
          <w:rFonts w:hint="default" w:ascii="Times New Roman" w:hAnsi="Times New Roman" w:eastAsia="仿宋_GB2312" w:cs="Times New Roman"/>
          <w:color w:val="auto"/>
          <w:sz w:val="32"/>
          <w:highlight w:val="none"/>
          <w:lang w:eastAsia="zh-CN"/>
        </w:rPr>
        <w:t>支出</w:t>
      </w:r>
      <w:r>
        <w:rPr>
          <w:rFonts w:hint="default" w:ascii="Times New Roman" w:hAnsi="Times New Roman" w:eastAsia="仿宋_GB2312" w:cs="Times New Roman"/>
          <w:color w:val="auto"/>
          <w:sz w:val="32"/>
          <w:highlight w:val="none"/>
        </w:rPr>
        <w:t>、结转到本年继续按有关规定用途使用的资金，或项目完成等产生的结余资金。</w:t>
      </w:r>
    </w:p>
    <w:p>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九、结余分配：</w:t>
      </w:r>
      <w:r>
        <w:rPr>
          <w:rFonts w:hint="default" w:ascii="Times New Roman" w:hAnsi="Times New Roman" w:eastAsia="仿宋_GB2312" w:cs="Times New Roman"/>
          <w:color w:val="auto"/>
          <w:sz w:val="32"/>
          <w:highlight w:val="none"/>
        </w:rPr>
        <w:t>指事业单位按照会计制度规定缴纳的所得税、提取的专用结余以及转入非财政拨款结余的金额等。</w:t>
      </w:r>
    </w:p>
    <w:p>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十、年末结转和结余：</w:t>
      </w:r>
      <w:r>
        <w:rPr>
          <w:rFonts w:hint="default" w:ascii="Times New Roman" w:hAnsi="Times New Roman" w:eastAsia="仿宋_GB2312" w:cs="Times New Roman"/>
          <w:color w:val="auto"/>
          <w:sz w:val="32"/>
          <w:highlight w:val="none"/>
        </w:rPr>
        <w:t>指单位按有关规定结转到下年或以后年度继续使用的资金，或项目完成等产生的结余资金。</w:t>
      </w:r>
    </w:p>
    <w:p>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十一、基本支出：</w:t>
      </w:r>
      <w:r>
        <w:rPr>
          <w:rFonts w:hint="default" w:ascii="Times New Roman" w:hAnsi="Times New Roman" w:eastAsia="仿宋_GB2312" w:cs="Times New Roman"/>
          <w:color w:val="auto"/>
          <w:sz w:val="32"/>
          <w:highlight w:val="none"/>
        </w:rPr>
        <w:t>指为保障机构正常运转、完成日常工作任务而发生的人员支出和公用支出。</w:t>
      </w:r>
    </w:p>
    <w:p>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十二、项目支出：</w:t>
      </w:r>
      <w:r>
        <w:rPr>
          <w:rFonts w:hint="default" w:ascii="Times New Roman" w:hAnsi="Times New Roman" w:eastAsia="仿宋_GB2312" w:cs="Times New Roman"/>
          <w:color w:val="auto"/>
          <w:sz w:val="32"/>
          <w:highlight w:val="none"/>
        </w:rPr>
        <w:t>指在基本支出之外为完成特定行政任务或事业发展目标所发生的支出。</w:t>
      </w:r>
    </w:p>
    <w:p>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十三、经营支出：</w:t>
      </w:r>
      <w:r>
        <w:rPr>
          <w:rFonts w:hint="default" w:ascii="Times New Roman" w:hAnsi="Times New Roman" w:eastAsia="仿宋_GB2312" w:cs="Times New Roman"/>
          <w:color w:val="auto"/>
          <w:sz w:val="32"/>
          <w:highlight w:val="none"/>
        </w:rPr>
        <w:t>指事业单位在专业业务活动及其辅助活动之外开展非独立核算经营活动发生的支出。</w:t>
      </w:r>
    </w:p>
    <w:p>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十四、上缴上级支出：</w:t>
      </w:r>
      <w:r>
        <w:rPr>
          <w:rFonts w:hint="default" w:ascii="Times New Roman" w:hAnsi="Times New Roman" w:eastAsia="仿宋_GB2312" w:cs="Times New Roman"/>
          <w:color w:val="auto"/>
          <w:sz w:val="32"/>
          <w:highlight w:val="none"/>
        </w:rPr>
        <w:t>指事业单位按照有关规定上缴上级单位的支出。</w:t>
      </w:r>
    </w:p>
    <w:p>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十五、对附属单位补助支出：</w:t>
      </w:r>
      <w:r>
        <w:rPr>
          <w:rFonts w:hint="default" w:ascii="Times New Roman" w:hAnsi="Times New Roman" w:eastAsia="仿宋_GB2312" w:cs="Times New Roman"/>
          <w:color w:val="auto"/>
          <w:sz w:val="32"/>
          <w:highlight w:val="none"/>
        </w:rPr>
        <w:t>指事业单位用财政补助收入之外的收入</w:t>
      </w:r>
      <w:r>
        <w:rPr>
          <w:rFonts w:hint="default" w:ascii="Times New Roman" w:hAnsi="Times New Roman" w:eastAsia="仿宋_GB2312" w:cs="Times New Roman"/>
          <w:color w:val="auto"/>
          <w:sz w:val="32"/>
          <w:highlight w:val="none"/>
          <w:lang w:eastAsia="zh-CN"/>
        </w:rPr>
        <w:t>，</w:t>
      </w:r>
      <w:r>
        <w:rPr>
          <w:rFonts w:hint="default" w:ascii="Times New Roman" w:hAnsi="Times New Roman" w:eastAsia="仿宋_GB2312" w:cs="Times New Roman"/>
          <w:color w:val="auto"/>
          <w:sz w:val="32"/>
          <w:highlight w:val="none"/>
        </w:rPr>
        <w:t>对附属单位补助发生的支出。</w:t>
      </w:r>
    </w:p>
    <w:p>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十六、“三公”经费：</w:t>
      </w:r>
      <w:r>
        <w:rPr>
          <w:rFonts w:hint="default" w:ascii="Times New Roman" w:hAnsi="Times New Roman" w:eastAsia="仿宋_GB2312" w:cs="Times New Roman"/>
          <w:color w:val="auto"/>
          <w:sz w:val="32"/>
          <w:highlight w:val="none"/>
        </w:rPr>
        <w:t>纳入省级财政预决算管理的“三公”经费，是指省级部门用财政拨款安排的因公出国（境）费、公务用车购置及运行维护费和公务接待费。是党政机关维持运转或完成特定工作任务所开支的相关支出，是政府行政开支的一部分。其中，因公出国（境）费反映公务出国（境）的国际旅费、国外城市间交通费、住宿费、伙食费、培训费等支出；公务用车购置及运行费反映单位公务用车车辆购置支出（含车辆购置税）及燃料费、维修费、过桥过路费、保险费等支出；公务接待费反映单位按规定开支的各类公务接待（含外宾接待）支出。</w:t>
      </w:r>
    </w:p>
    <w:p>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default" w:ascii="Times New Roman" w:hAnsi="Times New Roman" w:eastAsia="仿宋_GB2312" w:cs="Times New Roman"/>
          <w:color w:val="auto"/>
          <w:sz w:val="32"/>
          <w:highlight w:val="none"/>
        </w:rPr>
      </w:pPr>
      <w:r>
        <w:rPr>
          <w:rFonts w:hint="default" w:ascii="Times New Roman" w:hAnsi="Times New Roman" w:eastAsia="黑体" w:cs="Times New Roman"/>
          <w:b w:val="0"/>
          <w:bCs w:val="0"/>
          <w:color w:val="auto"/>
          <w:sz w:val="32"/>
          <w:highlight w:val="none"/>
        </w:rPr>
        <w:t>十七、机关运行经费：</w:t>
      </w:r>
      <w:r>
        <w:rPr>
          <w:rFonts w:hint="default" w:ascii="Times New Roman" w:hAnsi="Times New Roman" w:eastAsia="仿宋_GB2312" w:cs="Times New Roman"/>
          <w:color w:val="auto"/>
          <w:sz w:val="32"/>
          <w:highlight w:val="none"/>
        </w:rPr>
        <w:t>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以及其他费用</w:t>
      </w:r>
      <w:r>
        <w:rPr>
          <w:rFonts w:hint="default" w:ascii="Times New Roman" w:hAnsi="Times New Roman" w:eastAsia="仿宋_GB2312" w:cs="Times New Roman"/>
          <w:color w:val="auto"/>
          <w:sz w:val="32"/>
          <w:highlight w:val="none"/>
          <w:lang w:eastAsia="zh-CN"/>
        </w:rPr>
        <w:t>等</w:t>
      </w:r>
      <w:r>
        <w:rPr>
          <w:rFonts w:hint="default" w:ascii="Times New Roman" w:hAnsi="Times New Roman" w:eastAsia="仿宋_GB2312" w:cs="Times New Roman"/>
          <w:color w:val="auto"/>
          <w:sz w:val="32"/>
          <w:highlight w:val="none"/>
        </w:rPr>
        <w:t>。</w:t>
      </w:r>
    </w:p>
    <w:p>
      <w:pPr>
        <w:pStyle w:val="106"/>
        <w:spacing w:line="240" w:lineRule="auto"/>
        <w:ind w:firstLine="643"/>
        <w:rPr>
          <w:rFonts w:hint="default" w:ascii="Times New Roman" w:hAnsi="Times New Roman" w:eastAsia="仿宋" w:cs="Times New Roman"/>
          <w:b w:val="0"/>
          <w:bCs w:val="0"/>
          <w:color w:val="auto"/>
          <w:highlight w:val="none"/>
        </w:rPr>
      </w:pPr>
      <w:r>
        <w:rPr>
          <w:rFonts w:hint="default" w:ascii="Times New Roman" w:hAnsi="Times New Roman" w:eastAsia="方正黑体_GBK" w:cs="Times New Roman"/>
          <w:b w:val="0"/>
          <w:bCs w:val="0"/>
          <w:color w:val="auto"/>
          <w:sz w:val="32"/>
          <w:highlight w:val="none"/>
        </w:rPr>
        <w:t>十</w:t>
      </w:r>
      <w:r>
        <w:rPr>
          <w:rFonts w:hint="default" w:ascii="Times New Roman" w:hAnsi="Times New Roman" w:eastAsia="方正黑体_GBK" w:cs="Times New Roman"/>
          <w:b w:val="0"/>
          <w:bCs w:val="0"/>
          <w:color w:val="auto"/>
          <w:sz w:val="32"/>
          <w:highlight w:val="none"/>
          <w:lang w:eastAsia="zh-CN"/>
        </w:rPr>
        <w:t>八</w:t>
      </w:r>
      <w:r>
        <w:rPr>
          <w:rFonts w:hint="default" w:ascii="Times New Roman" w:hAnsi="Times New Roman" w:eastAsia="方正黑体_GBK" w:cs="Times New Roman"/>
          <w:b w:val="0"/>
          <w:bCs w:val="0"/>
          <w:color w:val="auto"/>
          <w:sz w:val="32"/>
          <w:highlight w:val="none"/>
        </w:rPr>
        <w:t>、</w:t>
      </w:r>
      <w:r>
        <w:rPr>
          <w:rFonts w:hint="default" w:ascii="Times New Roman" w:hAnsi="Times New Roman" w:eastAsia="方正黑体_GBK" w:cs="Times New Roman"/>
          <w:b w:val="0"/>
          <w:bCs w:val="0"/>
          <w:color w:val="auto"/>
          <w:highlight w:val="none"/>
        </w:rPr>
        <w:t>一般公共服务支出（类）统计信息事务（款）行政运行（项）：</w:t>
      </w:r>
      <w:r>
        <w:rPr>
          <w:rFonts w:hint="default" w:ascii="Times New Roman" w:hAnsi="Times New Roman" w:eastAsia="仿宋" w:cs="Times New Roman"/>
          <w:b w:val="0"/>
          <w:bCs w:val="0"/>
          <w:color w:val="auto"/>
          <w:highlight w:val="none"/>
        </w:rPr>
        <w:t>指行政单位</w:t>
      </w:r>
      <w:r>
        <w:rPr>
          <w:rFonts w:hint="default" w:ascii="Times New Roman" w:hAnsi="Times New Roman" w:eastAsia="仿宋" w:cs="Times New Roman"/>
          <w:b w:val="0"/>
          <w:bCs w:val="0"/>
          <w:color w:val="auto"/>
          <w:highlight w:val="none"/>
          <w:lang w:eastAsia="zh-CN"/>
        </w:rPr>
        <w:t>伊通满族自治县农村社会经济调查队</w:t>
      </w:r>
      <w:r>
        <w:rPr>
          <w:rFonts w:hint="default" w:ascii="Times New Roman" w:hAnsi="Times New Roman" w:eastAsia="仿宋" w:cs="Times New Roman"/>
          <w:b w:val="0"/>
          <w:bCs w:val="0"/>
          <w:color w:val="auto"/>
          <w:highlight w:val="none"/>
        </w:rPr>
        <w:t>用于机构正常运行、开展日常工作的基本支出。</w:t>
      </w:r>
    </w:p>
    <w:p>
      <w:pPr>
        <w:pStyle w:val="106"/>
        <w:spacing w:line="240" w:lineRule="auto"/>
        <w:ind w:firstLine="643"/>
        <w:rPr>
          <w:rFonts w:hint="default" w:ascii="Times New Roman" w:hAnsi="Times New Roman" w:eastAsia="仿宋" w:cs="Times New Roman"/>
          <w:b w:val="0"/>
          <w:bCs w:val="0"/>
          <w:color w:val="auto"/>
          <w:highlight w:val="none"/>
        </w:rPr>
      </w:pPr>
      <w:r>
        <w:rPr>
          <w:rFonts w:hint="default" w:ascii="Times New Roman" w:hAnsi="Times New Roman" w:eastAsia="方正黑体_GBK" w:cs="Times New Roman"/>
          <w:b w:val="0"/>
          <w:bCs w:val="0"/>
          <w:color w:val="auto"/>
          <w:highlight w:val="none"/>
        </w:rPr>
        <w:t>十</w:t>
      </w:r>
      <w:r>
        <w:rPr>
          <w:rFonts w:hint="default" w:ascii="Times New Roman" w:hAnsi="Times New Roman" w:eastAsia="方正黑体_GBK" w:cs="Times New Roman"/>
          <w:b w:val="0"/>
          <w:bCs w:val="0"/>
          <w:color w:val="auto"/>
          <w:highlight w:val="none"/>
          <w:lang w:eastAsia="zh-CN"/>
        </w:rPr>
        <w:t>九</w:t>
      </w:r>
      <w:r>
        <w:rPr>
          <w:rFonts w:hint="default" w:ascii="Times New Roman" w:hAnsi="Times New Roman" w:eastAsia="方正黑体_GBK" w:cs="Times New Roman"/>
          <w:b w:val="0"/>
          <w:bCs w:val="0"/>
          <w:color w:val="auto"/>
          <w:highlight w:val="none"/>
        </w:rPr>
        <w:t>、一般公共服务支出（类）统计信息事务（款）统计抽样调查（项）：</w:t>
      </w:r>
      <w:r>
        <w:rPr>
          <w:rFonts w:hint="default" w:ascii="Times New Roman" w:hAnsi="Times New Roman" w:eastAsia="仿宋" w:cs="Times New Roman"/>
          <w:b w:val="0"/>
          <w:bCs w:val="0"/>
          <w:color w:val="auto"/>
          <w:highlight w:val="none"/>
        </w:rPr>
        <w:t>指伊通满族自治县农村社会经济调查队开展各类统计抽样调查工作的支出。</w:t>
      </w:r>
    </w:p>
    <w:p>
      <w:pPr>
        <w:pStyle w:val="106"/>
        <w:spacing w:line="240" w:lineRule="auto"/>
        <w:ind w:firstLine="643"/>
        <w:rPr>
          <w:rFonts w:hint="default" w:ascii="Times New Roman" w:hAnsi="Times New Roman" w:eastAsia="仿宋" w:cs="Times New Roman"/>
          <w:color w:val="auto"/>
          <w:highlight w:val="none"/>
        </w:rPr>
      </w:pPr>
      <w:r>
        <w:rPr>
          <w:rFonts w:hint="default" w:ascii="Times New Roman" w:hAnsi="Times New Roman" w:eastAsia="方正黑体_GBK" w:cs="Times New Roman"/>
          <w:b w:val="0"/>
          <w:bCs/>
          <w:color w:val="auto"/>
          <w:highlight w:val="none"/>
          <w:lang w:eastAsia="zh-CN"/>
        </w:rPr>
        <w:t>二十</w:t>
      </w:r>
      <w:r>
        <w:rPr>
          <w:rFonts w:hint="default" w:ascii="Times New Roman" w:hAnsi="Times New Roman" w:eastAsia="方正黑体_GBK" w:cs="Times New Roman"/>
          <w:b w:val="0"/>
          <w:bCs/>
          <w:color w:val="auto"/>
          <w:highlight w:val="none"/>
        </w:rPr>
        <w:t>、社会保障和就业支出（类）行政事业单位养老支出（款）行政单位离退休（项）：</w:t>
      </w:r>
      <w:r>
        <w:rPr>
          <w:rFonts w:hint="default" w:ascii="Times New Roman" w:hAnsi="Times New Roman" w:eastAsia="仿宋" w:cs="Times New Roman"/>
          <w:color w:val="auto"/>
          <w:highlight w:val="none"/>
        </w:rPr>
        <w:t>指</w:t>
      </w:r>
      <w:r>
        <w:rPr>
          <w:rFonts w:hint="default" w:ascii="Times New Roman" w:hAnsi="Times New Roman" w:eastAsia="仿宋" w:cs="Times New Roman"/>
          <w:color w:val="auto"/>
          <w:highlight w:val="none"/>
          <w:lang w:eastAsia="zh-CN"/>
        </w:rPr>
        <w:t>伊通满族自治县农村社会经济调查队</w:t>
      </w:r>
      <w:r>
        <w:rPr>
          <w:rFonts w:hint="default" w:ascii="Times New Roman" w:hAnsi="Times New Roman" w:eastAsia="仿宋" w:cs="Times New Roman"/>
          <w:color w:val="auto"/>
          <w:highlight w:val="none"/>
        </w:rPr>
        <w:t>开支的离退休经费。</w:t>
      </w:r>
    </w:p>
    <w:p>
      <w:pPr>
        <w:pStyle w:val="106"/>
        <w:spacing w:line="240" w:lineRule="auto"/>
        <w:ind w:firstLine="643"/>
        <w:rPr>
          <w:rFonts w:hint="default" w:ascii="Times New Roman" w:hAnsi="Times New Roman" w:eastAsia="仿宋" w:cs="Times New Roman"/>
          <w:color w:val="auto"/>
          <w:highlight w:val="none"/>
        </w:rPr>
      </w:pPr>
      <w:r>
        <w:rPr>
          <w:rFonts w:hint="default" w:ascii="Times New Roman" w:hAnsi="Times New Roman" w:eastAsia="方正黑体_GBK" w:cs="Times New Roman"/>
          <w:b w:val="0"/>
          <w:bCs/>
          <w:color w:val="auto"/>
          <w:highlight w:val="none"/>
          <w:lang w:eastAsia="zh-CN"/>
        </w:rPr>
        <w:t>二十</w:t>
      </w:r>
      <w:r>
        <w:rPr>
          <w:rFonts w:hint="default" w:ascii="Times New Roman" w:hAnsi="Times New Roman" w:eastAsia="方正黑体_GBK" w:cs="Times New Roman"/>
          <w:b w:val="0"/>
          <w:bCs/>
          <w:color w:val="auto"/>
          <w:highlight w:val="none"/>
          <w:lang w:val="en-US" w:eastAsia="zh-CN"/>
        </w:rPr>
        <w:t>一</w:t>
      </w:r>
      <w:r>
        <w:rPr>
          <w:rFonts w:hint="default" w:ascii="Times New Roman" w:hAnsi="Times New Roman" w:eastAsia="方正黑体_GBK" w:cs="Times New Roman"/>
          <w:b w:val="0"/>
          <w:bCs/>
          <w:color w:val="auto"/>
          <w:highlight w:val="none"/>
        </w:rPr>
        <w:t>、社会保障和就业支出（类）行政事业单位养老支出（款）机关事业单位基本养老保险缴费支出（项）：</w:t>
      </w:r>
      <w:r>
        <w:rPr>
          <w:rFonts w:hint="default" w:ascii="Times New Roman" w:hAnsi="Times New Roman" w:eastAsia="仿宋" w:cs="Times New Roman"/>
          <w:color w:val="auto"/>
          <w:highlight w:val="none"/>
        </w:rPr>
        <w:t>指</w:t>
      </w:r>
      <w:r>
        <w:rPr>
          <w:rFonts w:hint="default" w:ascii="Times New Roman" w:hAnsi="Times New Roman" w:eastAsia="仿宋" w:cs="Times New Roman"/>
          <w:color w:val="auto"/>
          <w:highlight w:val="none"/>
          <w:lang w:eastAsia="zh-CN"/>
        </w:rPr>
        <w:t>伊通满族自治县农村社会经济调查队</w:t>
      </w:r>
      <w:r>
        <w:rPr>
          <w:rFonts w:hint="default" w:ascii="Times New Roman" w:hAnsi="Times New Roman" w:eastAsia="仿宋" w:cs="Times New Roman"/>
          <w:color w:val="auto"/>
          <w:highlight w:val="none"/>
        </w:rPr>
        <w:t>实施养老保险制度由单位缴纳的基本养老保险缴费支出。</w:t>
      </w:r>
    </w:p>
    <w:p>
      <w:pPr>
        <w:pStyle w:val="106"/>
        <w:spacing w:line="240" w:lineRule="auto"/>
        <w:ind w:firstLine="643"/>
        <w:rPr>
          <w:rFonts w:hint="default" w:ascii="Times New Roman" w:hAnsi="Times New Roman" w:eastAsia="仿宋" w:cs="Times New Roman"/>
          <w:color w:val="auto"/>
          <w:highlight w:val="none"/>
        </w:rPr>
      </w:pPr>
      <w:r>
        <w:rPr>
          <w:rFonts w:hint="default" w:ascii="Times New Roman" w:hAnsi="Times New Roman" w:eastAsia="方正黑体_GBK" w:cs="Times New Roman"/>
          <w:b w:val="0"/>
          <w:bCs/>
          <w:color w:val="auto"/>
          <w:highlight w:val="none"/>
          <w:lang w:eastAsia="zh-CN"/>
        </w:rPr>
        <w:t>二十</w:t>
      </w:r>
      <w:r>
        <w:rPr>
          <w:rFonts w:hint="default" w:ascii="Times New Roman" w:hAnsi="Times New Roman" w:eastAsia="方正黑体_GBK" w:cs="Times New Roman"/>
          <w:b w:val="0"/>
          <w:bCs/>
          <w:color w:val="auto"/>
          <w:highlight w:val="none"/>
          <w:lang w:val="en-US" w:eastAsia="zh-CN"/>
        </w:rPr>
        <w:t>二</w:t>
      </w:r>
      <w:r>
        <w:rPr>
          <w:rFonts w:hint="default" w:ascii="Times New Roman" w:hAnsi="Times New Roman" w:eastAsia="方正黑体_GBK" w:cs="Times New Roman"/>
          <w:b w:val="0"/>
          <w:bCs/>
          <w:color w:val="auto"/>
          <w:highlight w:val="none"/>
        </w:rPr>
        <w:t>、卫生健康支出（类）行政事业单位医疗（款）行政单位医疗（项）：</w:t>
      </w:r>
      <w:r>
        <w:rPr>
          <w:rFonts w:hint="default" w:ascii="Times New Roman" w:hAnsi="Times New Roman" w:eastAsia="仿宋" w:cs="Times New Roman"/>
          <w:color w:val="auto"/>
          <w:highlight w:val="none"/>
          <w:lang w:eastAsia="zh-CN"/>
        </w:rPr>
        <w:t>是指财政部门集中安排的行政单位基本医疗保险缴费经费，未参加医疗保险的行政单位的公费医疗经费，按国家规定享受离休人员、红军老战士待遇人员的医疗经费。</w:t>
      </w:r>
    </w:p>
    <w:p>
      <w:pPr>
        <w:pStyle w:val="106"/>
        <w:spacing w:line="240" w:lineRule="auto"/>
        <w:ind w:firstLine="643"/>
        <w:rPr>
          <w:rFonts w:hint="default" w:ascii="Times New Roman" w:hAnsi="Times New Roman" w:eastAsia="黑体" w:cs="Times New Roman"/>
          <w:color w:val="auto"/>
          <w:sz w:val="32"/>
          <w:highlight w:val="none"/>
          <w:lang w:eastAsia="zh-CN"/>
        </w:rPr>
      </w:pPr>
      <w:r>
        <w:rPr>
          <w:rFonts w:hint="default" w:ascii="Times New Roman" w:hAnsi="Times New Roman" w:eastAsia="方正黑体_GBK" w:cs="Times New Roman"/>
          <w:b w:val="0"/>
          <w:bCs/>
          <w:color w:val="auto"/>
          <w:highlight w:val="none"/>
          <w:lang w:eastAsia="zh-CN"/>
        </w:rPr>
        <w:t>二十</w:t>
      </w:r>
      <w:r>
        <w:rPr>
          <w:rFonts w:hint="default" w:ascii="Times New Roman" w:hAnsi="Times New Roman" w:eastAsia="方正黑体_GBK" w:cs="Times New Roman"/>
          <w:b w:val="0"/>
          <w:bCs/>
          <w:color w:val="auto"/>
          <w:highlight w:val="none"/>
          <w:lang w:val="en-US" w:eastAsia="zh-CN"/>
        </w:rPr>
        <w:t>三</w:t>
      </w:r>
      <w:r>
        <w:rPr>
          <w:rFonts w:hint="default" w:ascii="Times New Roman" w:hAnsi="Times New Roman" w:eastAsia="方正黑体_GBK" w:cs="Times New Roman"/>
          <w:b w:val="0"/>
          <w:bCs/>
          <w:color w:val="auto"/>
          <w:highlight w:val="none"/>
        </w:rPr>
        <w:t>、住房保障支出（类）住房改革支出（款）住房公积金（项）：</w:t>
      </w:r>
      <w:r>
        <w:rPr>
          <w:rFonts w:hint="default" w:ascii="Times New Roman" w:hAnsi="Times New Roman" w:eastAsia="仿宋" w:cs="Times New Roman"/>
          <w:color w:val="auto"/>
          <w:highlight w:val="none"/>
        </w:rPr>
        <w:t>是</w:t>
      </w:r>
      <w:r>
        <w:rPr>
          <w:rFonts w:hint="default" w:ascii="Times New Roman" w:hAnsi="Times New Roman" w:eastAsia="仿宋" w:cs="Times New Roman"/>
          <w:color w:val="auto"/>
          <w:highlight w:val="none"/>
          <w:lang w:eastAsia="zh-CN"/>
        </w:rPr>
        <w:t>伊通满族自治县农村社会经济调查队</w:t>
      </w:r>
      <w:r>
        <w:rPr>
          <w:rFonts w:hint="default" w:ascii="Times New Roman" w:hAnsi="Times New Roman" w:eastAsia="仿宋" w:cs="Times New Roman"/>
          <w:color w:val="auto"/>
          <w:highlight w:val="none"/>
        </w:rPr>
        <w:t>按照人力资源和社会保障部、财政部规定的基本工资和津贴补贴以及规定比例为职工缴纳的住房公积金。</w:t>
      </w:r>
    </w:p>
    <w:p>
      <w:pPr>
        <w:numPr>
          <w:ilvl w:val="0"/>
          <w:numId w:val="0"/>
        </w:numPr>
        <w:autoSpaceDN w:val="0"/>
        <w:spacing w:line="360" w:lineRule="auto"/>
        <w:rPr>
          <w:rFonts w:hint="default" w:ascii="Times New Roman" w:hAnsi="Times New Roman" w:eastAsia="仿宋" w:cs="Times New Roman"/>
          <w:b/>
          <w:bCs/>
          <w:color w:val="auto"/>
          <w:sz w:val="32"/>
          <w:highlight w:val="none"/>
        </w:rPr>
      </w:pP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2AE25C-5D69-4C51-BD65-0B7109FBE2F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0" w:usb1="00000000" w:usb2="00000000" w:usb3="00000000" w:csb0="00000000" w:csb1="00000000"/>
    <w:embedRegular r:id="rId2" w:fontKey="{A039CB20-F6F7-4301-A9FF-34D94DFF5BCF}"/>
  </w:font>
  <w:font w:name="仿宋">
    <w:panose1 w:val="02010609060101010101"/>
    <w:charset w:val="86"/>
    <w:family w:val="modern"/>
    <w:pitch w:val="default"/>
    <w:sig w:usb0="800002BF" w:usb1="38CF7CFA" w:usb2="00000016" w:usb3="00000000" w:csb0="00040001" w:csb1="00000000"/>
    <w:embedRegular r:id="rId3" w:fontKey="{D676DCC1-5809-4ED5-A0DC-5F656CAF9CE4}"/>
  </w:font>
  <w:font w:name="方正小标宋简体">
    <w:panose1 w:val="02000000000000000000"/>
    <w:charset w:val="86"/>
    <w:family w:val="auto"/>
    <w:pitch w:val="default"/>
    <w:sig w:usb0="00000000" w:usb1="00000000" w:usb2="00000000" w:usb3="00000000" w:csb0="00000000" w:csb1="00000000"/>
    <w:embedRegular r:id="rId4" w:fontKey="{A38F6106-A0E8-496C-9249-C92E302F32DF}"/>
  </w:font>
  <w:font w:name="方正仿宋_GBK">
    <w:panose1 w:val="03000509000000000000"/>
    <w:charset w:val="86"/>
    <w:family w:val="auto"/>
    <w:pitch w:val="default"/>
    <w:sig w:usb0="00000000" w:usb1="00000000" w:usb2="00000000" w:usb3="00000000" w:csb0="00000000" w:csb1="00000000"/>
    <w:embedRegular r:id="rId5" w:fontKey="{C6850CF9-9CCA-409B-9CC1-FF12FA1AF25C}"/>
  </w:font>
  <w:font w:name="楷体_GB2312">
    <w:panose1 w:val="02010609030101010101"/>
    <w:charset w:val="86"/>
    <w:family w:val="auto"/>
    <w:pitch w:val="default"/>
    <w:sig w:usb0="00000000" w:usb1="00000000" w:usb2="00000000" w:usb3="00000000" w:csb0="00000000" w:csb1="00000000"/>
    <w:embedRegular r:id="rId6" w:fontKey="{399AC660-5335-4A6B-AD68-EBEB2436CE37}"/>
  </w:font>
  <w:font w:name="方正楷体_GB2312">
    <w:panose1 w:val="02000000000000000000"/>
    <w:charset w:val="86"/>
    <w:family w:val="auto"/>
    <w:pitch w:val="default"/>
    <w:sig w:usb0="00000000" w:usb1="00000000" w:usb2="00000000" w:usb3="00000000" w:csb0="00000000" w:csb1="00000000"/>
    <w:embedRegular r:id="rId7" w:fontKey="{0F554FA3-9B26-4564-8250-FACCA351A430}"/>
  </w:font>
  <w:font w:name="方正黑体_GBK">
    <w:panose1 w:val="03000509000000000000"/>
    <w:charset w:val="86"/>
    <w:family w:val="auto"/>
    <w:pitch w:val="default"/>
    <w:sig w:usb0="00000000" w:usb1="00000000" w:usb2="00000000" w:usb3="00000000" w:csb0="00000000" w:csb1="00000000"/>
    <w:embedRegular r:id="rId8" w:fontKey="{62D689D6-2269-4143-9B60-4BE60DB80D5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Align="top"/>
      <w:pBdr>
        <w:between w:val="none" w:color="auto" w:sz="0" w:space="0"/>
      </w:pBdr>
    </w:pPr>
    <w:r>
      <w:fldChar w:fldCharType="begin"/>
    </w:r>
    <w:r>
      <w:rPr>
        <w:rStyle w:val="15"/>
      </w:rPr>
      <w:instrText xml:space="preserve"> PAGE  </w:instrText>
    </w:r>
    <w:r>
      <w:fldChar w:fldCharType="separate"/>
    </w:r>
    <w:r>
      <w:rPr>
        <w:rStyle w:val="15"/>
      </w:rPr>
      <w:t>27</w:t>
    </w:r>
    <w:r>
      <w:fldChar w:fldCharType="end"/>
    </w:r>
  </w:p>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C847278"/>
    <w:multiLevelType w:val="singleLevel"/>
    <w:tmpl w:val="FC847278"/>
    <w:lvl w:ilvl="0" w:tentative="0">
      <w:start w:val="6"/>
      <w:numFmt w:val="chineseCounting"/>
      <w:suff w:val="nothing"/>
      <w:lvlText w:val="%1、"/>
      <w:lvlJc w:val="left"/>
      <w:rPr>
        <w:rFonts w:hint="eastAsia"/>
      </w:rPr>
    </w:lvl>
  </w:abstractNum>
  <w:abstractNum w:abstractNumId="1">
    <w:nsid w:val="4CC8F480"/>
    <w:multiLevelType w:val="singleLevel"/>
    <w:tmpl w:val="4CC8F480"/>
    <w:lvl w:ilvl="0" w:tentative="0">
      <w:start w:val="10"/>
      <w:numFmt w:val="chineseCounting"/>
      <w:suff w:val="nothing"/>
      <w:lvlText w:val="%1、"/>
      <w:lvlJc w:val="left"/>
      <w:rPr>
        <w:rFonts w:hint="eastAsia"/>
      </w:rPr>
    </w:lvl>
  </w:abstractNum>
  <w:abstractNum w:abstractNumId="2">
    <w:nsid w:val="597FDECD"/>
    <w:multiLevelType w:val="singleLevel"/>
    <w:tmpl w:val="597FDECD"/>
    <w:lvl w:ilvl="0" w:tentative="0">
      <w:start w:val="1"/>
      <w:numFmt w:val="chineseCounting"/>
      <w:suff w:val="nothing"/>
      <w:lvlText w:val="%1、"/>
      <w:lvlJc w:val="left"/>
    </w:lvl>
  </w:abstractNum>
  <w:abstractNum w:abstractNumId="3">
    <w:nsid w:val="7FFE6F37"/>
    <w:multiLevelType w:val="singleLevel"/>
    <w:tmpl w:val="7FFE6F37"/>
    <w:lvl w:ilvl="0" w:tentative="0">
      <w:start w:val="1"/>
      <w:numFmt w:val="chineseCounting"/>
      <w:suff w:val="nothing"/>
      <w:lvlText w:val="（%1）"/>
      <w:lvlJc w:val="left"/>
      <w:pPr>
        <w:ind w:left="0" w:firstLine="480"/>
      </w:pPr>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YWVjODFkNmYyN2RmMTJjMjg2MjNkYjNiYjc4ZTkifQ=="/>
  </w:docVars>
  <w:rsids>
    <w:rsidRoot w:val="00172A27"/>
    <w:rsid w:val="00006953"/>
    <w:rsid w:val="00022B70"/>
    <w:rsid w:val="00030718"/>
    <w:rsid w:val="0003327A"/>
    <w:rsid w:val="00036702"/>
    <w:rsid w:val="00041A8F"/>
    <w:rsid w:val="0004549D"/>
    <w:rsid w:val="00047CE0"/>
    <w:rsid w:val="00050162"/>
    <w:rsid w:val="0005421A"/>
    <w:rsid w:val="0005530B"/>
    <w:rsid w:val="000572A5"/>
    <w:rsid w:val="0006372F"/>
    <w:rsid w:val="00063AE7"/>
    <w:rsid w:val="00072F52"/>
    <w:rsid w:val="00076DE8"/>
    <w:rsid w:val="00077103"/>
    <w:rsid w:val="00082348"/>
    <w:rsid w:val="0008356C"/>
    <w:rsid w:val="00083FB6"/>
    <w:rsid w:val="0008670A"/>
    <w:rsid w:val="000A4972"/>
    <w:rsid w:val="000A6810"/>
    <w:rsid w:val="000B1B78"/>
    <w:rsid w:val="000B328C"/>
    <w:rsid w:val="000C03D5"/>
    <w:rsid w:val="000C12C9"/>
    <w:rsid w:val="000C21F2"/>
    <w:rsid w:val="000C22EB"/>
    <w:rsid w:val="000C7028"/>
    <w:rsid w:val="000D4CF2"/>
    <w:rsid w:val="000D757E"/>
    <w:rsid w:val="000F2A3E"/>
    <w:rsid w:val="00111B98"/>
    <w:rsid w:val="001130A3"/>
    <w:rsid w:val="0011688D"/>
    <w:rsid w:val="00117E36"/>
    <w:rsid w:val="001226CF"/>
    <w:rsid w:val="001248D4"/>
    <w:rsid w:val="001264B5"/>
    <w:rsid w:val="0013320C"/>
    <w:rsid w:val="00136CB8"/>
    <w:rsid w:val="00140A6B"/>
    <w:rsid w:val="00142872"/>
    <w:rsid w:val="00142968"/>
    <w:rsid w:val="00144697"/>
    <w:rsid w:val="00151432"/>
    <w:rsid w:val="00157828"/>
    <w:rsid w:val="001635CE"/>
    <w:rsid w:val="00163C65"/>
    <w:rsid w:val="00166397"/>
    <w:rsid w:val="00166FC2"/>
    <w:rsid w:val="00170FC3"/>
    <w:rsid w:val="0017769B"/>
    <w:rsid w:val="00185171"/>
    <w:rsid w:val="001866B8"/>
    <w:rsid w:val="00187424"/>
    <w:rsid w:val="00191750"/>
    <w:rsid w:val="001978EC"/>
    <w:rsid w:val="001A0649"/>
    <w:rsid w:val="001A259D"/>
    <w:rsid w:val="001B0926"/>
    <w:rsid w:val="001B144F"/>
    <w:rsid w:val="001C4B44"/>
    <w:rsid w:val="001C4E91"/>
    <w:rsid w:val="001C68E1"/>
    <w:rsid w:val="001F79FB"/>
    <w:rsid w:val="002022DE"/>
    <w:rsid w:val="00212A9F"/>
    <w:rsid w:val="00212B4C"/>
    <w:rsid w:val="002264A4"/>
    <w:rsid w:val="00233B11"/>
    <w:rsid w:val="00244CA1"/>
    <w:rsid w:val="00246493"/>
    <w:rsid w:val="00261F22"/>
    <w:rsid w:val="00262F16"/>
    <w:rsid w:val="00270E45"/>
    <w:rsid w:val="0027266F"/>
    <w:rsid w:val="0027751F"/>
    <w:rsid w:val="0028501E"/>
    <w:rsid w:val="00286147"/>
    <w:rsid w:val="002A6494"/>
    <w:rsid w:val="002B0244"/>
    <w:rsid w:val="002B6AE9"/>
    <w:rsid w:val="002C1727"/>
    <w:rsid w:val="002C2730"/>
    <w:rsid w:val="002C498B"/>
    <w:rsid w:val="002C5026"/>
    <w:rsid w:val="002C6D45"/>
    <w:rsid w:val="002D2181"/>
    <w:rsid w:val="002D2794"/>
    <w:rsid w:val="002D4069"/>
    <w:rsid w:val="002D7E93"/>
    <w:rsid w:val="002E4EB7"/>
    <w:rsid w:val="002E7A9A"/>
    <w:rsid w:val="002E7EC1"/>
    <w:rsid w:val="002F1A7B"/>
    <w:rsid w:val="002F25F8"/>
    <w:rsid w:val="00303A54"/>
    <w:rsid w:val="00305FC6"/>
    <w:rsid w:val="0032074F"/>
    <w:rsid w:val="003278D8"/>
    <w:rsid w:val="00332E1F"/>
    <w:rsid w:val="00337B82"/>
    <w:rsid w:val="003405DB"/>
    <w:rsid w:val="003425BC"/>
    <w:rsid w:val="00346031"/>
    <w:rsid w:val="00350063"/>
    <w:rsid w:val="00352C50"/>
    <w:rsid w:val="00364EC7"/>
    <w:rsid w:val="003715CB"/>
    <w:rsid w:val="00372917"/>
    <w:rsid w:val="00374631"/>
    <w:rsid w:val="0038010F"/>
    <w:rsid w:val="0038572D"/>
    <w:rsid w:val="00392658"/>
    <w:rsid w:val="003A39C7"/>
    <w:rsid w:val="003A4DD4"/>
    <w:rsid w:val="003A5A95"/>
    <w:rsid w:val="003A5DB3"/>
    <w:rsid w:val="003A6E6A"/>
    <w:rsid w:val="003B3946"/>
    <w:rsid w:val="003C04E8"/>
    <w:rsid w:val="003C2237"/>
    <w:rsid w:val="003C2728"/>
    <w:rsid w:val="003D155C"/>
    <w:rsid w:val="003D59F5"/>
    <w:rsid w:val="003E2BA3"/>
    <w:rsid w:val="003E509A"/>
    <w:rsid w:val="00401605"/>
    <w:rsid w:val="0043637F"/>
    <w:rsid w:val="004371D0"/>
    <w:rsid w:val="00444539"/>
    <w:rsid w:val="00445D02"/>
    <w:rsid w:val="004477D7"/>
    <w:rsid w:val="00450D31"/>
    <w:rsid w:val="004510ED"/>
    <w:rsid w:val="00451246"/>
    <w:rsid w:val="0045262F"/>
    <w:rsid w:val="00456AB7"/>
    <w:rsid w:val="0045724A"/>
    <w:rsid w:val="00460E21"/>
    <w:rsid w:val="00470D60"/>
    <w:rsid w:val="00483B1C"/>
    <w:rsid w:val="004922D3"/>
    <w:rsid w:val="004A6B9A"/>
    <w:rsid w:val="004B3C1F"/>
    <w:rsid w:val="004C026D"/>
    <w:rsid w:val="004C1D40"/>
    <w:rsid w:val="004D126F"/>
    <w:rsid w:val="004E1B38"/>
    <w:rsid w:val="00502032"/>
    <w:rsid w:val="00505022"/>
    <w:rsid w:val="005054EA"/>
    <w:rsid w:val="00511F70"/>
    <w:rsid w:val="00526FA8"/>
    <w:rsid w:val="005365FF"/>
    <w:rsid w:val="00545920"/>
    <w:rsid w:val="00552D11"/>
    <w:rsid w:val="005539A0"/>
    <w:rsid w:val="00587513"/>
    <w:rsid w:val="005911F1"/>
    <w:rsid w:val="005922B2"/>
    <w:rsid w:val="005931CC"/>
    <w:rsid w:val="00593840"/>
    <w:rsid w:val="00595901"/>
    <w:rsid w:val="005A7848"/>
    <w:rsid w:val="005B04D5"/>
    <w:rsid w:val="005C3EFC"/>
    <w:rsid w:val="005C6473"/>
    <w:rsid w:val="005D420A"/>
    <w:rsid w:val="005E103C"/>
    <w:rsid w:val="005E131A"/>
    <w:rsid w:val="00603762"/>
    <w:rsid w:val="00607283"/>
    <w:rsid w:val="00613C24"/>
    <w:rsid w:val="00614BBE"/>
    <w:rsid w:val="0061645D"/>
    <w:rsid w:val="00621A6B"/>
    <w:rsid w:val="00625CB0"/>
    <w:rsid w:val="00633860"/>
    <w:rsid w:val="006401B4"/>
    <w:rsid w:val="00642EF0"/>
    <w:rsid w:val="0064350E"/>
    <w:rsid w:val="00650A40"/>
    <w:rsid w:val="00652E45"/>
    <w:rsid w:val="00657097"/>
    <w:rsid w:val="0066026A"/>
    <w:rsid w:val="00660D83"/>
    <w:rsid w:val="0066154D"/>
    <w:rsid w:val="00671591"/>
    <w:rsid w:val="006807CA"/>
    <w:rsid w:val="00682CD9"/>
    <w:rsid w:val="00683799"/>
    <w:rsid w:val="006837FA"/>
    <w:rsid w:val="00683BEC"/>
    <w:rsid w:val="00683F6C"/>
    <w:rsid w:val="00687F93"/>
    <w:rsid w:val="00690A07"/>
    <w:rsid w:val="00690FDF"/>
    <w:rsid w:val="00692A6B"/>
    <w:rsid w:val="00692A8E"/>
    <w:rsid w:val="0069338C"/>
    <w:rsid w:val="006951EE"/>
    <w:rsid w:val="006A729C"/>
    <w:rsid w:val="006B352C"/>
    <w:rsid w:val="006B50EE"/>
    <w:rsid w:val="006B521F"/>
    <w:rsid w:val="006B55BC"/>
    <w:rsid w:val="006C2B16"/>
    <w:rsid w:val="006D4085"/>
    <w:rsid w:val="006D6627"/>
    <w:rsid w:val="006F357C"/>
    <w:rsid w:val="00703132"/>
    <w:rsid w:val="007041F5"/>
    <w:rsid w:val="007256AC"/>
    <w:rsid w:val="0073510D"/>
    <w:rsid w:val="00735D33"/>
    <w:rsid w:val="007376D0"/>
    <w:rsid w:val="00742959"/>
    <w:rsid w:val="007444A7"/>
    <w:rsid w:val="00745EFB"/>
    <w:rsid w:val="00747CD1"/>
    <w:rsid w:val="00750112"/>
    <w:rsid w:val="007553B2"/>
    <w:rsid w:val="007739C9"/>
    <w:rsid w:val="007826B8"/>
    <w:rsid w:val="00786916"/>
    <w:rsid w:val="00790CC4"/>
    <w:rsid w:val="00797063"/>
    <w:rsid w:val="00797768"/>
    <w:rsid w:val="00797D83"/>
    <w:rsid w:val="007A0819"/>
    <w:rsid w:val="007A5D19"/>
    <w:rsid w:val="007A7776"/>
    <w:rsid w:val="007B0A5D"/>
    <w:rsid w:val="007B156A"/>
    <w:rsid w:val="007B3386"/>
    <w:rsid w:val="007C37FF"/>
    <w:rsid w:val="007C4AB8"/>
    <w:rsid w:val="007C4D4B"/>
    <w:rsid w:val="007D13A7"/>
    <w:rsid w:val="007D4353"/>
    <w:rsid w:val="007D536F"/>
    <w:rsid w:val="007D64E1"/>
    <w:rsid w:val="007E5C75"/>
    <w:rsid w:val="007F08FC"/>
    <w:rsid w:val="007F1A1C"/>
    <w:rsid w:val="00801633"/>
    <w:rsid w:val="00803989"/>
    <w:rsid w:val="00804332"/>
    <w:rsid w:val="00804691"/>
    <w:rsid w:val="0080772E"/>
    <w:rsid w:val="00810078"/>
    <w:rsid w:val="008136CF"/>
    <w:rsid w:val="00814FD0"/>
    <w:rsid w:val="00825E71"/>
    <w:rsid w:val="00831793"/>
    <w:rsid w:val="008376CC"/>
    <w:rsid w:val="00844952"/>
    <w:rsid w:val="00846256"/>
    <w:rsid w:val="0085070B"/>
    <w:rsid w:val="00867F10"/>
    <w:rsid w:val="00870AE1"/>
    <w:rsid w:val="008716FD"/>
    <w:rsid w:val="00871E39"/>
    <w:rsid w:val="00877B77"/>
    <w:rsid w:val="00890542"/>
    <w:rsid w:val="00890CAF"/>
    <w:rsid w:val="00891C77"/>
    <w:rsid w:val="008C4FC2"/>
    <w:rsid w:val="008D3F6B"/>
    <w:rsid w:val="008E10FD"/>
    <w:rsid w:val="0090403A"/>
    <w:rsid w:val="009059E5"/>
    <w:rsid w:val="00915519"/>
    <w:rsid w:val="00920A16"/>
    <w:rsid w:val="0092302E"/>
    <w:rsid w:val="00924273"/>
    <w:rsid w:val="00931C2B"/>
    <w:rsid w:val="009328B1"/>
    <w:rsid w:val="00936F17"/>
    <w:rsid w:val="009519C2"/>
    <w:rsid w:val="00955AC7"/>
    <w:rsid w:val="0099060F"/>
    <w:rsid w:val="009A070D"/>
    <w:rsid w:val="009A2F42"/>
    <w:rsid w:val="009A58BC"/>
    <w:rsid w:val="009A5928"/>
    <w:rsid w:val="009C0490"/>
    <w:rsid w:val="009C7F73"/>
    <w:rsid w:val="009D08EF"/>
    <w:rsid w:val="00A03D24"/>
    <w:rsid w:val="00A1592F"/>
    <w:rsid w:val="00A23DD0"/>
    <w:rsid w:val="00A272A2"/>
    <w:rsid w:val="00A276A9"/>
    <w:rsid w:val="00A3634D"/>
    <w:rsid w:val="00A40A7B"/>
    <w:rsid w:val="00A4633B"/>
    <w:rsid w:val="00A4642B"/>
    <w:rsid w:val="00A50FBF"/>
    <w:rsid w:val="00A53409"/>
    <w:rsid w:val="00A61B84"/>
    <w:rsid w:val="00A640B1"/>
    <w:rsid w:val="00A77B57"/>
    <w:rsid w:val="00A816B1"/>
    <w:rsid w:val="00A86393"/>
    <w:rsid w:val="00A8640D"/>
    <w:rsid w:val="00A925C8"/>
    <w:rsid w:val="00A92AEC"/>
    <w:rsid w:val="00A943EC"/>
    <w:rsid w:val="00AA310C"/>
    <w:rsid w:val="00AA3B36"/>
    <w:rsid w:val="00AA4948"/>
    <w:rsid w:val="00AA5C63"/>
    <w:rsid w:val="00AB0A7A"/>
    <w:rsid w:val="00AB4C89"/>
    <w:rsid w:val="00AB5C2B"/>
    <w:rsid w:val="00AC4905"/>
    <w:rsid w:val="00AC51BA"/>
    <w:rsid w:val="00AD22CE"/>
    <w:rsid w:val="00AD39D9"/>
    <w:rsid w:val="00AD5EE9"/>
    <w:rsid w:val="00AE2F18"/>
    <w:rsid w:val="00AE7387"/>
    <w:rsid w:val="00AE7E1D"/>
    <w:rsid w:val="00AF799A"/>
    <w:rsid w:val="00B03AA8"/>
    <w:rsid w:val="00B10EC3"/>
    <w:rsid w:val="00B131A9"/>
    <w:rsid w:val="00B223EE"/>
    <w:rsid w:val="00B2286B"/>
    <w:rsid w:val="00B260B9"/>
    <w:rsid w:val="00B27D41"/>
    <w:rsid w:val="00B30512"/>
    <w:rsid w:val="00B31EE0"/>
    <w:rsid w:val="00B453C4"/>
    <w:rsid w:val="00B50216"/>
    <w:rsid w:val="00B50549"/>
    <w:rsid w:val="00B51C36"/>
    <w:rsid w:val="00B52807"/>
    <w:rsid w:val="00B55436"/>
    <w:rsid w:val="00B66AF5"/>
    <w:rsid w:val="00B73AE8"/>
    <w:rsid w:val="00B77953"/>
    <w:rsid w:val="00B846FC"/>
    <w:rsid w:val="00B94551"/>
    <w:rsid w:val="00BA7C8E"/>
    <w:rsid w:val="00BB07B2"/>
    <w:rsid w:val="00BC1F3B"/>
    <w:rsid w:val="00BD6972"/>
    <w:rsid w:val="00BE2F51"/>
    <w:rsid w:val="00BE4D2E"/>
    <w:rsid w:val="00BE536D"/>
    <w:rsid w:val="00BF48EA"/>
    <w:rsid w:val="00C05D3E"/>
    <w:rsid w:val="00C05F60"/>
    <w:rsid w:val="00C15975"/>
    <w:rsid w:val="00C17DD2"/>
    <w:rsid w:val="00C21D4C"/>
    <w:rsid w:val="00C24C7F"/>
    <w:rsid w:val="00C402FF"/>
    <w:rsid w:val="00C423BD"/>
    <w:rsid w:val="00C4685B"/>
    <w:rsid w:val="00C5078C"/>
    <w:rsid w:val="00C5230F"/>
    <w:rsid w:val="00C571EB"/>
    <w:rsid w:val="00C60D70"/>
    <w:rsid w:val="00C6430E"/>
    <w:rsid w:val="00C72521"/>
    <w:rsid w:val="00C75580"/>
    <w:rsid w:val="00C82919"/>
    <w:rsid w:val="00C847AE"/>
    <w:rsid w:val="00C95845"/>
    <w:rsid w:val="00CA0906"/>
    <w:rsid w:val="00CA0E16"/>
    <w:rsid w:val="00CA3E0E"/>
    <w:rsid w:val="00CA4885"/>
    <w:rsid w:val="00CA595F"/>
    <w:rsid w:val="00CB4FEC"/>
    <w:rsid w:val="00CB61D8"/>
    <w:rsid w:val="00CB6AF0"/>
    <w:rsid w:val="00CC0509"/>
    <w:rsid w:val="00CC24B1"/>
    <w:rsid w:val="00CD0BB8"/>
    <w:rsid w:val="00CD5A08"/>
    <w:rsid w:val="00CE4EF5"/>
    <w:rsid w:val="00D14895"/>
    <w:rsid w:val="00D200C1"/>
    <w:rsid w:val="00D21B92"/>
    <w:rsid w:val="00D23915"/>
    <w:rsid w:val="00D27C11"/>
    <w:rsid w:val="00D300F6"/>
    <w:rsid w:val="00D307DD"/>
    <w:rsid w:val="00D451E5"/>
    <w:rsid w:val="00D51553"/>
    <w:rsid w:val="00D56EEF"/>
    <w:rsid w:val="00D65B9D"/>
    <w:rsid w:val="00D66A2A"/>
    <w:rsid w:val="00D71A73"/>
    <w:rsid w:val="00D86406"/>
    <w:rsid w:val="00D94D7D"/>
    <w:rsid w:val="00DA0EF4"/>
    <w:rsid w:val="00DC3CFB"/>
    <w:rsid w:val="00DC4655"/>
    <w:rsid w:val="00DD0315"/>
    <w:rsid w:val="00DE37B1"/>
    <w:rsid w:val="00DE62E3"/>
    <w:rsid w:val="00DF42FE"/>
    <w:rsid w:val="00DF5524"/>
    <w:rsid w:val="00E002F7"/>
    <w:rsid w:val="00E004C9"/>
    <w:rsid w:val="00E064D0"/>
    <w:rsid w:val="00E14D32"/>
    <w:rsid w:val="00E167C1"/>
    <w:rsid w:val="00E17321"/>
    <w:rsid w:val="00E179BC"/>
    <w:rsid w:val="00E31020"/>
    <w:rsid w:val="00E418A0"/>
    <w:rsid w:val="00E433F8"/>
    <w:rsid w:val="00E4602A"/>
    <w:rsid w:val="00E50C67"/>
    <w:rsid w:val="00E57F91"/>
    <w:rsid w:val="00E6459D"/>
    <w:rsid w:val="00E66435"/>
    <w:rsid w:val="00E67C51"/>
    <w:rsid w:val="00E7159D"/>
    <w:rsid w:val="00E840DB"/>
    <w:rsid w:val="00E87005"/>
    <w:rsid w:val="00E93E7F"/>
    <w:rsid w:val="00E953D4"/>
    <w:rsid w:val="00EA6293"/>
    <w:rsid w:val="00EA6FB0"/>
    <w:rsid w:val="00EA7CD4"/>
    <w:rsid w:val="00EB293D"/>
    <w:rsid w:val="00EB38A1"/>
    <w:rsid w:val="00EB7D19"/>
    <w:rsid w:val="00EC57F0"/>
    <w:rsid w:val="00ED0C42"/>
    <w:rsid w:val="00ED3F2E"/>
    <w:rsid w:val="00EE00C5"/>
    <w:rsid w:val="00EF3AF1"/>
    <w:rsid w:val="00EF67DF"/>
    <w:rsid w:val="00F004F1"/>
    <w:rsid w:val="00F036BB"/>
    <w:rsid w:val="00F1086E"/>
    <w:rsid w:val="00F118BC"/>
    <w:rsid w:val="00F14E68"/>
    <w:rsid w:val="00F17C25"/>
    <w:rsid w:val="00F22561"/>
    <w:rsid w:val="00F226AF"/>
    <w:rsid w:val="00F26C3A"/>
    <w:rsid w:val="00F4669D"/>
    <w:rsid w:val="00F52FE6"/>
    <w:rsid w:val="00F6416E"/>
    <w:rsid w:val="00F701CB"/>
    <w:rsid w:val="00F7137C"/>
    <w:rsid w:val="00F74876"/>
    <w:rsid w:val="00F85853"/>
    <w:rsid w:val="00F85B50"/>
    <w:rsid w:val="00F86156"/>
    <w:rsid w:val="00F8701F"/>
    <w:rsid w:val="00F91F1A"/>
    <w:rsid w:val="00FB4192"/>
    <w:rsid w:val="00FC31A1"/>
    <w:rsid w:val="00FE2D45"/>
    <w:rsid w:val="00FE64BA"/>
    <w:rsid w:val="00FF644D"/>
    <w:rsid w:val="00FF71A7"/>
    <w:rsid w:val="01291CF3"/>
    <w:rsid w:val="013836B1"/>
    <w:rsid w:val="01974C59"/>
    <w:rsid w:val="01C17C29"/>
    <w:rsid w:val="01CA63A7"/>
    <w:rsid w:val="01D25F7D"/>
    <w:rsid w:val="02631927"/>
    <w:rsid w:val="02935584"/>
    <w:rsid w:val="039950F2"/>
    <w:rsid w:val="03AB2112"/>
    <w:rsid w:val="03AF0195"/>
    <w:rsid w:val="03B46C2F"/>
    <w:rsid w:val="03EB5A73"/>
    <w:rsid w:val="041D7A3C"/>
    <w:rsid w:val="045B3430"/>
    <w:rsid w:val="04C80BE4"/>
    <w:rsid w:val="050474A7"/>
    <w:rsid w:val="0506170D"/>
    <w:rsid w:val="050D4849"/>
    <w:rsid w:val="051B5087"/>
    <w:rsid w:val="052D7500"/>
    <w:rsid w:val="0550298F"/>
    <w:rsid w:val="056D7D0D"/>
    <w:rsid w:val="0599432F"/>
    <w:rsid w:val="05D33442"/>
    <w:rsid w:val="05D944A6"/>
    <w:rsid w:val="06BA67ED"/>
    <w:rsid w:val="078D0265"/>
    <w:rsid w:val="07A64AE1"/>
    <w:rsid w:val="07BA0FF2"/>
    <w:rsid w:val="07D74041"/>
    <w:rsid w:val="083D6AAA"/>
    <w:rsid w:val="08461F91"/>
    <w:rsid w:val="08E14DC5"/>
    <w:rsid w:val="098470A4"/>
    <w:rsid w:val="099D2019"/>
    <w:rsid w:val="09ED7D19"/>
    <w:rsid w:val="09FC0338"/>
    <w:rsid w:val="0A73514E"/>
    <w:rsid w:val="0B0B182B"/>
    <w:rsid w:val="0B365A8D"/>
    <w:rsid w:val="0B4C5D40"/>
    <w:rsid w:val="0C455F50"/>
    <w:rsid w:val="0C48384D"/>
    <w:rsid w:val="0CCC400A"/>
    <w:rsid w:val="0CCE363C"/>
    <w:rsid w:val="0D833499"/>
    <w:rsid w:val="0DA93E4C"/>
    <w:rsid w:val="0E743E81"/>
    <w:rsid w:val="0E82019F"/>
    <w:rsid w:val="0E913F8C"/>
    <w:rsid w:val="0EC042D8"/>
    <w:rsid w:val="0EFA5D2F"/>
    <w:rsid w:val="0FD54E0B"/>
    <w:rsid w:val="0FF41E59"/>
    <w:rsid w:val="10057FFD"/>
    <w:rsid w:val="10212E52"/>
    <w:rsid w:val="10891F2B"/>
    <w:rsid w:val="10C74779"/>
    <w:rsid w:val="10D95F27"/>
    <w:rsid w:val="10DE2F25"/>
    <w:rsid w:val="115F0793"/>
    <w:rsid w:val="11C12C43"/>
    <w:rsid w:val="11E8486E"/>
    <w:rsid w:val="12277E38"/>
    <w:rsid w:val="12A612BB"/>
    <w:rsid w:val="12B83979"/>
    <w:rsid w:val="12C6454D"/>
    <w:rsid w:val="12CE5DDA"/>
    <w:rsid w:val="13281E39"/>
    <w:rsid w:val="14424B64"/>
    <w:rsid w:val="1451667D"/>
    <w:rsid w:val="149A7217"/>
    <w:rsid w:val="154C4F1A"/>
    <w:rsid w:val="15C422A6"/>
    <w:rsid w:val="15D171CD"/>
    <w:rsid w:val="15E038B4"/>
    <w:rsid w:val="16215284"/>
    <w:rsid w:val="16247C45"/>
    <w:rsid w:val="1625614D"/>
    <w:rsid w:val="16AC690D"/>
    <w:rsid w:val="16B965DF"/>
    <w:rsid w:val="16BA16A6"/>
    <w:rsid w:val="16C62AAA"/>
    <w:rsid w:val="17686786"/>
    <w:rsid w:val="17A9728B"/>
    <w:rsid w:val="17B3432A"/>
    <w:rsid w:val="17BD20FF"/>
    <w:rsid w:val="18245CDA"/>
    <w:rsid w:val="18BD2904"/>
    <w:rsid w:val="18D2447F"/>
    <w:rsid w:val="18DD2B55"/>
    <w:rsid w:val="190350A8"/>
    <w:rsid w:val="19503578"/>
    <w:rsid w:val="1998580B"/>
    <w:rsid w:val="19FB6DA2"/>
    <w:rsid w:val="1A011720"/>
    <w:rsid w:val="1A10332A"/>
    <w:rsid w:val="1A3056D8"/>
    <w:rsid w:val="1ABD4924"/>
    <w:rsid w:val="1B4C26D6"/>
    <w:rsid w:val="1B6A01A5"/>
    <w:rsid w:val="1B704521"/>
    <w:rsid w:val="1B7A20B5"/>
    <w:rsid w:val="1BA86C22"/>
    <w:rsid w:val="1BBD09F3"/>
    <w:rsid w:val="1BE37C5A"/>
    <w:rsid w:val="1BF264AC"/>
    <w:rsid w:val="1C811E8C"/>
    <w:rsid w:val="1C833AB3"/>
    <w:rsid w:val="1CE741A3"/>
    <w:rsid w:val="1CF35D0C"/>
    <w:rsid w:val="1D30415C"/>
    <w:rsid w:val="1D5B5A38"/>
    <w:rsid w:val="1DAD6772"/>
    <w:rsid w:val="1DCC0726"/>
    <w:rsid w:val="1DE33F41"/>
    <w:rsid w:val="1DEB4977"/>
    <w:rsid w:val="1DF24545"/>
    <w:rsid w:val="1E1160FD"/>
    <w:rsid w:val="1E676920"/>
    <w:rsid w:val="1E9D4136"/>
    <w:rsid w:val="1EA81C47"/>
    <w:rsid w:val="1EB43A3C"/>
    <w:rsid w:val="1ED7600F"/>
    <w:rsid w:val="1F4D411B"/>
    <w:rsid w:val="1F7A571D"/>
    <w:rsid w:val="202B1BD0"/>
    <w:rsid w:val="208A259E"/>
    <w:rsid w:val="214B42D7"/>
    <w:rsid w:val="216E09DF"/>
    <w:rsid w:val="21786EFC"/>
    <w:rsid w:val="22382A16"/>
    <w:rsid w:val="22685619"/>
    <w:rsid w:val="229E098A"/>
    <w:rsid w:val="22A40D42"/>
    <w:rsid w:val="22A9011F"/>
    <w:rsid w:val="22EE13BE"/>
    <w:rsid w:val="235A30FF"/>
    <w:rsid w:val="235A39D9"/>
    <w:rsid w:val="2369129F"/>
    <w:rsid w:val="23706277"/>
    <w:rsid w:val="237E08ED"/>
    <w:rsid w:val="23824ACD"/>
    <w:rsid w:val="23E94167"/>
    <w:rsid w:val="242878FE"/>
    <w:rsid w:val="24AA776D"/>
    <w:rsid w:val="24B66733"/>
    <w:rsid w:val="24C96BE6"/>
    <w:rsid w:val="24D32F62"/>
    <w:rsid w:val="24DE2AB2"/>
    <w:rsid w:val="24EB7A4C"/>
    <w:rsid w:val="251730EB"/>
    <w:rsid w:val="25390094"/>
    <w:rsid w:val="254C4636"/>
    <w:rsid w:val="267C3C0F"/>
    <w:rsid w:val="26832765"/>
    <w:rsid w:val="26A440C8"/>
    <w:rsid w:val="26CA1E67"/>
    <w:rsid w:val="26D9681D"/>
    <w:rsid w:val="27615C36"/>
    <w:rsid w:val="276A0F6E"/>
    <w:rsid w:val="27F60471"/>
    <w:rsid w:val="28173165"/>
    <w:rsid w:val="282B7512"/>
    <w:rsid w:val="286F7557"/>
    <w:rsid w:val="28941167"/>
    <w:rsid w:val="28CB487D"/>
    <w:rsid w:val="29A34F43"/>
    <w:rsid w:val="29B215CF"/>
    <w:rsid w:val="2A046C55"/>
    <w:rsid w:val="2A345118"/>
    <w:rsid w:val="2A6A1929"/>
    <w:rsid w:val="2B0C5E72"/>
    <w:rsid w:val="2B4F17D3"/>
    <w:rsid w:val="2B687DF3"/>
    <w:rsid w:val="2BD56AA4"/>
    <w:rsid w:val="2C293467"/>
    <w:rsid w:val="2C740706"/>
    <w:rsid w:val="2C933EA5"/>
    <w:rsid w:val="2CA27B50"/>
    <w:rsid w:val="2CA43435"/>
    <w:rsid w:val="2CAA0F45"/>
    <w:rsid w:val="2CD54307"/>
    <w:rsid w:val="2CE90E48"/>
    <w:rsid w:val="2CF649E8"/>
    <w:rsid w:val="2D140094"/>
    <w:rsid w:val="2D376497"/>
    <w:rsid w:val="2DE12E59"/>
    <w:rsid w:val="2E3A1976"/>
    <w:rsid w:val="2E4733B9"/>
    <w:rsid w:val="2E663CE3"/>
    <w:rsid w:val="2E6E5AA9"/>
    <w:rsid w:val="2E8E4319"/>
    <w:rsid w:val="2E973096"/>
    <w:rsid w:val="2E9C15FE"/>
    <w:rsid w:val="2F805A94"/>
    <w:rsid w:val="2FA9194B"/>
    <w:rsid w:val="2FDC43A0"/>
    <w:rsid w:val="2FE41633"/>
    <w:rsid w:val="2FF16D2E"/>
    <w:rsid w:val="303B6D52"/>
    <w:rsid w:val="30404DA3"/>
    <w:rsid w:val="30CA4E30"/>
    <w:rsid w:val="311B2DB5"/>
    <w:rsid w:val="31200E48"/>
    <w:rsid w:val="312F40AC"/>
    <w:rsid w:val="315E0057"/>
    <w:rsid w:val="31696AB3"/>
    <w:rsid w:val="31794E91"/>
    <w:rsid w:val="31CD6F8B"/>
    <w:rsid w:val="31F359A3"/>
    <w:rsid w:val="3212787A"/>
    <w:rsid w:val="325300FB"/>
    <w:rsid w:val="32785148"/>
    <w:rsid w:val="333E5CF6"/>
    <w:rsid w:val="33CE6DF1"/>
    <w:rsid w:val="33D2753F"/>
    <w:rsid w:val="33D5291B"/>
    <w:rsid w:val="34550FEE"/>
    <w:rsid w:val="34A343A7"/>
    <w:rsid w:val="34B67240"/>
    <w:rsid w:val="34BC093C"/>
    <w:rsid w:val="34DA79F4"/>
    <w:rsid w:val="34DE5E1D"/>
    <w:rsid w:val="34ED4416"/>
    <w:rsid w:val="35720CEF"/>
    <w:rsid w:val="35A61CEB"/>
    <w:rsid w:val="360B58E8"/>
    <w:rsid w:val="36447551"/>
    <w:rsid w:val="368A773C"/>
    <w:rsid w:val="36B47E29"/>
    <w:rsid w:val="36EE7B2A"/>
    <w:rsid w:val="383438BF"/>
    <w:rsid w:val="38D416BA"/>
    <w:rsid w:val="38F74948"/>
    <w:rsid w:val="38FE7A29"/>
    <w:rsid w:val="3922614F"/>
    <w:rsid w:val="395E7574"/>
    <w:rsid w:val="396C6F86"/>
    <w:rsid w:val="3A201838"/>
    <w:rsid w:val="3A207555"/>
    <w:rsid w:val="3ABA6DAF"/>
    <w:rsid w:val="3B007FD0"/>
    <w:rsid w:val="3B60095D"/>
    <w:rsid w:val="3B824694"/>
    <w:rsid w:val="3BAA4295"/>
    <w:rsid w:val="3BF86E47"/>
    <w:rsid w:val="3C1C2D73"/>
    <w:rsid w:val="3C5926B5"/>
    <w:rsid w:val="3CBA7FA6"/>
    <w:rsid w:val="3D257AE9"/>
    <w:rsid w:val="3D2739F3"/>
    <w:rsid w:val="3D4D1962"/>
    <w:rsid w:val="3D561BE0"/>
    <w:rsid w:val="3E08041A"/>
    <w:rsid w:val="3EAA48DB"/>
    <w:rsid w:val="3EAB28E4"/>
    <w:rsid w:val="3EBF597A"/>
    <w:rsid w:val="3F847C6B"/>
    <w:rsid w:val="3F8A54A4"/>
    <w:rsid w:val="3FFA71C8"/>
    <w:rsid w:val="401F5D22"/>
    <w:rsid w:val="404207E8"/>
    <w:rsid w:val="4057425D"/>
    <w:rsid w:val="4080075D"/>
    <w:rsid w:val="40953369"/>
    <w:rsid w:val="40B71CA9"/>
    <w:rsid w:val="40B95680"/>
    <w:rsid w:val="40C80B50"/>
    <w:rsid w:val="40E7682B"/>
    <w:rsid w:val="40ED4F53"/>
    <w:rsid w:val="416044FF"/>
    <w:rsid w:val="417267DD"/>
    <w:rsid w:val="41952491"/>
    <w:rsid w:val="41BE4B11"/>
    <w:rsid w:val="41E73751"/>
    <w:rsid w:val="41F737C5"/>
    <w:rsid w:val="42161774"/>
    <w:rsid w:val="421C2E70"/>
    <w:rsid w:val="4244364D"/>
    <w:rsid w:val="42543E02"/>
    <w:rsid w:val="42812842"/>
    <w:rsid w:val="42E32929"/>
    <w:rsid w:val="430B188A"/>
    <w:rsid w:val="438A0837"/>
    <w:rsid w:val="438D0328"/>
    <w:rsid w:val="447D1A52"/>
    <w:rsid w:val="44840D0E"/>
    <w:rsid w:val="44A45BD7"/>
    <w:rsid w:val="44A85C75"/>
    <w:rsid w:val="44BE15B5"/>
    <w:rsid w:val="44C9341E"/>
    <w:rsid w:val="44D65FD3"/>
    <w:rsid w:val="455023E4"/>
    <w:rsid w:val="456F4189"/>
    <w:rsid w:val="46125131"/>
    <w:rsid w:val="46952593"/>
    <w:rsid w:val="469B2D5C"/>
    <w:rsid w:val="46D949EB"/>
    <w:rsid w:val="47004489"/>
    <w:rsid w:val="475F4668"/>
    <w:rsid w:val="47AB6FCE"/>
    <w:rsid w:val="47E07977"/>
    <w:rsid w:val="484B52B5"/>
    <w:rsid w:val="48626CF9"/>
    <w:rsid w:val="48700F9E"/>
    <w:rsid w:val="487A58C4"/>
    <w:rsid w:val="48951DA6"/>
    <w:rsid w:val="48EF591C"/>
    <w:rsid w:val="495F4397"/>
    <w:rsid w:val="49793828"/>
    <w:rsid w:val="4A432D80"/>
    <w:rsid w:val="4AF84FA0"/>
    <w:rsid w:val="4AFC450A"/>
    <w:rsid w:val="4B4439C2"/>
    <w:rsid w:val="4B6A1F48"/>
    <w:rsid w:val="4B8240C1"/>
    <w:rsid w:val="4B8C63F6"/>
    <w:rsid w:val="4BB23021"/>
    <w:rsid w:val="4BCC7805"/>
    <w:rsid w:val="4BF042B3"/>
    <w:rsid w:val="4C312198"/>
    <w:rsid w:val="4C3837E9"/>
    <w:rsid w:val="4C4D6C9D"/>
    <w:rsid w:val="4C835077"/>
    <w:rsid w:val="4CA77209"/>
    <w:rsid w:val="4CF54679"/>
    <w:rsid w:val="4D0E758C"/>
    <w:rsid w:val="4D38183D"/>
    <w:rsid w:val="4D661F7C"/>
    <w:rsid w:val="4D7321F1"/>
    <w:rsid w:val="4D90277D"/>
    <w:rsid w:val="4D967D9A"/>
    <w:rsid w:val="4DAE4B36"/>
    <w:rsid w:val="4DCF0D74"/>
    <w:rsid w:val="4DED1B7E"/>
    <w:rsid w:val="4DEF6D1B"/>
    <w:rsid w:val="4E375881"/>
    <w:rsid w:val="4E7B76FB"/>
    <w:rsid w:val="4E945B07"/>
    <w:rsid w:val="4F334479"/>
    <w:rsid w:val="4F4F0196"/>
    <w:rsid w:val="4F7030A6"/>
    <w:rsid w:val="4F730D1A"/>
    <w:rsid w:val="500D74A6"/>
    <w:rsid w:val="50151DD1"/>
    <w:rsid w:val="507770EB"/>
    <w:rsid w:val="50A31D1F"/>
    <w:rsid w:val="50C44111"/>
    <w:rsid w:val="50CA3EFF"/>
    <w:rsid w:val="50D37CC2"/>
    <w:rsid w:val="50D90943"/>
    <w:rsid w:val="51595B90"/>
    <w:rsid w:val="515E50B1"/>
    <w:rsid w:val="524B622E"/>
    <w:rsid w:val="525C2AAA"/>
    <w:rsid w:val="527F60E4"/>
    <w:rsid w:val="52B96A43"/>
    <w:rsid w:val="52DE564C"/>
    <w:rsid w:val="53055976"/>
    <w:rsid w:val="531C1A1D"/>
    <w:rsid w:val="53794425"/>
    <w:rsid w:val="53B51A78"/>
    <w:rsid w:val="53EE5C42"/>
    <w:rsid w:val="542C6F04"/>
    <w:rsid w:val="5433756D"/>
    <w:rsid w:val="544B604C"/>
    <w:rsid w:val="545F7ABE"/>
    <w:rsid w:val="54A454D1"/>
    <w:rsid w:val="54AD6A7C"/>
    <w:rsid w:val="555417D6"/>
    <w:rsid w:val="559D6B10"/>
    <w:rsid w:val="55EE1B92"/>
    <w:rsid w:val="56145930"/>
    <w:rsid w:val="56276642"/>
    <w:rsid w:val="563F5C38"/>
    <w:rsid w:val="565E2966"/>
    <w:rsid w:val="568650EC"/>
    <w:rsid w:val="569A0092"/>
    <w:rsid w:val="56D22439"/>
    <w:rsid w:val="56E46059"/>
    <w:rsid w:val="573C1FDD"/>
    <w:rsid w:val="58AC562C"/>
    <w:rsid w:val="58AF1FE4"/>
    <w:rsid w:val="5919472F"/>
    <w:rsid w:val="594B2916"/>
    <w:rsid w:val="598C5E68"/>
    <w:rsid w:val="59B913DD"/>
    <w:rsid w:val="59C15939"/>
    <w:rsid w:val="59C70328"/>
    <w:rsid w:val="59D10B16"/>
    <w:rsid w:val="59E34416"/>
    <w:rsid w:val="5A663955"/>
    <w:rsid w:val="5A8F7B66"/>
    <w:rsid w:val="5A985374"/>
    <w:rsid w:val="5AC84640"/>
    <w:rsid w:val="5B594BDF"/>
    <w:rsid w:val="5B5E63DA"/>
    <w:rsid w:val="5B67293C"/>
    <w:rsid w:val="5BC1770A"/>
    <w:rsid w:val="5BC414F3"/>
    <w:rsid w:val="5BD52F4B"/>
    <w:rsid w:val="5C1949F7"/>
    <w:rsid w:val="5C1E1D99"/>
    <w:rsid w:val="5C48142B"/>
    <w:rsid w:val="5C5E0E8C"/>
    <w:rsid w:val="5C824D18"/>
    <w:rsid w:val="5CF03C4B"/>
    <w:rsid w:val="5D335644"/>
    <w:rsid w:val="5DA61FAE"/>
    <w:rsid w:val="5DBF1EE1"/>
    <w:rsid w:val="5DCB486F"/>
    <w:rsid w:val="5DE51A21"/>
    <w:rsid w:val="5E1C257C"/>
    <w:rsid w:val="5E5A6C63"/>
    <w:rsid w:val="5EA2502E"/>
    <w:rsid w:val="5EA467FA"/>
    <w:rsid w:val="5EB027A5"/>
    <w:rsid w:val="5EC40C4A"/>
    <w:rsid w:val="5ECE5F09"/>
    <w:rsid w:val="5EF3424E"/>
    <w:rsid w:val="5EF65BE6"/>
    <w:rsid w:val="5F520416"/>
    <w:rsid w:val="5F636D4B"/>
    <w:rsid w:val="5F663E96"/>
    <w:rsid w:val="5FF75A67"/>
    <w:rsid w:val="609A0319"/>
    <w:rsid w:val="609B7413"/>
    <w:rsid w:val="60A43501"/>
    <w:rsid w:val="60EB57EC"/>
    <w:rsid w:val="610E4EF3"/>
    <w:rsid w:val="61342421"/>
    <w:rsid w:val="614D13CA"/>
    <w:rsid w:val="618741B1"/>
    <w:rsid w:val="619B4865"/>
    <w:rsid w:val="623931DF"/>
    <w:rsid w:val="62803AAB"/>
    <w:rsid w:val="62BD60DC"/>
    <w:rsid w:val="62C21944"/>
    <w:rsid w:val="62FA2958"/>
    <w:rsid w:val="63647DB9"/>
    <w:rsid w:val="637C576C"/>
    <w:rsid w:val="639A23F6"/>
    <w:rsid w:val="63BC5735"/>
    <w:rsid w:val="640259CE"/>
    <w:rsid w:val="642D57E6"/>
    <w:rsid w:val="64617F46"/>
    <w:rsid w:val="646802C9"/>
    <w:rsid w:val="65362C76"/>
    <w:rsid w:val="65DF45BB"/>
    <w:rsid w:val="65F94CB9"/>
    <w:rsid w:val="661A28ED"/>
    <w:rsid w:val="675454F2"/>
    <w:rsid w:val="67784CC7"/>
    <w:rsid w:val="67B71265"/>
    <w:rsid w:val="67CA0752"/>
    <w:rsid w:val="688356D2"/>
    <w:rsid w:val="688A2E32"/>
    <w:rsid w:val="68BE670A"/>
    <w:rsid w:val="6993314E"/>
    <w:rsid w:val="69F720E4"/>
    <w:rsid w:val="6A1D427B"/>
    <w:rsid w:val="6A442FBD"/>
    <w:rsid w:val="6A590DE0"/>
    <w:rsid w:val="6AE30D66"/>
    <w:rsid w:val="6AF0C173"/>
    <w:rsid w:val="6BFF74D5"/>
    <w:rsid w:val="6C0A7EB8"/>
    <w:rsid w:val="6C252800"/>
    <w:rsid w:val="6CC84C24"/>
    <w:rsid w:val="6CE33A91"/>
    <w:rsid w:val="6D31535F"/>
    <w:rsid w:val="6D42284E"/>
    <w:rsid w:val="6D437DF9"/>
    <w:rsid w:val="6D4A2C62"/>
    <w:rsid w:val="6D524684"/>
    <w:rsid w:val="6D594C53"/>
    <w:rsid w:val="6D831FD3"/>
    <w:rsid w:val="6D8C1501"/>
    <w:rsid w:val="6E0077C5"/>
    <w:rsid w:val="6E3E660A"/>
    <w:rsid w:val="6E5D1A99"/>
    <w:rsid w:val="6E5F0718"/>
    <w:rsid w:val="6E9A19C7"/>
    <w:rsid w:val="6F7B7AD6"/>
    <w:rsid w:val="6F92352B"/>
    <w:rsid w:val="6FC1378E"/>
    <w:rsid w:val="70230478"/>
    <w:rsid w:val="702E5BFE"/>
    <w:rsid w:val="704065EA"/>
    <w:rsid w:val="70832C98"/>
    <w:rsid w:val="709A3939"/>
    <w:rsid w:val="71117BB3"/>
    <w:rsid w:val="712B0162"/>
    <w:rsid w:val="71352AEB"/>
    <w:rsid w:val="713D0D36"/>
    <w:rsid w:val="723A078F"/>
    <w:rsid w:val="72414D65"/>
    <w:rsid w:val="72707695"/>
    <w:rsid w:val="738417E2"/>
    <w:rsid w:val="73BB3104"/>
    <w:rsid w:val="74C22D11"/>
    <w:rsid w:val="75104AF8"/>
    <w:rsid w:val="75371AAF"/>
    <w:rsid w:val="75E90F54"/>
    <w:rsid w:val="75EE2704"/>
    <w:rsid w:val="769211D6"/>
    <w:rsid w:val="76D014C1"/>
    <w:rsid w:val="76E05FD5"/>
    <w:rsid w:val="76EB228A"/>
    <w:rsid w:val="772938E8"/>
    <w:rsid w:val="77631423"/>
    <w:rsid w:val="777504D5"/>
    <w:rsid w:val="77790C26"/>
    <w:rsid w:val="778710F1"/>
    <w:rsid w:val="78060FB9"/>
    <w:rsid w:val="786901AF"/>
    <w:rsid w:val="786B3742"/>
    <w:rsid w:val="78AC16A3"/>
    <w:rsid w:val="791C36F8"/>
    <w:rsid w:val="79865DC4"/>
    <w:rsid w:val="798C015E"/>
    <w:rsid w:val="79AB7861"/>
    <w:rsid w:val="79D44C66"/>
    <w:rsid w:val="79D758B7"/>
    <w:rsid w:val="7A2B5BC9"/>
    <w:rsid w:val="7B043151"/>
    <w:rsid w:val="7B5223D7"/>
    <w:rsid w:val="7B58479C"/>
    <w:rsid w:val="7BBD7DA4"/>
    <w:rsid w:val="7BC10593"/>
    <w:rsid w:val="7BD77EDE"/>
    <w:rsid w:val="7BDD2EF3"/>
    <w:rsid w:val="7BE226C3"/>
    <w:rsid w:val="7BEC3F2B"/>
    <w:rsid w:val="7BF902DE"/>
    <w:rsid w:val="7C31086D"/>
    <w:rsid w:val="7C394457"/>
    <w:rsid w:val="7C4D48D2"/>
    <w:rsid w:val="7C4E2AAA"/>
    <w:rsid w:val="7CD44B80"/>
    <w:rsid w:val="7CFC1341"/>
    <w:rsid w:val="7D1164E3"/>
    <w:rsid w:val="7D2A758A"/>
    <w:rsid w:val="7D4B685C"/>
    <w:rsid w:val="7D6F2271"/>
    <w:rsid w:val="7DBC1B5A"/>
    <w:rsid w:val="7DF4058D"/>
    <w:rsid w:val="7DF5646B"/>
    <w:rsid w:val="7DFC3DAC"/>
    <w:rsid w:val="7E793D4A"/>
    <w:rsid w:val="7F403EC5"/>
    <w:rsid w:val="7F7944DE"/>
    <w:rsid w:val="7F995ACE"/>
    <w:rsid w:val="7FB90F35"/>
    <w:rsid w:val="BD7D31A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9"/>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link w:val="14"/>
    <w:qFormat/>
    <w:uiPriority w:val="0"/>
    <w:rPr>
      <w:rFonts w:eastAsia="宋体"/>
      <w:sz w:val="21"/>
      <w:szCs w:val="20"/>
    </w:rPr>
  </w:style>
  <w:style w:type="table" w:default="1" w:styleId="12">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spacing w:after="120"/>
    </w:pPr>
  </w:style>
  <w:style w:type="paragraph" w:styleId="6">
    <w:name w:val="Body Text Indent"/>
    <w:basedOn w:val="1"/>
    <w:next w:val="7"/>
    <w:qFormat/>
    <w:uiPriority w:val="0"/>
    <w:pPr>
      <w:widowControl/>
      <w:spacing w:after="120"/>
      <w:ind w:left="420" w:leftChars="200"/>
      <w:jc w:val="left"/>
    </w:pPr>
    <w:rPr>
      <w:rFonts w:ascii="宋体" w:hAnsi="宋体" w:eastAsia="宋体" w:cs="宋体"/>
      <w:kern w:val="0"/>
      <w:sz w:val="24"/>
    </w:rPr>
  </w:style>
  <w:style w:type="paragraph" w:styleId="7">
    <w:name w:val="Body Text First Indent 2"/>
    <w:basedOn w:val="6"/>
    <w:next w:val="1"/>
    <w:qFormat/>
    <w:uiPriority w:val="0"/>
    <w:pPr>
      <w:ind w:firstLine="420" w:firstLineChars="200"/>
    </w:pPr>
  </w:style>
  <w:style w:type="paragraph" w:styleId="8">
    <w:name w:val="Balloon Text"/>
    <w:basedOn w:val="1"/>
    <w:link w:val="16"/>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1">
    <w:name w:val="footnote text"/>
    <w:basedOn w:val="1"/>
    <w:next w:val="7"/>
    <w:qFormat/>
    <w:uiPriority w:val="0"/>
    <w:pPr>
      <w:snapToGrid w:val="0"/>
      <w:jc w:val="left"/>
    </w:pPr>
    <w:rPr>
      <w:sz w:val="18"/>
      <w:szCs w:val="18"/>
    </w:rPr>
  </w:style>
  <w:style w:type="paragraph" w:customStyle="1" w:styleId="14">
    <w:name w:val=" Char"/>
    <w:basedOn w:val="1"/>
    <w:link w:val="13"/>
    <w:qFormat/>
    <w:uiPriority w:val="0"/>
    <w:pPr>
      <w:widowControl/>
      <w:spacing w:after="160" w:line="240" w:lineRule="exact"/>
      <w:jc w:val="left"/>
    </w:pPr>
    <w:rPr>
      <w:rFonts w:eastAsia="宋体"/>
      <w:sz w:val="21"/>
      <w:szCs w:val="20"/>
    </w:rPr>
  </w:style>
  <w:style w:type="character" w:styleId="15">
    <w:name w:val="page number"/>
    <w:basedOn w:val="13"/>
    <w:qFormat/>
    <w:uiPriority w:val="0"/>
  </w:style>
  <w:style w:type="character" w:customStyle="1" w:styleId="16">
    <w:name w:val="批注框文本 字符"/>
    <w:link w:val="8"/>
    <w:qFormat/>
    <w:uiPriority w:val="0"/>
    <w:rPr>
      <w:rFonts w:eastAsia="宋体"/>
      <w:kern w:val="2"/>
      <w:sz w:val="18"/>
      <w:szCs w:val="18"/>
    </w:rPr>
  </w:style>
  <w:style w:type="character" w:customStyle="1" w:styleId="17">
    <w:name w:val="页码 New New New New New New"/>
    <w:basedOn w:val="13"/>
    <w:qFormat/>
    <w:uiPriority w:val="0"/>
  </w:style>
  <w:style w:type="character" w:customStyle="1" w:styleId="18">
    <w:name w:val="页码 New New"/>
    <w:basedOn w:val="13"/>
    <w:qFormat/>
    <w:uiPriority w:val="0"/>
  </w:style>
  <w:style w:type="character" w:customStyle="1" w:styleId="19">
    <w:name w:val="font41"/>
    <w:qFormat/>
    <w:uiPriority w:val="0"/>
    <w:rPr>
      <w:rFonts w:hint="eastAsia" w:ascii="宋体" w:hAnsi="宋体" w:eastAsia="宋体" w:cs="宋体"/>
      <w:color w:val="000000"/>
      <w:sz w:val="20"/>
      <w:szCs w:val="20"/>
      <w:u w:val="none"/>
    </w:rPr>
  </w:style>
  <w:style w:type="character" w:customStyle="1" w:styleId="20">
    <w:name w:val="页码 New"/>
    <w:basedOn w:val="13"/>
    <w:qFormat/>
    <w:uiPriority w:val="0"/>
  </w:style>
  <w:style w:type="character" w:customStyle="1" w:styleId="21">
    <w:name w:val="页码 New New New"/>
    <w:basedOn w:val="13"/>
    <w:qFormat/>
    <w:uiPriority w:val="0"/>
  </w:style>
  <w:style w:type="character" w:customStyle="1" w:styleId="22">
    <w:name w:val="页码 New New New New"/>
    <w:basedOn w:val="13"/>
    <w:qFormat/>
    <w:uiPriority w:val="0"/>
  </w:style>
  <w:style w:type="character" w:customStyle="1" w:styleId="23">
    <w:name w:val="页码 New New New New New"/>
    <w:basedOn w:val="13"/>
    <w:qFormat/>
    <w:uiPriority w:val="0"/>
  </w:style>
  <w:style w:type="paragraph" w:customStyle="1" w:styleId="24">
    <w:name w:val="页眉 New New New New New New New New New New"/>
    <w:basedOn w:val="25"/>
    <w:qFormat/>
    <w:uiPriority w:val="0"/>
    <w:pPr>
      <w:pBdr>
        <w:bottom w:val="single" w:color="auto" w:sz="6" w:space="1"/>
      </w:pBdr>
      <w:tabs>
        <w:tab w:val="center" w:pos="4153"/>
        <w:tab w:val="right" w:pos="8306"/>
      </w:tabs>
      <w:snapToGrid w:val="0"/>
      <w:jc w:val="center"/>
    </w:pPr>
    <w:rPr>
      <w:sz w:val="18"/>
      <w:szCs w:val="18"/>
    </w:rPr>
  </w:style>
  <w:style w:type="paragraph" w:customStyle="1" w:styleId="25">
    <w:name w:val="正文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6">
    <w:name w:val="正文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7">
    <w:name w:val="正文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8">
    <w:name w:val="正文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29">
    <w:name w:val="正文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0">
    <w:name w:val="正文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31">
    <w:name w:val="页眉 New New New New New New New New New New New New New New New New New New"/>
    <w:basedOn w:val="32"/>
    <w:qFormat/>
    <w:uiPriority w:val="0"/>
    <w:pPr>
      <w:pBdr>
        <w:bottom w:val="single" w:color="auto" w:sz="6" w:space="1"/>
      </w:pBdr>
      <w:tabs>
        <w:tab w:val="center" w:pos="4153"/>
        <w:tab w:val="right" w:pos="8306"/>
      </w:tabs>
      <w:snapToGrid w:val="0"/>
      <w:jc w:val="center"/>
    </w:pPr>
    <w:rPr>
      <w:sz w:val="18"/>
      <w:szCs w:val="18"/>
    </w:rPr>
  </w:style>
  <w:style w:type="paragraph" w:customStyle="1" w:styleId="32">
    <w:name w:val="正文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3">
    <w:name w:val="页脚 New New New New New New New New New New"/>
    <w:basedOn w:val="25"/>
    <w:qFormat/>
    <w:uiPriority w:val="0"/>
    <w:pPr>
      <w:tabs>
        <w:tab w:val="center" w:pos="4153"/>
        <w:tab w:val="right" w:pos="8306"/>
      </w:tabs>
      <w:snapToGrid w:val="0"/>
      <w:jc w:val="left"/>
    </w:pPr>
    <w:rPr>
      <w:sz w:val="18"/>
      <w:szCs w:val="18"/>
    </w:rPr>
  </w:style>
  <w:style w:type="paragraph" w:customStyle="1" w:styleId="34">
    <w:name w:val="页脚 New New New New New New"/>
    <w:basedOn w:val="35"/>
    <w:qFormat/>
    <w:uiPriority w:val="0"/>
    <w:pPr>
      <w:tabs>
        <w:tab w:val="center" w:pos="4153"/>
        <w:tab w:val="right" w:pos="8306"/>
      </w:tabs>
      <w:snapToGrid w:val="0"/>
      <w:jc w:val="left"/>
    </w:pPr>
    <w:rPr>
      <w:sz w:val="18"/>
      <w:szCs w:val="18"/>
    </w:rPr>
  </w:style>
  <w:style w:type="paragraph" w:customStyle="1" w:styleId="35">
    <w:name w:val="正文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6">
    <w:name w:val="正文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7">
    <w:name w:val="正文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38">
    <w:name w:val="正文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9">
    <w:name w:val="页脚 New New New New"/>
    <w:basedOn w:val="30"/>
    <w:qFormat/>
    <w:uiPriority w:val="0"/>
    <w:pPr>
      <w:tabs>
        <w:tab w:val="center" w:pos="4153"/>
        <w:tab w:val="right" w:pos="8306"/>
      </w:tabs>
      <w:snapToGrid w:val="0"/>
      <w:jc w:val="left"/>
    </w:pPr>
    <w:rPr>
      <w:rFonts w:eastAsia="仿宋_GB2312"/>
      <w:kern w:val="2"/>
      <w:sz w:val="18"/>
    </w:rPr>
  </w:style>
  <w:style w:type="paragraph" w:customStyle="1" w:styleId="40">
    <w:name w:val="页眉 New New New"/>
    <w:basedOn w:val="28"/>
    <w:qFormat/>
    <w:uiPriority w:val="0"/>
    <w:pPr>
      <w:pBdr>
        <w:bottom w:val="single" w:color="auto" w:sz="6" w:space="1"/>
      </w:pBdr>
      <w:tabs>
        <w:tab w:val="center" w:pos="4153"/>
        <w:tab w:val="right" w:pos="8306"/>
      </w:tabs>
      <w:snapToGrid w:val="0"/>
      <w:jc w:val="center"/>
    </w:pPr>
    <w:rPr>
      <w:sz w:val="18"/>
      <w:szCs w:val="18"/>
    </w:rPr>
  </w:style>
  <w:style w:type="paragraph" w:customStyle="1" w:styleId="41">
    <w:name w:val="页眉 New"/>
    <w:basedOn w:val="37"/>
    <w:qFormat/>
    <w:uiPriority w:val="0"/>
    <w:pPr>
      <w:pBdr>
        <w:bottom w:val="single" w:color="auto" w:sz="6" w:space="1"/>
      </w:pBdr>
      <w:tabs>
        <w:tab w:val="center" w:pos="4153"/>
        <w:tab w:val="right" w:pos="8306"/>
      </w:tabs>
      <w:snapToGrid w:val="0"/>
      <w:jc w:val="center"/>
    </w:pPr>
    <w:rPr>
      <w:sz w:val="18"/>
      <w:szCs w:val="18"/>
    </w:rPr>
  </w:style>
  <w:style w:type="paragraph" w:customStyle="1" w:styleId="42">
    <w:name w:val="正文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3">
    <w:name w:val="页眉 New New New New New New New New New New New New New New New"/>
    <w:basedOn w:val="27"/>
    <w:qFormat/>
    <w:uiPriority w:val="0"/>
    <w:pPr>
      <w:pBdr>
        <w:bottom w:val="single" w:color="auto" w:sz="6" w:space="1"/>
      </w:pBdr>
      <w:tabs>
        <w:tab w:val="center" w:pos="4153"/>
        <w:tab w:val="right" w:pos="8306"/>
      </w:tabs>
      <w:snapToGrid w:val="0"/>
      <w:jc w:val="center"/>
    </w:pPr>
    <w:rPr>
      <w:sz w:val="18"/>
      <w:szCs w:val="18"/>
    </w:rPr>
  </w:style>
  <w:style w:type="paragraph" w:customStyle="1" w:styleId="44">
    <w:name w:val="正文 New New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5">
    <w:name w:val="正文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6">
    <w:name w:val="正文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7">
    <w:name w:val="页脚 New New New New New New New New New New New New New New New New New New New New New New New"/>
    <w:basedOn w:val="42"/>
    <w:qFormat/>
    <w:uiPriority w:val="0"/>
    <w:pPr>
      <w:tabs>
        <w:tab w:val="center" w:pos="4153"/>
        <w:tab w:val="right" w:pos="8306"/>
      </w:tabs>
      <w:snapToGrid w:val="0"/>
      <w:jc w:val="left"/>
    </w:pPr>
    <w:rPr>
      <w:sz w:val="18"/>
      <w:szCs w:val="18"/>
    </w:rPr>
  </w:style>
  <w:style w:type="paragraph" w:customStyle="1" w:styleId="48">
    <w:name w:val="页脚 New New New New New New New New New"/>
    <w:basedOn w:val="49"/>
    <w:qFormat/>
    <w:uiPriority w:val="0"/>
    <w:pPr>
      <w:tabs>
        <w:tab w:val="center" w:pos="4153"/>
        <w:tab w:val="right" w:pos="8306"/>
      </w:tabs>
      <w:snapToGrid w:val="0"/>
      <w:jc w:val="left"/>
    </w:pPr>
    <w:rPr>
      <w:sz w:val="18"/>
      <w:szCs w:val="18"/>
    </w:rPr>
  </w:style>
  <w:style w:type="paragraph" w:customStyle="1" w:styleId="49">
    <w:name w:val="正文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0">
    <w:name w:val="页脚 New New New New New New New New New New New New New New New New New New New New New New New New"/>
    <w:basedOn w:val="51"/>
    <w:qFormat/>
    <w:uiPriority w:val="0"/>
    <w:pPr>
      <w:tabs>
        <w:tab w:val="center" w:pos="4153"/>
        <w:tab w:val="right" w:pos="8306"/>
      </w:tabs>
      <w:snapToGrid w:val="0"/>
      <w:jc w:val="left"/>
    </w:pPr>
    <w:rPr>
      <w:sz w:val="18"/>
      <w:szCs w:val="18"/>
    </w:rPr>
  </w:style>
  <w:style w:type="paragraph" w:customStyle="1" w:styleId="51">
    <w:name w:val="正文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2">
    <w:name w:val="正文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3">
    <w:name w:val="页脚 New New New New New New New New New New New New"/>
    <w:basedOn w:val="38"/>
    <w:qFormat/>
    <w:uiPriority w:val="0"/>
    <w:pPr>
      <w:tabs>
        <w:tab w:val="center" w:pos="4153"/>
        <w:tab w:val="right" w:pos="8306"/>
      </w:tabs>
      <w:snapToGrid w:val="0"/>
      <w:jc w:val="left"/>
    </w:pPr>
    <w:rPr>
      <w:sz w:val="18"/>
      <w:szCs w:val="18"/>
    </w:rPr>
  </w:style>
  <w:style w:type="paragraph" w:customStyle="1" w:styleId="54">
    <w:name w:val="页眉 New New New New New New New New New New New New New New New New New New New New New New New New"/>
    <w:basedOn w:val="51"/>
    <w:qFormat/>
    <w:uiPriority w:val="0"/>
    <w:pPr>
      <w:pBdr>
        <w:bottom w:val="single" w:color="auto" w:sz="6" w:space="1"/>
      </w:pBdr>
      <w:tabs>
        <w:tab w:val="center" w:pos="4153"/>
        <w:tab w:val="right" w:pos="8306"/>
      </w:tabs>
      <w:snapToGrid w:val="0"/>
      <w:jc w:val="center"/>
    </w:pPr>
    <w:rPr>
      <w:sz w:val="18"/>
      <w:szCs w:val="18"/>
    </w:rPr>
  </w:style>
  <w:style w:type="paragraph" w:customStyle="1" w:styleId="55">
    <w:name w:val="页脚 New New New New New New New New New New New New New New New New New New New New New New New New New New"/>
    <w:basedOn w:val="44"/>
    <w:qFormat/>
    <w:uiPriority w:val="0"/>
    <w:pPr>
      <w:tabs>
        <w:tab w:val="center" w:pos="4153"/>
        <w:tab w:val="right" w:pos="8306"/>
      </w:tabs>
      <w:snapToGrid w:val="0"/>
      <w:jc w:val="left"/>
    </w:pPr>
    <w:rPr>
      <w:sz w:val="18"/>
      <w:szCs w:val="18"/>
    </w:rPr>
  </w:style>
  <w:style w:type="paragraph" w:customStyle="1" w:styleId="56">
    <w:name w:val="页脚 New New New New New New New New New New New New New New New New New New"/>
    <w:basedOn w:val="32"/>
    <w:qFormat/>
    <w:uiPriority w:val="0"/>
    <w:pPr>
      <w:tabs>
        <w:tab w:val="center" w:pos="4153"/>
        <w:tab w:val="right" w:pos="8306"/>
      </w:tabs>
      <w:snapToGrid w:val="0"/>
      <w:jc w:val="left"/>
    </w:pPr>
    <w:rPr>
      <w:sz w:val="18"/>
      <w:szCs w:val="18"/>
    </w:rPr>
  </w:style>
  <w:style w:type="paragraph" w:customStyle="1" w:styleId="57">
    <w:name w:val="页眉 New New New New New New New New"/>
    <w:basedOn w:val="58"/>
    <w:qFormat/>
    <w:uiPriority w:val="0"/>
    <w:pPr>
      <w:pBdr>
        <w:bottom w:val="single" w:color="auto" w:sz="6" w:space="1"/>
      </w:pBdr>
      <w:tabs>
        <w:tab w:val="center" w:pos="4153"/>
        <w:tab w:val="right" w:pos="8306"/>
      </w:tabs>
      <w:snapToGrid w:val="0"/>
      <w:jc w:val="center"/>
    </w:pPr>
    <w:rPr>
      <w:sz w:val="18"/>
      <w:szCs w:val="18"/>
    </w:rPr>
  </w:style>
  <w:style w:type="paragraph" w:customStyle="1" w:styleId="58">
    <w:name w:val="正文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9">
    <w:name w:val="页眉 New New New New New New New New New New New New New New New New New New New New"/>
    <w:basedOn w:val="60"/>
    <w:qFormat/>
    <w:uiPriority w:val="0"/>
    <w:pPr>
      <w:pBdr>
        <w:bottom w:val="single" w:color="auto" w:sz="6" w:space="1"/>
      </w:pBdr>
      <w:tabs>
        <w:tab w:val="center" w:pos="4153"/>
        <w:tab w:val="right" w:pos="8306"/>
      </w:tabs>
      <w:snapToGrid w:val="0"/>
      <w:jc w:val="center"/>
    </w:pPr>
    <w:rPr>
      <w:sz w:val="18"/>
      <w:szCs w:val="18"/>
    </w:rPr>
  </w:style>
  <w:style w:type="paragraph" w:customStyle="1" w:styleId="60">
    <w:name w:val="正文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1">
    <w:name w:val="页脚 New New New New New New New New New New New New New New New New"/>
    <w:basedOn w:val="29"/>
    <w:qFormat/>
    <w:uiPriority w:val="0"/>
    <w:pPr>
      <w:tabs>
        <w:tab w:val="center" w:pos="4153"/>
        <w:tab w:val="right" w:pos="8306"/>
      </w:tabs>
      <w:snapToGrid w:val="0"/>
      <w:jc w:val="left"/>
    </w:pPr>
    <w:rPr>
      <w:sz w:val="18"/>
      <w:szCs w:val="18"/>
    </w:rPr>
  </w:style>
  <w:style w:type="paragraph" w:customStyle="1" w:styleId="62">
    <w:name w:val="正文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63">
    <w:name w:val="页脚 New New New New New New New New New New New New New New New New New New New New New New"/>
    <w:basedOn w:val="36"/>
    <w:qFormat/>
    <w:uiPriority w:val="0"/>
    <w:pPr>
      <w:tabs>
        <w:tab w:val="center" w:pos="4153"/>
        <w:tab w:val="right" w:pos="8306"/>
      </w:tabs>
      <w:snapToGrid w:val="0"/>
      <w:jc w:val="left"/>
    </w:pPr>
    <w:rPr>
      <w:sz w:val="18"/>
      <w:szCs w:val="18"/>
    </w:rPr>
  </w:style>
  <w:style w:type="paragraph" w:customStyle="1" w:styleId="64">
    <w:name w:val="页脚 New New New New New"/>
    <w:basedOn w:val="45"/>
    <w:qFormat/>
    <w:uiPriority w:val="0"/>
    <w:pPr>
      <w:tabs>
        <w:tab w:val="center" w:pos="4153"/>
        <w:tab w:val="right" w:pos="8306"/>
      </w:tabs>
      <w:snapToGrid w:val="0"/>
      <w:jc w:val="left"/>
    </w:pPr>
    <w:rPr>
      <w:sz w:val="18"/>
      <w:szCs w:val="18"/>
    </w:rPr>
  </w:style>
  <w:style w:type="paragraph" w:customStyle="1" w:styleId="65">
    <w:name w:val="页脚 New New New New New New New New New New New New New New New New New New New New New"/>
    <w:basedOn w:val="26"/>
    <w:qFormat/>
    <w:uiPriority w:val="0"/>
    <w:pPr>
      <w:tabs>
        <w:tab w:val="center" w:pos="4153"/>
        <w:tab w:val="right" w:pos="8306"/>
      </w:tabs>
      <w:snapToGrid w:val="0"/>
      <w:jc w:val="left"/>
    </w:pPr>
    <w:rPr>
      <w:sz w:val="18"/>
      <w:szCs w:val="18"/>
    </w:rPr>
  </w:style>
  <w:style w:type="paragraph" w:customStyle="1" w:styleId="66">
    <w:name w:val="页眉 New New New New New New New New New New New New New"/>
    <w:basedOn w:val="52"/>
    <w:qFormat/>
    <w:uiPriority w:val="0"/>
    <w:pPr>
      <w:pBdr>
        <w:bottom w:val="single" w:color="auto" w:sz="6" w:space="1"/>
      </w:pBdr>
      <w:tabs>
        <w:tab w:val="center" w:pos="4153"/>
        <w:tab w:val="right" w:pos="8306"/>
      </w:tabs>
      <w:snapToGrid w:val="0"/>
      <w:jc w:val="center"/>
    </w:pPr>
    <w:rPr>
      <w:sz w:val="18"/>
      <w:szCs w:val="18"/>
    </w:rPr>
  </w:style>
  <w:style w:type="paragraph" w:customStyle="1" w:styleId="67">
    <w:name w:val="页眉 New New New New New New New New New New New New New New New New"/>
    <w:basedOn w:val="29"/>
    <w:qFormat/>
    <w:uiPriority w:val="0"/>
    <w:pPr>
      <w:pBdr>
        <w:bottom w:val="single" w:color="auto" w:sz="6" w:space="1"/>
      </w:pBdr>
      <w:tabs>
        <w:tab w:val="center" w:pos="4153"/>
        <w:tab w:val="right" w:pos="8306"/>
      </w:tabs>
      <w:snapToGrid w:val="0"/>
      <w:jc w:val="center"/>
    </w:pPr>
    <w:rPr>
      <w:sz w:val="18"/>
      <w:szCs w:val="18"/>
    </w:rPr>
  </w:style>
  <w:style w:type="paragraph" w:customStyle="1" w:styleId="68">
    <w:name w:val="p0"/>
    <w:basedOn w:val="30"/>
    <w:qFormat/>
    <w:uiPriority w:val="0"/>
    <w:pPr>
      <w:widowControl/>
    </w:pPr>
    <w:rPr>
      <w:rFonts w:eastAsia="宋体"/>
      <w:kern w:val="0"/>
      <w:szCs w:val="32"/>
    </w:rPr>
  </w:style>
  <w:style w:type="paragraph" w:customStyle="1" w:styleId="69">
    <w:name w:val="正文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70">
    <w:name w:val="正文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71">
    <w:name w:val="页眉 New New New New New New New New New New New New New New New New New New New New New New New"/>
    <w:basedOn w:val="42"/>
    <w:qFormat/>
    <w:uiPriority w:val="0"/>
    <w:pPr>
      <w:pBdr>
        <w:bottom w:val="single" w:color="auto" w:sz="6" w:space="1"/>
      </w:pBdr>
      <w:tabs>
        <w:tab w:val="center" w:pos="4153"/>
        <w:tab w:val="right" w:pos="8306"/>
      </w:tabs>
      <w:snapToGrid w:val="0"/>
      <w:jc w:val="center"/>
    </w:pPr>
    <w:rPr>
      <w:sz w:val="18"/>
      <w:szCs w:val="18"/>
    </w:rPr>
  </w:style>
  <w:style w:type="paragraph" w:customStyle="1" w:styleId="72">
    <w:name w:val="页眉 New New New New New New New New New New New New New New New New New New New New New New New New New New"/>
    <w:basedOn w:val="44"/>
    <w:qFormat/>
    <w:uiPriority w:val="0"/>
    <w:pPr>
      <w:pBdr>
        <w:bottom w:val="single" w:color="auto" w:sz="6" w:space="1"/>
      </w:pBdr>
      <w:tabs>
        <w:tab w:val="center" w:pos="4153"/>
        <w:tab w:val="right" w:pos="8306"/>
      </w:tabs>
      <w:snapToGrid w:val="0"/>
      <w:jc w:val="center"/>
    </w:pPr>
    <w:rPr>
      <w:sz w:val="18"/>
      <w:szCs w:val="18"/>
    </w:rPr>
  </w:style>
  <w:style w:type="paragraph" w:customStyle="1" w:styleId="73">
    <w:name w:val="页眉 New New New New New New New New New New New New"/>
    <w:basedOn w:val="38"/>
    <w:qFormat/>
    <w:uiPriority w:val="0"/>
    <w:pPr>
      <w:pBdr>
        <w:bottom w:val="single" w:color="auto" w:sz="6" w:space="1"/>
      </w:pBdr>
      <w:tabs>
        <w:tab w:val="center" w:pos="4153"/>
        <w:tab w:val="right" w:pos="8306"/>
      </w:tabs>
      <w:snapToGrid w:val="0"/>
      <w:jc w:val="center"/>
    </w:pPr>
    <w:rPr>
      <w:sz w:val="18"/>
      <w:szCs w:val="18"/>
    </w:rPr>
  </w:style>
  <w:style w:type="paragraph" w:customStyle="1" w:styleId="74">
    <w:name w:val="页脚 New New New New New New New New"/>
    <w:basedOn w:val="58"/>
    <w:qFormat/>
    <w:uiPriority w:val="0"/>
    <w:pPr>
      <w:tabs>
        <w:tab w:val="center" w:pos="4153"/>
        <w:tab w:val="right" w:pos="8306"/>
      </w:tabs>
      <w:snapToGrid w:val="0"/>
      <w:jc w:val="left"/>
    </w:pPr>
    <w:rPr>
      <w:sz w:val="18"/>
      <w:szCs w:val="18"/>
    </w:rPr>
  </w:style>
  <w:style w:type="paragraph" w:customStyle="1" w:styleId="75">
    <w:name w:val="页眉 New New New New New New New New New"/>
    <w:basedOn w:val="49"/>
    <w:qFormat/>
    <w:uiPriority w:val="0"/>
    <w:pPr>
      <w:pBdr>
        <w:bottom w:val="single" w:color="auto" w:sz="6" w:space="1"/>
      </w:pBdr>
      <w:tabs>
        <w:tab w:val="center" w:pos="4153"/>
        <w:tab w:val="right" w:pos="8306"/>
      </w:tabs>
      <w:snapToGrid w:val="0"/>
      <w:jc w:val="center"/>
    </w:pPr>
    <w:rPr>
      <w:sz w:val="18"/>
      <w:szCs w:val="18"/>
    </w:rPr>
  </w:style>
  <w:style w:type="paragraph" w:customStyle="1" w:styleId="76">
    <w:name w:val="页眉 New New New New"/>
    <w:basedOn w:val="30"/>
    <w:qFormat/>
    <w:uiPriority w:val="0"/>
    <w:pPr>
      <w:pBdr>
        <w:bottom w:val="single" w:color="auto" w:sz="6" w:space="1"/>
      </w:pBdr>
      <w:tabs>
        <w:tab w:val="center" w:pos="4153"/>
        <w:tab w:val="right" w:pos="8306"/>
      </w:tabs>
      <w:snapToGrid w:val="0"/>
      <w:jc w:val="center"/>
    </w:pPr>
    <w:rPr>
      <w:sz w:val="18"/>
      <w:szCs w:val="18"/>
    </w:rPr>
  </w:style>
  <w:style w:type="paragraph" w:customStyle="1" w:styleId="77">
    <w:name w:val="页眉 New New New New New New New"/>
    <w:basedOn w:val="70"/>
    <w:qFormat/>
    <w:uiPriority w:val="0"/>
    <w:pPr>
      <w:pBdr>
        <w:bottom w:val="single" w:color="auto" w:sz="6" w:space="1"/>
      </w:pBdr>
      <w:tabs>
        <w:tab w:val="center" w:pos="4153"/>
        <w:tab w:val="right" w:pos="8306"/>
      </w:tabs>
      <w:snapToGrid w:val="0"/>
      <w:jc w:val="center"/>
    </w:pPr>
    <w:rPr>
      <w:sz w:val="18"/>
      <w:szCs w:val="18"/>
    </w:rPr>
  </w:style>
  <w:style w:type="paragraph" w:customStyle="1" w:styleId="78">
    <w:name w:val="页眉 New New New New New"/>
    <w:basedOn w:val="45"/>
    <w:qFormat/>
    <w:uiPriority w:val="0"/>
    <w:pPr>
      <w:pBdr>
        <w:bottom w:val="single" w:color="auto" w:sz="6" w:space="1"/>
      </w:pBdr>
      <w:tabs>
        <w:tab w:val="center" w:pos="4153"/>
        <w:tab w:val="right" w:pos="8306"/>
      </w:tabs>
      <w:snapToGrid w:val="0"/>
      <w:jc w:val="center"/>
    </w:pPr>
    <w:rPr>
      <w:sz w:val="18"/>
      <w:szCs w:val="18"/>
    </w:rPr>
  </w:style>
  <w:style w:type="paragraph" w:customStyle="1" w:styleId="79">
    <w:name w:val="页眉 New New New New New New New New New New New New New New New New New"/>
    <w:basedOn w:val="69"/>
    <w:qFormat/>
    <w:uiPriority w:val="0"/>
    <w:pPr>
      <w:pBdr>
        <w:bottom w:val="single" w:color="auto" w:sz="6" w:space="1"/>
      </w:pBdr>
      <w:tabs>
        <w:tab w:val="center" w:pos="4153"/>
        <w:tab w:val="right" w:pos="8306"/>
      </w:tabs>
      <w:snapToGrid w:val="0"/>
      <w:jc w:val="center"/>
    </w:pPr>
    <w:rPr>
      <w:sz w:val="18"/>
      <w:szCs w:val="18"/>
    </w:rPr>
  </w:style>
  <w:style w:type="paragraph" w:customStyle="1" w:styleId="80">
    <w:name w:val="页脚 New New New New New New New New New New New New New New New New New"/>
    <w:basedOn w:val="69"/>
    <w:qFormat/>
    <w:uiPriority w:val="0"/>
    <w:pPr>
      <w:tabs>
        <w:tab w:val="center" w:pos="4153"/>
        <w:tab w:val="right" w:pos="8306"/>
      </w:tabs>
      <w:snapToGrid w:val="0"/>
      <w:jc w:val="left"/>
    </w:pPr>
    <w:rPr>
      <w:sz w:val="18"/>
      <w:szCs w:val="18"/>
    </w:rPr>
  </w:style>
  <w:style w:type="paragraph" w:customStyle="1" w:styleId="81">
    <w:name w:val="页脚 New New New New New New New New New New New New New New"/>
    <w:basedOn w:val="82"/>
    <w:qFormat/>
    <w:uiPriority w:val="0"/>
    <w:pPr>
      <w:tabs>
        <w:tab w:val="center" w:pos="4153"/>
        <w:tab w:val="right" w:pos="8306"/>
      </w:tabs>
      <w:snapToGrid w:val="0"/>
      <w:jc w:val="left"/>
    </w:pPr>
    <w:rPr>
      <w:rFonts w:eastAsia="仿宋_GB2312"/>
      <w:kern w:val="2"/>
      <w:sz w:val="18"/>
    </w:rPr>
  </w:style>
  <w:style w:type="paragraph" w:customStyle="1" w:styleId="82">
    <w:name w:val="正文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83">
    <w:name w:val="正文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84">
    <w:name w:val="页眉 New New New New New New New New New New New New New New New New New New New New New"/>
    <w:basedOn w:val="26"/>
    <w:qFormat/>
    <w:uiPriority w:val="0"/>
    <w:pPr>
      <w:pBdr>
        <w:bottom w:val="single" w:color="auto" w:sz="6" w:space="1"/>
      </w:pBdr>
      <w:tabs>
        <w:tab w:val="center" w:pos="4153"/>
        <w:tab w:val="right" w:pos="8306"/>
      </w:tabs>
      <w:snapToGrid w:val="0"/>
      <w:jc w:val="center"/>
    </w:pPr>
    <w:rPr>
      <w:sz w:val="18"/>
      <w:szCs w:val="18"/>
    </w:rPr>
  </w:style>
  <w:style w:type="paragraph" w:customStyle="1" w:styleId="85">
    <w:name w:val="页脚 New New New New New New New New New New New"/>
    <w:basedOn w:val="46"/>
    <w:qFormat/>
    <w:uiPriority w:val="0"/>
    <w:pPr>
      <w:tabs>
        <w:tab w:val="center" w:pos="4153"/>
        <w:tab w:val="right" w:pos="8306"/>
      </w:tabs>
      <w:snapToGrid w:val="0"/>
      <w:jc w:val="left"/>
    </w:pPr>
    <w:rPr>
      <w:sz w:val="18"/>
      <w:szCs w:val="18"/>
    </w:rPr>
  </w:style>
  <w:style w:type="paragraph" w:customStyle="1" w:styleId="86">
    <w:name w:val="页脚 New New New New New New New New New New New New New New New New New New New New"/>
    <w:basedOn w:val="60"/>
    <w:qFormat/>
    <w:uiPriority w:val="0"/>
    <w:pPr>
      <w:tabs>
        <w:tab w:val="center" w:pos="4153"/>
        <w:tab w:val="right" w:pos="8306"/>
      </w:tabs>
      <w:snapToGrid w:val="0"/>
      <w:jc w:val="left"/>
    </w:pPr>
    <w:rPr>
      <w:sz w:val="18"/>
      <w:szCs w:val="18"/>
    </w:rPr>
  </w:style>
  <w:style w:type="paragraph" w:customStyle="1" w:styleId="87">
    <w:name w:val="页眉 New New"/>
    <w:basedOn w:val="62"/>
    <w:qFormat/>
    <w:uiPriority w:val="0"/>
    <w:pPr>
      <w:pBdr>
        <w:bottom w:val="single" w:color="auto" w:sz="6" w:space="1"/>
      </w:pBdr>
      <w:tabs>
        <w:tab w:val="center" w:pos="4153"/>
        <w:tab w:val="right" w:pos="8306"/>
      </w:tabs>
      <w:snapToGrid w:val="0"/>
      <w:jc w:val="center"/>
    </w:pPr>
    <w:rPr>
      <w:sz w:val="18"/>
      <w:szCs w:val="18"/>
    </w:rPr>
  </w:style>
  <w:style w:type="paragraph" w:customStyle="1" w:styleId="88">
    <w:name w:val="页眉 New New New New New New New New New New New New New New New New New New New New New New New New New"/>
    <w:basedOn w:val="89"/>
    <w:qFormat/>
    <w:uiPriority w:val="0"/>
    <w:pPr>
      <w:pBdr>
        <w:bottom w:val="single" w:color="auto" w:sz="6" w:space="1"/>
      </w:pBdr>
      <w:tabs>
        <w:tab w:val="center" w:pos="4153"/>
        <w:tab w:val="right" w:pos="8306"/>
      </w:tabs>
      <w:snapToGrid w:val="0"/>
      <w:jc w:val="center"/>
    </w:pPr>
    <w:rPr>
      <w:sz w:val="18"/>
      <w:szCs w:val="18"/>
    </w:rPr>
  </w:style>
  <w:style w:type="paragraph" w:customStyle="1" w:styleId="89">
    <w:name w:val="正文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90">
    <w:name w:val="页脚 New New New"/>
    <w:basedOn w:val="28"/>
    <w:qFormat/>
    <w:uiPriority w:val="0"/>
    <w:pPr>
      <w:tabs>
        <w:tab w:val="center" w:pos="4153"/>
        <w:tab w:val="right" w:pos="8306"/>
      </w:tabs>
      <w:snapToGrid w:val="0"/>
      <w:jc w:val="left"/>
    </w:pPr>
    <w:rPr>
      <w:rFonts w:eastAsia="仿宋_GB2312"/>
      <w:kern w:val="2"/>
      <w:sz w:val="18"/>
    </w:rPr>
  </w:style>
  <w:style w:type="paragraph" w:customStyle="1" w:styleId="91">
    <w:name w:val="页脚 New New New New New New New New New New New New New New New New New New New"/>
    <w:basedOn w:val="83"/>
    <w:qFormat/>
    <w:uiPriority w:val="0"/>
    <w:pPr>
      <w:tabs>
        <w:tab w:val="center" w:pos="4153"/>
        <w:tab w:val="right" w:pos="8306"/>
      </w:tabs>
      <w:snapToGrid w:val="0"/>
      <w:jc w:val="left"/>
    </w:pPr>
    <w:rPr>
      <w:sz w:val="18"/>
      <w:szCs w:val="18"/>
    </w:rPr>
  </w:style>
  <w:style w:type="paragraph" w:customStyle="1" w:styleId="92">
    <w:name w:val="页眉 New New New New New New New New New New New New New New New New New New New New New New"/>
    <w:basedOn w:val="36"/>
    <w:qFormat/>
    <w:uiPriority w:val="0"/>
    <w:pPr>
      <w:pBdr>
        <w:bottom w:val="single" w:color="auto" w:sz="6" w:space="1"/>
      </w:pBdr>
      <w:tabs>
        <w:tab w:val="center" w:pos="4153"/>
        <w:tab w:val="right" w:pos="8306"/>
      </w:tabs>
      <w:snapToGrid w:val="0"/>
      <w:jc w:val="center"/>
    </w:pPr>
    <w:rPr>
      <w:sz w:val="18"/>
      <w:szCs w:val="18"/>
    </w:rPr>
  </w:style>
  <w:style w:type="paragraph" w:customStyle="1" w:styleId="93">
    <w:name w:val="页脚 New New New New New New New New New New New New New New New New New New New New New New New New New"/>
    <w:basedOn w:val="89"/>
    <w:qFormat/>
    <w:uiPriority w:val="0"/>
    <w:pPr>
      <w:tabs>
        <w:tab w:val="center" w:pos="4153"/>
        <w:tab w:val="right" w:pos="8306"/>
      </w:tabs>
      <w:snapToGrid w:val="0"/>
      <w:jc w:val="left"/>
    </w:pPr>
    <w:rPr>
      <w:rFonts w:eastAsia="仿宋_GB2312"/>
      <w:kern w:val="2"/>
      <w:sz w:val="18"/>
    </w:rPr>
  </w:style>
  <w:style w:type="paragraph" w:customStyle="1" w:styleId="94">
    <w:name w:val="页眉 New New New New New New New New New New New"/>
    <w:basedOn w:val="46"/>
    <w:qFormat/>
    <w:uiPriority w:val="0"/>
    <w:pPr>
      <w:pBdr>
        <w:bottom w:val="single" w:color="auto" w:sz="6" w:space="1"/>
      </w:pBdr>
      <w:tabs>
        <w:tab w:val="center" w:pos="4153"/>
        <w:tab w:val="right" w:pos="8306"/>
      </w:tabs>
      <w:snapToGrid w:val="0"/>
      <w:jc w:val="center"/>
    </w:pPr>
    <w:rPr>
      <w:sz w:val="18"/>
      <w:szCs w:val="18"/>
    </w:rPr>
  </w:style>
  <w:style w:type="paragraph" w:customStyle="1" w:styleId="95">
    <w:name w:val="页眉 New New New New New New New New New New New New New New"/>
    <w:basedOn w:val="82"/>
    <w:qFormat/>
    <w:uiPriority w:val="0"/>
    <w:pPr>
      <w:pBdr>
        <w:bottom w:val="single" w:color="auto" w:sz="6" w:space="1"/>
      </w:pBdr>
      <w:tabs>
        <w:tab w:val="center" w:pos="4153"/>
        <w:tab w:val="right" w:pos="8306"/>
      </w:tabs>
      <w:snapToGrid w:val="0"/>
      <w:jc w:val="center"/>
    </w:pPr>
    <w:rPr>
      <w:sz w:val="18"/>
      <w:szCs w:val="18"/>
    </w:rPr>
  </w:style>
  <w:style w:type="paragraph" w:customStyle="1" w:styleId="96">
    <w:name w:val="页眉 New New New New New New New New New New New New New New New New New New New"/>
    <w:basedOn w:val="83"/>
    <w:qFormat/>
    <w:uiPriority w:val="0"/>
    <w:pPr>
      <w:pBdr>
        <w:bottom w:val="single" w:color="auto" w:sz="6" w:space="1"/>
      </w:pBdr>
      <w:tabs>
        <w:tab w:val="center" w:pos="4153"/>
        <w:tab w:val="right" w:pos="8306"/>
      </w:tabs>
      <w:snapToGrid w:val="0"/>
      <w:jc w:val="center"/>
    </w:pPr>
    <w:rPr>
      <w:sz w:val="18"/>
      <w:szCs w:val="18"/>
    </w:rPr>
  </w:style>
  <w:style w:type="paragraph" w:customStyle="1" w:styleId="97">
    <w:name w:val="页脚 New New New New New New New New New New New New New New New"/>
    <w:basedOn w:val="27"/>
    <w:qFormat/>
    <w:uiPriority w:val="0"/>
    <w:pPr>
      <w:tabs>
        <w:tab w:val="center" w:pos="4153"/>
        <w:tab w:val="right" w:pos="8306"/>
      </w:tabs>
      <w:snapToGrid w:val="0"/>
      <w:jc w:val="left"/>
    </w:pPr>
    <w:rPr>
      <w:sz w:val="18"/>
      <w:szCs w:val="18"/>
    </w:rPr>
  </w:style>
  <w:style w:type="paragraph" w:customStyle="1" w:styleId="98">
    <w:name w:val="页眉 New New New New New New"/>
    <w:basedOn w:val="35"/>
    <w:qFormat/>
    <w:uiPriority w:val="0"/>
    <w:pPr>
      <w:pBdr>
        <w:bottom w:val="single" w:color="auto" w:sz="6" w:space="1"/>
      </w:pBdr>
      <w:tabs>
        <w:tab w:val="center" w:pos="4153"/>
        <w:tab w:val="right" w:pos="8306"/>
      </w:tabs>
      <w:snapToGrid w:val="0"/>
      <w:jc w:val="center"/>
    </w:pPr>
    <w:rPr>
      <w:sz w:val="18"/>
      <w:szCs w:val="18"/>
    </w:rPr>
  </w:style>
  <w:style w:type="paragraph" w:customStyle="1" w:styleId="99">
    <w:name w:val="页脚 New New"/>
    <w:basedOn w:val="62"/>
    <w:qFormat/>
    <w:uiPriority w:val="0"/>
    <w:pPr>
      <w:tabs>
        <w:tab w:val="center" w:pos="4153"/>
        <w:tab w:val="right" w:pos="8306"/>
      </w:tabs>
      <w:snapToGrid w:val="0"/>
      <w:jc w:val="left"/>
    </w:pPr>
    <w:rPr>
      <w:rFonts w:eastAsia="仿宋_GB2312"/>
      <w:kern w:val="2"/>
      <w:sz w:val="18"/>
    </w:rPr>
  </w:style>
  <w:style w:type="paragraph" w:customStyle="1" w:styleId="100">
    <w:name w:val="页脚 New"/>
    <w:basedOn w:val="37"/>
    <w:qFormat/>
    <w:uiPriority w:val="0"/>
    <w:pPr>
      <w:tabs>
        <w:tab w:val="center" w:pos="4153"/>
        <w:tab w:val="right" w:pos="8306"/>
      </w:tabs>
      <w:snapToGrid w:val="0"/>
      <w:jc w:val="left"/>
    </w:pPr>
    <w:rPr>
      <w:rFonts w:eastAsia="仿宋_GB2312"/>
      <w:kern w:val="2"/>
      <w:sz w:val="18"/>
    </w:rPr>
  </w:style>
  <w:style w:type="paragraph" w:customStyle="1" w:styleId="101">
    <w:name w:val="页脚 New New New New New New New"/>
    <w:basedOn w:val="70"/>
    <w:qFormat/>
    <w:uiPriority w:val="0"/>
    <w:pPr>
      <w:tabs>
        <w:tab w:val="center" w:pos="4153"/>
        <w:tab w:val="right" w:pos="8306"/>
      </w:tabs>
      <w:snapToGrid w:val="0"/>
      <w:jc w:val="left"/>
    </w:pPr>
    <w:rPr>
      <w:sz w:val="18"/>
      <w:szCs w:val="18"/>
    </w:rPr>
  </w:style>
  <w:style w:type="paragraph" w:customStyle="1" w:styleId="102">
    <w:name w:val="页脚 New New New New New New New New New New New New New"/>
    <w:basedOn w:val="52"/>
    <w:qFormat/>
    <w:uiPriority w:val="0"/>
    <w:pPr>
      <w:tabs>
        <w:tab w:val="center" w:pos="4153"/>
        <w:tab w:val="right" w:pos="8306"/>
      </w:tabs>
      <w:snapToGrid w:val="0"/>
      <w:jc w:val="left"/>
    </w:pPr>
    <w:rPr>
      <w:sz w:val="18"/>
      <w:szCs w:val="18"/>
    </w:rPr>
  </w:style>
  <w:style w:type="character" w:customStyle="1" w:styleId="103">
    <w:name w:val="font31"/>
    <w:basedOn w:val="13"/>
    <w:qFormat/>
    <w:uiPriority w:val="0"/>
    <w:rPr>
      <w:rFonts w:hint="eastAsia" w:ascii="宋体" w:hAnsi="宋体" w:eastAsia="宋体" w:cs="宋体"/>
      <w:color w:val="000000"/>
      <w:sz w:val="22"/>
      <w:szCs w:val="22"/>
      <w:u w:val="none"/>
    </w:rPr>
  </w:style>
  <w:style w:type="character" w:customStyle="1" w:styleId="104">
    <w:name w:val="font21"/>
    <w:basedOn w:val="13"/>
    <w:qFormat/>
    <w:uiPriority w:val="0"/>
    <w:rPr>
      <w:rFonts w:hint="eastAsia" w:ascii="宋体" w:hAnsi="宋体" w:eastAsia="宋体" w:cs="宋体"/>
      <w:color w:val="000000"/>
      <w:sz w:val="22"/>
      <w:szCs w:val="22"/>
      <w:u w:val="none"/>
    </w:rPr>
  </w:style>
  <w:style w:type="character" w:customStyle="1" w:styleId="105">
    <w:name w:val="font51"/>
    <w:basedOn w:val="13"/>
    <w:qFormat/>
    <w:uiPriority w:val="0"/>
    <w:rPr>
      <w:rFonts w:hint="eastAsia" w:ascii="宋体" w:hAnsi="宋体" w:eastAsia="宋体" w:cs="宋体"/>
      <w:color w:val="000000"/>
      <w:sz w:val="22"/>
      <w:szCs w:val="22"/>
      <w:u w:val="none"/>
    </w:rPr>
  </w:style>
  <w:style w:type="paragraph" w:customStyle="1" w:styleId="106">
    <w:name w:val="缩进自定义正文样式1"/>
    <w:basedOn w:val="1"/>
    <w:qFormat/>
    <w:uiPriority w:val="0"/>
    <w:pPr>
      <w:ind w:firstLine="640" w:firstLineChars="200"/>
      <w:jc w:val="left"/>
    </w:pPr>
    <w:rPr>
      <w:rFonts w:ascii="仿宋_GB2312" w:hAnsi="仿宋" w:eastAsia="仿宋_GB2312" w:cs="仿宋_GB2312"/>
      <w:kern w:val="0"/>
      <w:sz w:val="32"/>
      <w:szCs w:val="28"/>
    </w:rPr>
  </w:style>
  <w:style w:type="paragraph" w:customStyle="1" w:styleId="107">
    <w:name w:val="正文 文本"/>
    <w:basedOn w:val="1"/>
    <w:qFormat/>
    <w:uiPriority w:val="0"/>
    <w:pPr>
      <w:widowControl/>
      <w:spacing w:line="560" w:lineRule="exact"/>
      <w:ind w:left="0" w:right="0" w:firstLine="640"/>
      <w:jc w:val="both"/>
    </w:pPr>
    <w:rPr>
      <w:rFonts w:hint="eastAsia" w:ascii="宋体" w:hAnsi="宋体" w:eastAsia="宋体" w:cs="宋体"/>
      <w:kern w:val="0"/>
      <w:sz w:val="32"/>
      <w:szCs w:val="32"/>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8043\AppData\Local\Kingsoft\WPS%20Office\12.1.0.28043\office6\Normal.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contractReview xmlns="http://schemas.wps.cn/vas-ai-hub/contract-review">
  <reviewItems>
    <reviewItem>
      <errorID>711704bb-5dda-4960-96a9-1ae40027934f</errorID>
      <errorWord>伊通县</errorWord>
      <group>L1_Knowledge</group>
      <groupName>知识性问题</groupName>
      <ability>L2_Location</ability>
      <abilityName>地名检查</abilityName>
      <candidateList>
        <item>伊通满族自治县</item>
      </candidateList>
      <explain>自治区州县缩写不规范。《地名管理条例》第十八条规定，标识牌、公共平台发布的信息、各类公文证件、学习类公开出版物、地图、法律法规规定等场景范围内必须使用标准地名。</explain>
      <paraID>3905D546</paraID>
      <start>6</start>
      <end>9</end>
      <status>unmodified</status>
      <modifiedWord/>
      <trackRevisions>false</trackRevisions>
    </reviewItem>
    <reviewItem>
      <errorID>d6f8aa57-b86c-4815-8367-4aec474351c0</errorID>
      <errorWord>及</errorWord>
      <group>L1_Word</group>
      <groupName>字词问题</groupName>
      <ability>L2_Typo</ability>
      <abilityName>字词错误</abilityName>
      <candidateList>
        <item>即</item>
      </candidateList>
      <explain>存在发音相同字词的误用。</explain>
      <paraID> A201DDA</paraID>
      <start>125</start>
      <end>126</end>
      <status>unmodified</status>
      <modifiedWord/>
      <trackRevisions>false</trackRevisions>
    </reviewItem>
    <reviewItem>
      <errorID>2400b388-f631-46e8-8e1a-6fc3dbd7489e</errorID>
      <errorWord>&gt;</errorWord>
      <group>L1_Punc</group>
      <groupName>标点问题</groupName>
      <ability>L2_Punc_CN</ability>
      <abilityName>标点符号问题</abilityName>
      <candidateList/>
      <explain/>
      <paraID>3644A353</paraID>
      <start>0</start>
      <end>1</end>
      <status>unmodified</status>
      <modifiedWord/>
      <trackRevisions>false</trackRevisions>
    </reviewItem>
    <reviewItem>
      <errorID>f05bf71f-a7fd-410f-8e8f-8407cde8af3c</errorID>
      <errorWord>&gt;</errorWord>
      <group>L1_Punc</group>
      <groupName>标点问题</groupName>
      <ability>L2_Punc_CN</ability>
      <abilityName>标点符号问题</abilityName>
      <candidateList/>
      <explain/>
      <paraID>6F8FE272</paraID>
      <start>0</start>
      <end>1</end>
      <status>unmodified</status>
      <modifiedWord/>
      <trackRevisions>false</trackRevisions>
    </reviewItem>
    <reviewItem>
      <errorID>ecc10d64-7f62-4ea8-ac20-5fd3134753e7</errorID>
      <errorWord>&gt;</errorWord>
      <group>L1_Punc</group>
      <groupName>标点问题</groupName>
      <ability>L2_Punc_CN</ability>
      <abilityName>标点符号问题</abilityName>
      <candidateList/>
      <explain/>
      <paraID>229AFBED</paraID>
      <start>0</start>
      <end>1</end>
      <status>unmodified</status>
      <modifiedWord/>
      <trackRevisions>false</trackRevisions>
    </reviewItem>
    <reviewItem>
      <errorID>4d505300-192a-427e-8569-be543bc6d460</errorID>
      <errorWord>&gt;</errorWord>
      <group>L1_Punc</group>
      <groupName>标点问题</groupName>
      <ability>L2_Punc_CN</ability>
      <abilityName>标点符号问题</abilityName>
      <candidateList/>
      <explain/>
      <paraID>409B755C</paraID>
      <start>0</start>
      <end>1</end>
      <status>unmodified</status>
      <modifiedWord/>
      <trackRevisions>false</trackRevisions>
    </reviewItem>
    <reviewItem>
      <errorID>420a9451-4cb1-49e5-b5c9-057253f407da</errorID>
      <errorWord>居民现金可支配收入</errorWord>
      <group>L1_Political</group>
      <groupName>政治性问题</groupName>
      <ability>L2_Keyword</ability>
      <abilityName>固定表述</abilityName>
      <candidateList>
        <item>居民人均可支配收入</item>
      </candidateList>
      <explain>词汇“居民人均可支配收入”在特定场景下为固定表述形式，请确认此处的“居民现金可支配收入”是否存在不当。</explain>
      <paraID>38C2DF8E</paraID>
      <start>7</start>
      <end>16</end>
      <status>unmodified</status>
      <modifiedWord/>
      <trackRevisions>false</trackRevisions>
    </reviewItem>
    <reviewItem>
      <errorID>caa6f812-2a57-44bf-bcde-a9eb13ca0668</errorID>
      <errorWord>&gt;</errorWord>
      <group>L1_Punc</group>
      <groupName>标点问题</groupName>
      <ability>L2_Punc_CN</ability>
      <abilityName>标点符号问题</abilityName>
      <candidateList/>
      <explain/>
      <paraID> 1A850D7</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8d4a32-f9b3-459c-b0c1-63f1a8d8bc53}">
  <ds:schemaRefs/>
</ds:datastoreItem>
</file>

<file path=docProps/app.xml><?xml version="1.0" encoding="utf-8"?>
<Properties xmlns="http://schemas.openxmlformats.org/officeDocument/2006/extended-properties" xmlns:vt="http://schemas.openxmlformats.org/officeDocument/2006/docPropsVTypes">
  <Template>Normal</Template>
  <Pages>26</Pages>
  <Words>1938</Words>
  <Characters>2453</Characters>
  <Lines>54</Lines>
  <Paragraphs>15</Paragraphs>
  <TotalTime>19</TotalTime>
  <ScaleCrop>false</ScaleCrop>
  <LinksUpToDate>false</LinksUpToDate>
  <CharactersWithSpaces>2613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2024-07-30T16:08:00Z</dcterms:created>
  <dc:creator>王志强</dc:creator>
  <cp:lastModifiedBy>Naja～～</cp:lastModifiedBy>
  <cp:lastPrinted>2025-08-06T08:50:00Z</cp:lastPrinted>
  <dcterms:modified xsi:type="dcterms:W3CDTF">2026-09-01T01:56:38Z</dcterms:modified>
  <dc:title>2015年度部门决算公开模板</dc:title>
  <cp:revision>206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7B975BC1033F46AABB1FA15D62EBB1DD_13</vt:lpwstr>
  </property>
  <property fmtid="{D5CDD505-2E9C-101B-9397-08002B2CF9AE}" pid="4" name="KSOTemplateDocerSaveRecord">
    <vt:lpwstr>eyJoZGlkIjoiZmJlY2I4MDJiNDZkMTZiOTgzNTQ4YjVkZDI1NTc2YjAiLCJ1c2VySWQiOiI0MTk1MjIyMTIifQ==</vt:lpwstr>
  </property>
</Properties>
</file>