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9ECDA5">
      <w:pPr>
        <w:jc w:val="both"/>
        <w:rPr>
          <w:rFonts w:ascii="Times New Roman" w:hAnsi="Times New Roman" w:eastAsia="仿宋" w:cs="Arial"/>
          <w:sz w:val="44"/>
          <w:szCs w:val="44"/>
          <w:highlight w:val="none"/>
        </w:rPr>
      </w:pPr>
    </w:p>
    <w:p w14:paraId="6DC68D5E">
      <w:pPr>
        <w:jc w:val="center"/>
        <w:rPr>
          <w:rFonts w:ascii="Times New Roman" w:hAnsi="Times New Roman" w:eastAsia="仿宋" w:cs="Arial"/>
          <w:sz w:val="44"/>
          <w:szCs w:val="44"/>
          <w:highlight w:val="none"/>
        </w:rPr>
      </w:pPr>
    </w:p>
    <w:p w14:paraId="564E5254">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202</w:t>
      </w:r>
      <w:r>
        <w:rPr>
          <w:rFonts w:hint="eastAsia" w:ascii="Times New Roman" w:hAnsi="Times New Roman" w:eastAsia="方正小标宋简体" w:cs="方正小标宋简体"/>
          <w:sz w:val="44"/>
          <w:szCs w:val="44"/>
          <w:highlight w:val="none"/>
          <w:lang w:val="en-US" w:eastAsia="zh-CN"/>
        </w:rPr>
        <w:t>5</w:t>
      </w:r>
      <w:r>
        <w:rPr>
          <w:rFonts w:hint="eastAsia" w:ascii="Times New Roman" w:hAnsi="Times New Roman" w:eastAsia="方正小标宋简体" w:cs="方正小标宋简体"/>
          <w:sz w:val="44"/>
          <w:szCs w:val="44"/>
          <w:highlight w:val="none"/>
        </w:rPr>
        <w:t>年度</w:t>
      </w:r>
    </w:p>
    <w:p w14:paraId="7F3906E4">
      <w:pPr>
        <w:jc w:val="center"/>
        <w:rPr>
          <w:rFonts w:hint="eastAsia" w:ascii="Times New Roman" w:hAnsi="Times New Roman" w:eastAsia="方正小标宋简体" w:cs="方正小标宋简体"/>
          <w:sz w:val="44"/>
          <w:szCs w:val="44"/>
          <w:highlight w:val="none"/>
        </w:rPr>
      </w:pPr>
      <w:r>
        <w:rPr>
          <w:rFonts w:hint="eastAsia" w:ascii="宋体" w:hAnsi="宋体" w:eastAsia="方正小标宋简体" w:cs="Arial"/>
          <w:sz w:val="44"/>
          <w:szCs w:val="44"/>
        </w:rPr>
        <w:t>和龙市统计局单位</w:t>
      </w:r>
      <w:r>
        <w:rPr>
          <w:rFonts w:hint="eastAsia" w:ascii="Times New Roman" w:hAnsi="Times New Roman" w:eastAsia="方正小标宋简体" w:cs="方正小标宋简体"/>
          <w:sz w:val="44"/>
          <w:szCs w:val="44"/>
          <w:highlight w:val="none"/>
        </w:rPr>
        <w:t>决算</w:t>
      </w:r>
    </w:p>
    <w:p w14:paraId="688FE437">
      <w:pPr>
        <w:jc w:val="center"/>
        <w:rPr>
          <w:rFonts w:hint="eastAsia" w:ascii="Times New Roman" w:hAnsi="Times New Roman" w:eastAsia="方正小标宋简体" w:cs="Arial"/>
          <w:sz w:val="44"/>
          <w:szCs w:val="44"/>
          <w:highlight w:val="none"/>
        </w:rPr>
      </w:pPr>
    </w:p>
    <w:p w14:paraId="779263A6">
      <w:pPr>
        <w:jc w:val="center"/>
        <w:rPr>
          <w:rFonts w:ascii="Times New Roman" w:hAnsi="Times New Roman" w:eastAsia="仿宋" w:cs="Arial"/>
          <w:sz w:val="44"/>
          <w:szCs w:val="44"/>
          <w:highlight w:val="none"/>
        </w:rPr>
      </w:pPr>
    </w:p>
    <w:p w14:paraId="3A2D75C8">
      <w:pPr>
        <w:jc w:val="center"/>
        <w:rPr>
          <w:rFonts w:ascii="Times New Roman" w:hAnsi="Times New Roman" w:eastAsia="仿宋" w:cs="Arial"/>
          <w:sz w:val="44"/>
          <w:szCs w:val="44"/>
          <w:highlight w:val="none"/>
        </w:rPr>
      </w:pPr>
    </w:p>
    <w:p w14:paraId="49624ED8">
      <w:pPr>
        <w:pStyle w:val="4"/>
        <w:bidi w:val="0"/>
      </w:pPr>
    </w:p>
    <w:p w14:paraId="33A504C8">
      <w:pPr>
        <w:jc w:val="center"/>
        <w:rPr>
          <w:rFonts w:ascii="Times New Roman" w:hAnsi="Times New Roman" w:eastAsia="仿宋" w:cs="Arial"/>
          <w:sz w:val="44"/>
          <w:szCs w:val="44"/>
          <w:highlight w:val="none"/>
        </w:rPr>
      </w:pPr>
    </w:p>
    <w:p w14:paraId="156E53B3">
      <w:pPr>
        <w:jc w:val="center"/>
        <w:rPr>
          <w:rFonts w:ascii="Times New Roman" w:hAnsi="Times New Roman" w:eastAsia="仿宋" w:cs="Arial"/>
          <w:sz w:val="44"/>
          <w:szCs w:val="44"/>
          <w:highlight w:val="none"/>
        </w:rPr>
      </w:pPr>
    </w:p>
    <w:p w14:paraId="5C63CAD0">
      <w:pPr>
        <w:jc w:val="center"/>
        <w:rPr>
          <w:rFonts w:ascii="Times New Roman" w:hAnsi="Times New Roman" w:eastAsia="仿宋" w:cs="Arial"/>
          <w:sz w:val="44"/>
          <w:szCs w:val="44"/>
          <w:highlight w:val="none"/>
        </w:rPr>
      </w:pPr>
    </w:p>
    <w:p w14:paraId="5F6A1EE8">
      <w:pPr>
        <w:jc w:val="center"/>
        <w:rPr>
          <w:rFonts w:ascii="Times New Roman" w:hAnsi="Times New Roman" w:eastAsia="仿宋" w:cs="Arial"/>
          <w:sz w:val="32"/>
          <w:szCs w:val="32"/>
          <w:highlight w:val="none"/>
        </w:rPr>
      </w:pPr>
      <w:r>
        <w:rPr>
          <w:rFonts w:ascii="Times New Roman" w:hAnsi="Times New Roman" w:eastAsia="仿宋" w:cs="Arial"/>
          <w:sz w:val="32"/>
          <w:szCs w:val="32"/>
          <w:highlight w:val="none"/>
        </w:rPr>
        <w:t>202</w:t>
      </w:r>
      <w:r>
        <w:rPr>
          <w:rFonts w:hint="eastAsia" w:ascii="Times New Roman" w:hAnsi="Times New Roman" w:eastAsia="仿宋" w:cs="Arial"/>
          <w:sz w:val="32"/>
          <w:szCs w:val="32"/>
          <w:highlight w:val="none"/>
          <w:lang w:val="en-US" w:eastAsia="zh-CN"/>
        </w:rPr>
        <w:t>6</w:t>
      </w:r>
      <w:r>
        <w:rPr>
          <w:rFonts w:hint="eastAsia" w:ascii="Times New Roman" w:hAnsi="Times New Roman" w:eastAsia="仿宋" w:cs="Arial"/>
          <w:sz w:val="32"/>
          <w:szCs w:val="32"/>
          <w:highlight w:val="none"/>
        </w:rPr>
        <w:t>年</w:t>
      </w:r>
      <w:r>
        <w:rPr>
          <w:rFonts w:hint="eastAsia" w:ascii="Times New Roman" w:hAnsi="Times New Roman" w:eastAsia="仿宋" w:cs="Arial"/>
          <w:sz w:val="32"/>
          <w:szCs w:val="32"/>
          <w:highlight w:val="none"/>
          <w:lang w:eastAsia="zh-CN"/>
        </w:rPr>
        <w:t>8</w:t>
      </w:r>
      <w:r>
        <w:rPr>
          <w:rFonts w:hint="eastAsia" w:ascii="Times New Roman" w:hAnsi="Times New Roman" w:eastAsia="仿宋" w:cs="Arial"/>
          <w:color w:val="auto"/>
          <w:sz w:val="32"/>
          <w:szCs w:val="32"/>
          <w:highlight w:val="none"/>
        </w:rPr>
        <w:t>月</w:t>
      </w:r>
      <w:r>
        <w:rPr>
          <w:rFonts w:hint="eastAsia" w:ascii="Times New Roman" w:hAnsi="Times New Roman" w:eastAsia="仿宋" w:cs="Arial"/>
          <w:color w:val="auto"/>
          <w:sz w:val="32"/>
          <w:szCs w:val="32"/>
          <w:highlight w:val="none"/>
          <w:lang w:eastAsia="zh-CN"/>
        </w:rPr>
        <w:t>31</w:t>
      </w:r>
      <w:r>
        <w:rPr>
          <w:rFonts w:hint="eastAsia" w:ascii="Times New Roman" w:hAnsi="Times New Roman" w:eastAsia="仿宋" w:cs="Arial"/>
          <w:color w:val="auto"/>
          <w:sz w:val="32"/>
          <w:szCs w:val="32"/>
          <w:highlight w:val="none"/>
        </w:rPr>
        <w:t>日</w:t>
      </w:r>
    </w:p>
    <w:p w14:paraId="2CAB1A15">
      <w:pPr>
        <w:jc w:val="center"/>
        <w:rPr>
          <w:rFonts w:ascii="Times New Roman" w:hAnsi="Times New Roman" w:eastAsia="仿宋" w:cs="Arial"/>
          <w:sz w:val="44"/>
          <w:szCs w:val="44"/>
          <w:highlight w:val="none"/>
        </w:rPr>
      </w:pPr>
    </w:p>
    <w:p w14:paraId="37400BB2">
      <w:pPr>
        <w:jc w:val="center"/>
        <w:rPr>
          <w:rFonts w:ascii="Times New Roman" w:hAnsi="Times New Roman" w:eastAsia="仿宋" w:cs="Arial"/>
          <w:sz w:val="44"/>
          <w:szCs w:val="44"/>
          <w:highlight w:val="none"/>
        </w:rPr>
      </w:pPr>
    </w:p>
    <w:p w14:paraId="1CCA63C8">
      <w:pPr>
        <w:jc w:val="center"/>
        <w:rPr>
          <w:rFonts w:ascii="Times New Roman" w:hAnsi="Times New Roman" w:eastAsia="仿宋" w:cs="Arial"/>
          <w:sz w:val="44"/>
          <w:szCs w:val="44"/>
          <w:highlight w:val="none"/>
        </w:rPr>
      </w:pPr>
    </w:p>
    <w:p w14:paraId="76D382C1">
      <w:pPr>
        <w:jc w:val="center"/>
        <w:rPr>
          <w:rFonts w:ascii="Times New Roman" w:hAnsi="Times New Roman" w:eastAsia="仿宋"/>
          <w:sz w:val="32"/>
          <w:highlight w:val="none"/>
        </w:rPr>
      </w:pPr>
    </w:p>
    <w:p w14:paraId="13199D88">
      <w:pPr>
        <w:jc w:val="center"/>
        <w:rPr>
          <w:rFonts w:hint="eastAsia" w:ascii="Times New Roman" w:hAnsi="Times New Roman" w:eastAsia="仿宋"/>
          <w:sz w:val="32"/>
          <w:highlight w:val="none"/>
        </w:rPr>
      </w:pPr>
    </w:p>
    <w:p w14:paraId="0C395FE9">
      <w:pPr>
        <w:pStyle w:val="2"/>
        <w:rPr>
          <w:rFonts w:hint="eastAsia" w:ascii="Times New Roman" w:hAnsi="Times New Roman" w:eastAsia="仿宋"/>
          <w:sz w:val="32"/>
          <w:highlight w:val="none"/>
        </w:rPr>
      </w:pPr>
    </w:p>
    <w:p w14:paraId="3710948E">
      <w:pPr>
        <w:pStyle w:val="3"/>
        <w:rPr>
          <w:rFonts w:hint="eastAsia" w:ascii="Times New Roman" w:hAnsi="Times New Roman"/>
        </w:rPr>
      </w:pPr>
    </w:p>
    <w:p w14:paraId="7D877A15">
      <w:pPr>
        <w:pStyle w:val="2"/>
        <w:rPr>
          <w:rFonts w:hint="eastAsia" w:ascii="Times New Roman" w:hAnsi="Times New Roman"/>
        </w:rPr>
      </w:pPr>
    </w:p>
    <w:p w14:paraId="35539BC5">
      <w:pPr>
        <w:jc w:val="center"/>
        <w:rPr>
          <w:rFonts w:hint="eastAsia" w:ascii="Times New Roman" w:hAnsi="Times New Roman" w:eastAsia="方正小标宋简体" w:cs="方正小标宋简体"/>
          <w:sz w:val="44"/>
          <w:highlight w:val="none"/>
        </w:rPr>
      </w:pPr>
    </w:p>
    <w:p w14:paraId="1FC84BE3">
      <w:pPr>
        <w:jc w:val="center"/>
        <w:rPr>
          <w:rFonts w:hint="eastAsia" w:ascii="Times New Roman" w:hAnsi="Times New Roman" w:eastAsia="方正小标宋简体" w:cs="方正小标宋简体"/>
          <w:sz w:val="44"/>
          <w:highlight w:val="none"/>
        </w:rPr>
      </w:pPr>
    </w:p>
    <w:p w14:paraId="3394E252">
      <w:pPr>
        <w:jc w:val="center"/>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目   录</w:t>
      </w:r>
    </w:p>
    <w:p w14:paraId="478C13AA">
      <w:pPr>
        <w:rPr>
          <w:rFonts w:hint="eastAsia" w:ascii="Times New Roman" w:hAnsi="Times New Roman" w:eastAsia="仿宋"/>
          <w:sz w:val="32"/>
          <w:highlight w:val="none"/>
        </w:rPr>
      </w:pPr>
    </w:p>
    <w:p w14:paraId="05A629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 xml:space="preserve">第一部分  </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概况</w:t>
      </w:r>
    </w:p>
    <w:p w14:paraId="064243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职责</w:t>
      </w:r>
    </w:p>
    <w:p w14:paraId="19537B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二、机构设置及</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决算单位构成</w:t>
      </w:r>
    </w:p>
    <w:p w14:paraId="0AAE85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第二部分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决算表</w:t>
      </w:r>
    </w:p>
    <w:p w14:paraId="4FBF6D5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一、收入支出决算总表</w:t>
      </w:r>
    </w:p>
    <w:p w14:paraId="0549A1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二、收入决算表</w:t>
      </w:r>
    </w:p>
    <w:p w14:paraId="7A20E4F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三、支出决算表</w:t>
      </w:r>
    </w:p>
    <w:p w14:paraId="6DA9BBF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四、财政拨款收入支出决算总表</w:t>
      </w:r>
    </w:p>
    <w:p w14:paraId="71B1F2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五、一般公共预算财政拨款支出决算表</w:t>
      </w:r>
    </w:p>
    <w:p w14:paraId="5FBDF55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六、一般公共预算财政拨款基本支出决算明</w:t>
      </w:r>
      <w:r>
        <w:rPr>
          <w:rFonts w:ascii="Times New Roman" w:hAnsi="Times New Roman" w:eastAsia="仿宋"/>
          <w:sz w:val="32"/>
          <w:highlight w:val="none"/>
        </w:rPr>
        <w:t>细</w:t>
      </w:r>
      <w:r>
        <w:rPr>
          <w:rFonts w:hint="eastAsia" w:ascii="Times New Roman" w:hAnsi="Times New Roman" w:eastAsia="仿宋"/>
          <w:sz w:val="32"/>
          <w:highlight w:val="none"/>
        </w:rPr>
        <w:t>表</w:t>
      </w:r>
    </w:p>
    <w:p w14:paraId="319AB2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七、政府性基金预算财政拨款收入支出决算表</w:t>
      </w:r>
    </w:p>
    <w:p w14:paraId="4644C4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决算表</w:t>
      </w:r>
    </w:p>
    <w:p w14:paraId="077C64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九、财政拨款“三公”经费支出决算表</w:t>
      </w:r>
    </w:p>
    <w:p w14:paraId="461966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十、部门预算项目支出绩效自评表</w:t>
      </w:r>
    </w:p>
    <w:p w14:paraId="7ED19A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第三部分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决算情况说明</w:t>
      </w:r>
    </w:p>
    <w:p w14:paraId="265B68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一、收入支出决算总体情况说明</w:t>
      </w:r>
    </w:p>
    <w:p w14:paraId="7C5A51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二、收入决算情况说明</w:t>
      </w:r>
    </w:p>
    <w:p w14:paraId="1D4E1C0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三、支出决算情况说明</w:t>
      </w:r>
    </w:p>
    <w:p w14:paraId="31232F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四、财政拨款收入支出决算总体情况说明</w:t>
      </w:r>
    </w:p>
    <w:p w14:paraId="2FD2EB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五、一般公共预算财政拨款支出决算情况说明</w:t>
      </w:r>
    </w:p>
    <w:p w14:paraId="376A254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六、一般公共预算财政拨款基本支出决算情况说明</w:t>
      </w:r>
    </w:p>
    <w:p w14:paraId="77E1A2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七、政府性基金预算财政拨款收入支出决算情况说明</w:t>
      </w:r>
    </w:p>
    <w:p w14:paraId="0B667C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szCs w:val="30"/>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w:t>
      </w:r>
      <w:r>
        <w:rPr>
          <w:rFonts w:hint="eastAsia" w:ascii="Times New Roman" w:hAnsi="Times New Roman" w:eastAsia="仿宋"/>
          <w:sz w:val="32"/>
          <w:szCs w:val="30"/>
          <w:highlight w:val="none"/>
        </w:rPr>
        <w:t>情况说明</w:t>
      </w:r>
    </w:p>
    <w:p w14:paraId="22DBD7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九、财政拨款“三公”经费支出决算情况说明</w:t>
      </w:r>
    </w:p>
    <w:p w14:paraId="0A7341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十、绩效评</w:t>
      </w:r>
      <w:r>
        <w:rPr>
          <w:rFonts w:ascii="Times New Roman" w:hAnsi="Times New Roman" w:eastAsia="仿宋"/>
          <w:sz w:val="32"/>
          <w:highlight w:val="none"/>
        </w:rPr>
        <w:t>价情况说明</w:t>
      </w:r>
    </w:p>
    <w:p w14:paraId="7E9EEC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十一、其</w:t>
      </w:r>
      <w:r>
        <w:rPr>
          <w:rFonts w:ascii="Times New Roman" w:hAnsi="Times New Roman" w:eastAsia="仿宋"/>
          <w:sz w:val="32"/>
          <w:highlight w:val="none"/>
        </w:rPr>
        <w:t>他重要事项情况说明</w:t>
      </w:r>
    </w:p>
    <w:p w14:paraId="53AF32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第四部分  名词解释</w:t>
      </w:r>
    </w:p>
    <w:p w14:paraId="0BCB152A">
      <w:pPr>
        <w:rPr>
          <w:rFonts w:hint="eastAsia" w:ascii="Times New Roman" w:hAnsi="Times New Roman" w:eastAsia="仿宋"/>
          <w:sz w:val="32"/>
          <w:highlight w:val="none"/>
        </w:rPr>
      </w:pPr>
    </w:p>
    <w:p w14:paraId="1D559D94">
      <w:pPr>
        <w:rPr>
          <w:rFonts w:hint="eastAsia" w:ascii="Times New Roman" w:hAnsi="Times New Roman" w:eastAsia="仿宋"/>
          <w:sz w:val="32"/>
          <w:highlight w:val="none"/>
        </w:rPr>
      </w:pPr>
    </w:p>
    <w:p w14:paraId="281D9E88">
      <w:pPr>
        <w:rPr>
          <w:rFonts w:hint="eastAsia" w:ascii="Times New Roman" w:hAnsi="Times New Roman" w:eastAsia="仿宋"/>
          <w:sz w:val="32"/>
          <w:highlight w:val="none"/>
        </w:rPr>
      </w:pPr>
    </w:p>
    <w:p w14:paraId="7A63F28A">
      <w:pPr>
        <w:jc w:val="center"/>
        <w:rPr>
          <w:rFonts w:hint="eastAsia" w:ascii="Times New Roman" w:hAnsi="Times New Roman" w:eastAsia="仿宋"/>
          <w:sz w:val="32"/>
          <w:highlight w:val="none"/>
        </w:rPr>
      </w:pPr>
    </w:p>
    <w:p w14:paraId="54AC536C">
      <w:pPr>
        <w:jc w:val="center"/>
        <w:rPr>
          <w:rFonts w:hint="eastAsia" w:ascii="Times New Roman" w:hAnsi="Times New Roman" w:eastAsia="仿宋"/>
          <w:sz w:val="32"/>
          <w:highlight w:val="none"/>
        </w:rPr>
      </w:pPr>
    </w:p>
    <w:p w14:paraId="26D02D8C">
      <w:pPr>
        <w:jc w:val="center"/>
        <w:rPr>
          <w:rFonts w:hint="eastAsia" w:ascii="Times New Roman" w:hAnsi="Times New Roman" w:eastAsia="仿宋"/>
          <w:sz w:val="44"/>
          <w:highlight w:val="none"/>
        </w:rPr>
      </w:pPr>
    </w:p>
    <w:p w14:paraId="730863A4">
      <w:pPr>
        <w:jc w:val="center"/>
        <w:rPr>
          <w:rFonts w:hint="eastAsia" w:ascii="Times New Roman" w:hAnsi="Times New Roman" w:eastAsia="仿宋"/>
          <w:sz w:val="44"/>
          <w:highlight w:val="none"/>
        </w:rPr>
      </w:pPr>
    </w:p>
    <w:p w14:paraId="28F5911F">
      <w:pPr>
        <w:jc w:val="center"/>
        <w:rPr>
          <w:rFonts w:hint="eastAsia" w:ascii="Times New Roman" w:hAnsi="Times New Roman" w:eastAsia="仿宋"/>
          <w:sz w:val="44"/>
          <w:highlight w:val="none"/>
        </w:rPr>
      </w:pPr>
    </w:p>
    <w:p w14:paraId="761972FE">
      <w:pPr>
        <w:jc w:val="center"/>
        <w:rPr>
          <w:rFonts w:hint="eastAsia" w:ascii="Times New Roman" w:hAnsi="Times New Roman" w:eastAsia="仿宋"/>
          <w:sz w:val="44"/>
          <w:highlight w:val="none"/>
        </w:rPr>
      </w:pPr>
    </w:p>
    <w:p w14:paraId="2005309A">
      <w:pPr>
        <w:jc w:val="center"/>
        <w:rPr>
          <w:rFonts w:hint="eastAsia" w:ascii="Times New Roman" w:hAnsi="Times New Roman" w:eastAsia="仿宋"/>
          <w:sz w:val="44"/>
          <w:highlight w:val="none"/>
        </w:rPr>
      </w:pPr>
    </w:p>
    <w:p w14:paraId="70D9243C">
      <w:pPr>
        <w:jc w:val="center"/>
        <w:rPr>
          <w:rFonts w:hint="eastAsia" w:ascii="Times New Roman" w:hAnsi="Times New Roman" w:eastAsia="仿宋"/>
          <w:sz w:val="44"/>
          <w:highlight w:val="none"/>
        </w:rPr>
      </w:pPr>
    </w:p>
    <w:p w14:paraId="12B5417F">
      <w:pPr>
        <w:pStyle w:val="2"/>
        <w:rPr>
          <w:rFonts w:hint="eastAsia" w:ascii="Times New Roman" w:hAnsi="Times New Roman" w:eastAsia="仿宋"/>
          <w:sz w:val="44"/>
          <w:highlight w:val="none"/>
        </w:rPr>
      </w:pPr>
    </w:p>
    <w:p w14:paraId="4AC85191">
      <w:pPr>
        <w:pStyle w:val="3"/>
        <w:rPr>
          <w:rFonts w:hint="eastAsia" w:ascii="Times New Roman" w:hAnsi="Times New Roman"/>
        </w:rPr>
      </w:pPr>
    </w:p>
    <w:p w14:paraId="451B8AFC">
      <w:pPr>
        <w:ind w:firstLine="2200" w:firstLineChars="500"/>
        <w:rPr>
          <w:rFonts w:hint="default" w:ascii="Times New Roman" w:hAnsi="Times New Roman" w:eastAsia="方正小标宋简体" w:cs="Times New Roman"/>
          <w:sz w:val="44"/>
          <w:highlight w:val="none"/>
        </w:rPr>
      </w:pPr>
    </w:p>
    <w:p w14:paraId="0CA900DB">
      <w:pPr>
        <w:ind w:firstLine="2200" w:firstLineChars="500"/>
        <w:rPr>
          <w:rFonts w:hint="default" w:ascii="Times New Roman" w:hAnsi="Times New Roman" w:eastAsia="方正小标宋简体" w:cs="Times New Roman"/>
          <w:sz w:val="44"/>
          <w:highlight w:val="none"/>
        </w:rPr>
      </w:pPr>
    </w:p>
    <w:p w14:paraId="6BE401F2">
      <w:pPr>
        <w:ind w:firstLine="2200" w:firstLineChars="500"/>
        <w:rPr>
          <w:rFonts w:hint="default" w:ascii="Times New Roman" w:hAnsi="Times New Roman" w:eastAsia="方正小标宋简体" w:cs="Times New Roman"/>
          <w:sz w:val="44"/>
          <w:highlight w:val="none"/>
        </w:rPr>
      </w:pPr>
      <w:r>
        <w:rPr>
          <w:rFonts w:hint="default" w:ascii="Times New Roman" w:hAnsi="Times New Roman" w:eastAsia="方正小标宋简体" w:cs="Times New Roman"/>
          <w:sz w:val="44"/>
          <w:highlight w:val="none"/>
        </w:rPr>
        <w:t xml:space="preserve">第一部分  </w:t>
      </w:r>
      <w:r>
        <w:rPr>
          <w:rFonts w:hint="default" w:ascii="Times New Roman" w:hAnsi="Times New Roman" w:eastAsia="方正小标宋简体" w:cs="Times New Roman"/>
          <w:sz w:val="44"/>
          <w:highlight w:val="none"/>
          <w:lang w:val="en-US" w:eastAsia="zh-CN"/>
        </w:rPr>
        <w:t>单位</w:t>
      </w:r>
      <w:r>
        <w:rPr>
          <w:rFonts w:hint="default" w:ascii="Times New Roman" w:hAnsi="Times New Roman" w:eastAsia="方正小标宋简体" w:cs="Times New Roman"/>
          <w:sz w:val="44"/>
          <w:highlight w:val="none"/>
        </w:rPr>
        <w:t>概况</w:t>
      </w:r>
    </w:p>
    <w:p w14:paraId="3564D496">
      <w:pPr>
        <w:jc w:val="center"/>
        <w:rPr>
          <w:rFonts w:hint="default" w:ascii="Times New Roman" w:hAnsi="Times New Roman" w:eastAsia="仿宋" w:cs="Times New Roman"/>
          <w:sz w:val="32"/>
          <w:highlight w:val="none"/>
        </w:rPr>
      </w:pPr>
    </w:p>
    <w:p w14:paraId="19D0D74B">
      <w:pPr>
        <w:ind w:firstLine="720" w:firstLineChars="225"/>
        <w:rPr>
          <w:rFonts w:hint="default" w:ascii="Times New Roman" w:hAnsi="Times New Roman" w:eastAsia="黑体" w:cs="Times New Roman"/>
          <w:sz w:val="32"/>
          <w:szCs w:val="24"/>
        </w:rPr>
      </w:pPr>
      <w:r>
        <w:rPr>
          <w:rFonts w:hint="default" w:ascii="Times New Roman" w:hAnsi="Times New Roman" w:eastAsia="黑体" w:cs="Times New Roman"/>
          <w:sz w:val="32"/>
          <w:szCs w:val="24"/>
        </w:rPr>
        <w:t>一、</w:t>
      </w:r>
      <w:r>
        <w:rPr>
          <w:rFonts w:hint="default" w:ascii="Times New Roman" w:hAnsi="Times New Roman" w:eastAsia="黑体" w:cs="Times New Roman"/>
          <w:sz w:val="32"/>
          <w:highlight w:val="none"/>
          <w:lang w:eastAsia="zh-CN"/>
        </w:rPr>
        <w:t>单位</w:t>
      </w:r>
      <w:r>
        <w:rPr>
          <w:rFonts w:hint="default" w:ascii="Times New Roman" w:hAnsi="Times New Roman" w:eastAsia="黑体" w:cs="Times New Roman"/>
          <w:sz w:val="32"/>
          <w:szCs w:val="24"/>
        </w:rPr>
        <w:t>主要职责</w:t>
      </w:r>
    </w:p>
    <w:p w14:paraId="598A9DA1">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1、贯彻执行国家统计方针、政策和法律法规，制定全市统计规划及统计调查计划；监督检查统计法律、法规的实施。组织领导全市统计工作，承担确保统计数据真实、准确、及时的责任。</w:t>
      </w:r>
    </w:p>
    <w:p w14:paraId="0F2C21AB">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2、根据全国统一的基本统计制度，建立健全全市国民经济核算体系和统计指标体系，贯彻执行全省统一的基本统计报表制度和统计标准；汇编提供全市国民经济核算资料。</w:t>
      </w:r>
    </w:p>
    <w:p w14:paraId="43ECEF2E">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3、组织实施重大省情省力普查计划；统一组织协调全市社会经济统计调查；汇总、整理全市基本统计资料；对国民经济、科技进步和社会发展等情况进行统计分析、统计预测预警和统计监督，向市委、市政府和有关</w:t>
      </w:r>
      <w:r>
        <w:rPr>
          <w:rFonts w:hint="default" w:ascii="Times New Roman" w:hAnsi="Times New Roman" w:eastAsia="仿宋_GB2312" w:cs="Times New Roman"/>
          <w:sz w:val="32"/>
          <w:szCs w:val="24"/>
          <w:lang w:eastAsia="zh-CN"/>
        </w:rPr>
        <w:t>单位</w:t>
      </w:r>
      <w:r>
        <w:rPr>
          <w:rFonts w:hint="default" w:ascii="Times New Roman" w:hAnsi="Times New Roman" w:eastAsia="仿宋_GB2312" w:cs="Times New Roman"/>
          <w:sz w:val="32"/>
          <w:szCs w:val="24"/>
        </w:rPr>
        <w:t>提供统计信息和咨询建议。</w:t>
      </w:r>
    </w:p>
    <w:p w14:paraId="7EF13811">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4、统一核定、管理、公布全市基本统计资料，定期向社会公众发布全市国民经济和社会发展情况的统计信息。</w:t>
      </w:r>
    </w:p>
    <w:p w14:paraId="12F39858">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5、建立、完善和管理全市统计信息自动化系统和全市统计数据库体系。</w:t>
      </w:r>
    </w:p>
    <w:p w14:paraId="17E57055">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6、负责全市统计系统的干部人事、劳动工资、机构编制和财务经费、审计监督及资产设施管理。</w:t>
      </w:r>
    </w:p>
    <w:p w14:paraId="4B9B884A">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 xml:space="preserve">7、领导局属事业单位。                                                                                                                                                        </w:t>
      </w:r>
    </w:p>
    <w:p w14:paraId="62E0F806">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8、承办延边朝鲜族自治州统计局及和龙市政府交办的其他事项。</w:t>
      </w:r>
    </w:p>
    <w:p w14:paraId="0C2A0B4F">
      <w:pPr>
        <w:ind w:firstLine="640" w:firstLineChars="200"/>
        <w:rPr>
          <w:rFonts w:hint="default" w:ascii="Times New Roman" w:hAnsi="Times New Roman" w:eastAsia="黑体" w:cs="Times New Roman"/>
          <w:sz w:val="32"/>
          <w:szCs w:val="24"/>
        </w:rPr>
      </w:pPr>
      <w:r>
        <w:rPr>
          <w:rFonts w:hint="default" w:ascii="Times New Roman" w:hAnsi="Times New Roman" w:eastAsia="黑体" w:cs="Times New Roman"/>
          <w:sz w:val="32"/>
          <w:szCs w:val="24"/>
        </w:rPr>
        <w:t>二、</w:t>
      </w:r>
      <w:r>
        <w:rPr>
          <w:rFonts w:hint="default" w:ascii="Times New Roman" w:hAnsi="Times New Roman" w:eastAsia="黑体" w:cs="Times New Roman"/>
          <w:sz w:val="32"/>
          <w:highlight w:val="none"/>
        </w:rPr>
        <w:t>机构设置及</w:t>
      </w:r>
      <w:r>
        <w:rPr>
          <w:rFonts w:hint="default" w:ascii="Times New Roman" w:hAnsi="Times New Roman" w:eastAsia="黑体" w:cs="Times New Roman"/>
          <w:sz w:val="32"/>
          <w:highlight w:val="none"/>
          <w:lang w:eastAsia="zh-CN"/>
        </w:rPr>
        <w:t>单位</w:t>
      </w:r>
      <w:r>
        <w:rPr>
          <w:rFonts w:hint="default" w:ascii="Times New Roman" w:hAnsi="Times New Roman" w:eastAsia="黑体" w:cs="Times New Roman"/>
          <w:sz w:val="32"/>
          <w:highlight w:val="none"/>
        </w:rPr>
        <w:t>决算单位构成</w:t>
      </w:r>
    </w:p>
    <w:p w14:paraId="56EB94C5">
      <w:pPr>
        <w:ind w:firstLine="640" w:firstLineChars="200"/>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根据上述职责，和龙市统计局内设3个机构，分别为办公室、综合统计科、社会经济统计科。</w:t>
      </w:r>
    </w:p>
    <w:p w14:paraId="1B39BBEC">
      <w:pPr>
        <w:ind w:firstLine="640" w:firstLineChars="200"/>
        <w:jc w:val="left"/>
        <w:rPr>
          <w:rFonts w:hint="default" w:ascii="Times New Roman" w:hAnsi="Times New Roman" w:eastAsia="宋体" w:cs="Times New Roman"/>
          <w:color w:val="121212"/>
          <w:sz w:val="32"/>
          <w:szCs w:val="24"/>
        </w:rPr>
      </w:pPr>
      <w:r>
        <w:rPr>
          <w:rFonts w:hint="default" w:ascii="Times New Roman" w:hAnsi="Times New Roman" w:eastAsia="仿宋_GB2312" w:cs="Times New Roman"/>
          <w:sz w:val="32"/>
          <w:szCs w:val="24"/>
        </w:rPr>
        <w:t>本单位无下</w:t>
      </w:r>
      <w:r>
        <w:rPr>
          <w:rFonts w:hint="default" w:ascii="Times New Roman" w:hAnsi="Times New Roman" w:eastAsia="仿宋_GB2312" w:cs="Times New Roman"/>
          <w:color w:val="121212"/>
          <w:sz w:val="32"/>
          <w:szCs w:val="24"/>
        </w:rPr>
        <w:t>设</w:t>
      </w:r>
      <w:r>
        <w:rPr>
          <w:rFonts w:hint="eastAsia" w:ascii="Times New Roman" w:hAnsi="Times New Roman" w:eastAsia="仿宋_GB2312" w:cs="Times New Roman"/>
          <w:color w:val="121212"/>
          <w:sz w:val="32"/>
          <w:szCs w:val="24"/>
          <w:lang w:val="en-US" w:eastAsia="zh-CN"/>
        </w:rPr>
        <w:t>决算</w:t>
      </w:r>
      <w:r>
        <w:rPr>
          <w:rFonts w:hint="default" w:ascii="Times New Roman" w:hAnsi="Times New Roman" w:eastAsia="仿宋_GB2312" w:cs="Times New Roman"/>
          <w:color w:val="121212"/>
          <w:sz w:val="32"/>
          <w:szCs w:val="24"/>
        </w:rPr>
        <w:t>单位。</w:t>
      </w:r>
    </w:p>
    <w:p w14:paraId="032FB39B">
      <w:pPr>
        <w:jc w:val="center"/>
        <w:rPr>
          <w:rFonts w:hint="default" w:ascii="Times New Roman" w:hAnsi="Times New Roman" w:eastAsia="仿宋_GB2312" w:cs="Times New Roman"/>
          <w:sz w:val="44"/>
          <w:szCs w:val="24"/>
        </w:rPr>
      </w:pPr>
    </w:p>
    <w:p w14:paraId="076FC3DF">
      <w:pPr>
        <w:jc w:val="center"/>
        <w:rPr>
          <w:rFonts w:hint="default" w:ascii="Times New Roman" w:hAnsi="Times New Roman" w:eastAsia="仿宋_GB2312" w:cs="Times New Roman"/>
          <w:sz w:val="44"/>
          <w:szCs w:val="24"/>
        </w:rPr>
      </w:pPr>
    </w:p>
    <w:p w14:paraId="0335066E">
      <w:pPr>
        <w:jc w:val="center"/>
        <w:rPr>
          <w:rFonts w:hint="default" w:ascii="Times New Roman" w:hAnsi="Times New Roman" w:eastAsia="仿宋_GB2312" w:cs="Times New Roman"/>
          <w:sz w:val="44"/>
          <w:szCs w:val="24"/>
        </w:rPr>
      </w:pPr>
    </w:p>
    <w:p w14:paraId="2488FABC">
      <w:pPr>
        <w:jc w:val="center"/>
        <w:rPr>
          <w:rFonts w:hint="default" w:ascii="Times New Roman" w:hAnsi="Times New Roman" w:eastAsia="仿宋_GB2312" w:cs="Times New Roman"/>
          <w:sz w:val="44"/>
          <w:szCs w:val="24"/>
        </w:rPr>
      </w:pPr>
    </w:p>
    <w:p w14:paraId="7035FBCF">
      <w:pPr>
        <w:jc w:val="center"/>
        <w:rPr>
          <w:rFonts w:hint="default" w:ascii="Times New Roman" w:hAnsi="Times New Roman" w:eastAsia="仿宋_GB2312" w:cs="Times New Roman"/>
          <w:sz w:val="44"/>
          <w:szCs w:val="24"/>
        </w:rPr>
      </w:pPr>
    </w:p>
    <w:p w14:paraId="475EC9AB">
      <w:pPr>
        <w:jc w:val="center"/>
        <w:rPr>
          <w:rFonts w:hint="default" w:ascii="Times New Roman" w:hAnsi="Times New Roman" w:eastAsia="仿宋_GB2312" w:cs="Times New Roman"/>
          <w:sz w:val="44"/>
          <w:szCs w:val="24"/>
        </w:rPr>
      </w:pPr>
    </w:p>
    <w:p w14:paraId="315068BB">
      <w:pPr>
        <w:jc w:val="center"/>
        <w:rPr>
          <w:rFonts w:hint="default" w:ascii="Times New Roman" w:hAnsi="Times New Roman" w:eastAsia="仿宋_GB2312" w:cs="Times New Roman"/>
          <w:sz w:val="44"/>
          <w:szCs w:val="24"/>
        </w:rPr>
      </w:pPr>
    </w:p>
    <w:p w14:paraId="0EBE5F15">
      <w:pPr>
        <w:jc w:val="center"/>
        <w:rPr>
          <w:rFonts w:hint="default" w:ascii="Times New Roman" w:hAnsi="Times New Roman" w:eastAsia="仿宋_GB2312" w:cs="Times New Roman"/>
          <w:sz w:val="44"/>
          <w:szCs w:val="24"/>
        </w:rPr>
      </w:pPr>
    </w:p>
    <w:p w14:paraId="6354CA8A">
      <w:pPr>
        <w:jc w:val="center"/>
        <w:rPr>
          <w:rFonts w:hint="default" w:ascii="Times New Roman" w:hAnsi="Times New Roman" w:eastAsia="仿宋_GB2312" w:cs="Times New Roman"/>
          <w:sz w:val="44"/>
          <w:szCs w:val="24"/>
        </w:rPr>
      </w:pPr>
    </w:p>
    <w:p w14:paraId="30674FC1">
      <w:pPr>
        <w:jc w:val="center"/>
        <w:rPr>
          <w:rFonts w:hint="default" w:ascii="Times New Roman" w:hAnsi="Times New Roman" w:eastAsia="仿宋_GB2312" w:cs="Times New Roman"/>
          <w:sz w:val="44"/>
          <w:szCs w:val="24"/>
        </w:rPr>
      </w:pPr>
    </w:p>
    <w:p w14:paraId="72AE92EA">
      <w:pPr>
        <w:jc w:val="both"/>
        <w:rPr>
          <w:rFonts w:hint="default" w:ascii="Times New Roman" w:hAnsi="Times New Roman" w:eastAsia="仿宋" w:cs="Times New Roman"/>
          <w:sz w:val="44"/>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rtlGutter w:val="0"/>
          <w:docGrid w:type="lines" w:linePitch="312" w:charSpace="0"/>
        </w:sectPr>
      </w:pPr>
    </w:p>
    <w:p w14:paraId="385B68C5">
      <w:pPr>
        <w:jc w:val="center"/>
        <w:rPr>
          <w:rFonts w:hint="default" w:ascii="Times New Roman" w:hAnsi="Times New Roman" w:eastAsia="方正小标宋简体" w:cs="Times New Roman"/>
          <w:b w:val="0"/>
          <w:bCs w:val="0"/>
          <w:sz w:val="44"/>
        </w:rPr>
      </w:pPr>
      <w:r>
        <w:rPr>
          <w:rFonts w:hint="default" w:ascii="Times New Roman" w:hAnsi="Times New Roman" w:eastAsia="方正小标宋简体" w:cs="Times New Roman"/>
          <w:b w:val="0"/>
          <w:bCs w:val="0"/>
          <w:sz w:val="44"/>
        </w:rPr>
        <w:t xml:space="preserve">第二部分 </w:t>
      </w:r>
      <w:r>
        <w:rPr>
          <w:rFonts w:hint="default" w:ascii="Times New Roman" w:hAnsi="Times New Roman" w:eastAsia="方正小标宋简体" w:cs="Times New Roman"/>
          <w:b w:val="0"/>
          <w:bCs w:val="0"/>
          <w:sz w:val="44"/>
          <w:lang w:eastAsia="zh-CN"/>
        </w:rPr>
        <w:t>2025</w:t>
      </w:r>
      <w:r>
        <w:rPr>
          <w:rFonts w:hint="default" w:ascii="Times New Roman" w:hAnsi="Times New Roman" w:eastAsia="方正小标宋简体" w:cs="Times New Roman"/>
          <w:b w:val="0"/>
          <w:bCs w:val="0"/>
          <w:sz w:val="44"/>
        </w:rPr>
        <w:t>年度</w:t>
      </w:r>
      <w:r>
        <w:rPr>
          <w:rFonts w:hint="default" w:ascii="Times New Roman" w:hAnsi="Times New Roman" w:eastAsia="方正小标宋简体" w:cs="Times New Roman"/>
          <w:sz w:val="44"/>
          <w:highlight w:val="none"/>
          <w:lang w:eastAsia="zh-CN"/>
        </w:rPr>
        <w:t>单位</w:t>
      </w:r>
      <w:r>
        <w:rPr>
          <w:rFonts w:hint="default" w:ascii="Times New Roman" w:hAnsi="Times New Roman" w:eastAsia="方正小标宋简体" w:cs="Times New Roman"/>
          <w:b w:val="0"/>
          <w:bCs w:val="0"/>
          <w:sz w:val="44"/>
        </w:rPr>
        <w:t>决算表</w:t>
      </w:r>
    </w:p>
    <w:p w14:paraId="75A8213B">
      <w:pPr>
        <w:numPr>
          <w:ilvl w:val="0"/>
          <w:numId w:val="0"/>
        </w:numPr>
        <w:ind w:firstLine="640" w:firstLineChars="200"/>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lang w:eastAsia="zh-CN"/>
        </w:rPr>
        <w:t>一、</w:t>
      </w:r>
      <w:r>
        <w:rPr>
          <w:rFonts w:hint="default" w:ascii="Times New Roman" w:hAnsi="Times New Roman" w:eastAsia="黑体" w:cs="Times New Roman"/>
          <w:b w:val="0"/>
          <w:bCs w:val="0"/>
          <w:sz w:val="32"/>
        </w:rPr>
        <w:t>收入支出决算总表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86"/>
        <w:gridCol w:w="911"/>
        <w:gridCol w:w="1490"/>
        <w:gridCol w:w="4210"/>
        <w:gridCol w:w="930"/>
        <w:gridCol w:w="1566"/>
      </w:tblGrid>
      <w:tr w14:paraId="1C20E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13293" w:type="dxa"/>
            <w:gridSpan w:val="6"/>
            <w:tcBorders>
              <w:top w:val="nil"/>
              <w:left w:val="nil"/>
              <w:bottom w:val="nil"/>
              <w:right w:val="nil"/>
            </w:tcBorders>
            <w:noWrap w:val="0"/>
            <w:vAlign w:val="center"/>
          </w:tcPr>
          <w:p w14:paraId="7BE35757">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收入支出决算总表</w:t>
            </w:r>
          </w:p>
        </w:tc>
      </w:tr>
      <w:tr w14:paraId="7240B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4186" w:type="dxa"/>
            <w:tcBorders>
              <w:top w:val="nil"/>
              <w:left w:val="nil"/>
              <w:bottom w:val="nil"/>
              <w:right w:val="nil"/>
            </w:tcBorders>
            <w:shd w:val="clear" w:color="auto" w:fill="FFFFFF"/>
            <w:noWrap w:val="0"/>
            <w:vAlign w:val="center"/>
          </w:tcPr>
          <w:p w14:paraId="47D17D65">
            <w:pPr>
              <w:jc w:val="right"/>
              <w:rPr>
                <w:rFonts w:hint="default" w:ascii="Times New Roman" w:hAnsi="Times New Roman" w:eastAsia="宋体" w:cs="Times New Roman"/>
                <w:i w:val="0"/>
                <w:iCs w:val="0"/>
                <w:color w:val="000000"/>
                <w:sz w:val="24"/>
                <w:szCs w:val="24"/>
                <w:u w:val="none"/>
              </w:rPr>
            </w:pPr>
          </w:p>
        </w:tc>
        <w:tc>
          <w:tcPr>
            <w:tcW w:w="911" w:type="dxa"/>
            <w:tcBorders>
              <w:top w:val="nil"/>
              <w:left w:val="nil"/>
              <w:bottom w:val="nil"/>
              <w:right w:val="nil"/>
            </w:tcBorders>
            <w:shd w:val="clear" w:color="auto" w:fill="FFFFFF"/>
            <w:noWrap w:val="0"/>
            <w:vAlign w:val="center"/>
          </w:tcPr>
          <w:p w14:paraId="0DCFD3E3">
            <w:pPr>
              <w:jc w:val="right"/>
              <w:rPr>
                <w:rFonts w:hint="default" w:ascii="Times New Roman" w:hAnsi="Times New Roman" w:eastAsia="宋体" w:cs="Times New Roman"/>
                <w:i w:val="0"/>
                <w:iCs w:val="0"/>
                <w:color w:val="000000"/>
                <w:sz w:val="24"/>
                <w:szCs w:val="24"/>
                <w:u w:val="none"/>
              </w:rPr>
            </w:pPr>
          </w:p>
        </w:tc>
        <w:tc>
          <w:tcPr>
            <w:tcW w:w="1490" w:type="dxa"/>
            <w:tcBorders>
              <w:top w:val="nil"/>
              <w:left w:val="nil"/>
              <w:bottom w:val="nil"/>
              <w:right w:val="nil"/>
            </w:tcBorders>
            <w:shd w:val="clear" w:color="auto" w:fill="FFFFFF"/>
            <w:noWrap w:val="0"/>
            <w:vAlign w:val="center"/>
          </w:tcPr>
          <w:p w14:paraId="463C0A2E">
            <w:pPr>
              <w:jc w:val="right"/>
              <w:rPr>
                <w:rFonts w:hint="default" w:ascii="Times New Roman" w:hAnsi="Times New Roman" w:eastAsia="宋体" w:cs="Times New Roman"/>
                <w:i w:val="0"/>
                <w:iCs w:val="0"/>
                <w:color w:val="000000"/>
                <w:sz w:val="24"/>
                <w:szCs w:val="24"/>
                <w:u w:val="none"/>
              </w:rPr>
            </w:pPr>
          </w:p>
        </w:tc>
        <w:tc>
          <w:tcPr>
            <w:tcW w:w="4210" w:type="dxa"/>
            <w:tcBorders>
              <w:top w:val="nil"/>
              <w:left w:val="nil"/>
              <w:bottom w:val="nil"/>
              <w:right w:val="nil"/>
            </w:tcBorders>
            <w:shd w:val="clear" w:color="auto" w:fill="FFFFFF"/>
            <w:noWrap w:val="0"/>
            <w:vAlign w:val="center"/>
          </w:tcPr>
          <w:p w14:paraId="2FF27AFB">
            <w:pPr>
              <w:jc w:val="right"/>
              <w:rPr>
                <w:rFonts w:hint="default" w:ascii="Times New Roman" w:hAnsi="Times New Roman" w:eastAsia="宋体" w:cs="Times New Roman"/>
                <w:i w:val="0"/>
                <w:iCs w:val="0"/>
                <w:color w:val="000000"/>
                <w:sz w:val="24"/>
                <w:szCs w:val="24"/>
                <w:u w:val="none"/>
              </w:rPr>
            </w:pPr>
          </w:p>
        </w:tc>
        <w:tc>
          <w:tcPr>
            <w:tcW w:w="930" w:type="dxa"/>
            <w:tcBorders>
              <w:top w:val="nil"/>
              <w:left w:val="nil"/>
              <w:bottom w:val="nil"/>
              <w:right w:val="nil"/>
            </w:tcBorders>
            <w:shd w:val="clear" w:color="auto" w:fill="FFFFFF"/>
            <w:noWrap w:val="0"/>
            <w:vAlign w:val="center"/>
          </w:tcPr>
          <w:p w14:paraId="5DF869E0">
            <w:pPr>
              <w:jc w:val="right"/>
              <w:rPr>
                <w:rFonts w:hint="default" w:ascii="Times New Roman" w:hAnsi="Times New Roman" w:eastAsia="宋体" w:cs="Times New Roman"/>
                <w:i w:val="0"/>
                <w:iCs w:val="0"/>
                <w:color w:val="000000"/>
                <w:sz w:val="24"/>
                <w:szCs w:val="24"/>
                <w:u w:val="none"/>
              </w:rPr>
            </w:pPr>
          </w:p>
        </w:tc>
        <w:tc>
          <w:tcPr>
            <w:tcW w:w="1566" w:type="dxa"/>
            <w:tcBorders>
              <w:top w:val="nil"/>
              <w:left w:val="nil"/>
              <w:bottom w:val="nil"/>
              <w:right w:val="nil"/>
            </w:tcBorders>
            <w:shd w:val="clear" w:color="auto" w:fill="FFFFFF"/>
            <w:noWrap w:val="0"/>
            <w:vAlign w:val="center"/>
          </w:tcPr>
          <w:p w14:paraId="02B180E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公开01表</w:t>
            </w:r>
          </w:p>
        </w:tc>
      </w:tr>
      <w:tr w14:paraId="70F9F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4186" w:type="dxa"/>
            <w:tcBorders>
              <w:top w:val="nil"/>
              <w:left w:val="nil"/>
              <w:bottom w:val="nil"/>
              <w:right w:val="nil"/>
            </w:tcBorders>
            <w:shd w:val="clear" w:color="auto" w:fill="FFFFFF"/>
            <w:noWrap w:val="0"/>
            <w:vAlign w:val="center"/>
          </w:tcPr>
          <w:p w14:paraId="1EC532A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911" w:type="dxa"/>
            <w:tcBorders>
              <w:top w:val="nil"/>
              <w:left w:val="nil"/>
              <w:bottom w:val="nil"/>
              <w:right w:val="nil"/>
            </w:tcBorders>
            <w:shd w:val="clear" w:color="auto" w:fill="FFFFFF"/>
            <w:noWrap w:val="0"/>
            <w:vAlign w:val="center"/>
          </w:tcPr>
          <w:p w14:paraId="2BC04A09">
            <w:pPr>
              <w:jc w:val="right"/>
              <w:rPr>
                <w:rFonts w:hint="default" w:ascii="Times New Roman" w:hAnsi="Times New Roman" w:eastAsia="宋体" w:cs="Times New Roman"/>
                <w:i w:val="0"/>
                <w:iCs w:val="0"/>
                <w:color w:val="000000"/>
                <w:sz w:val="20"/>
                <w:szCs w:val="20"/>
                <w:u w:val="none"/>
              </w:rPr>
            </w:pPr>
          </w:p>
        </w:tc>
        <w:tc>
          <w:tcPr>
            <w:tcW w:w="1490" w:type="dxa"/>
            <w:tcBorders>
              <w:top w:val="nil"/>
              <w:left w:val="nil"/>
              <w:bottom w:val="nil"/>
              <w:right w:val="nil"/>
            </w:tcBorders>
            <w:shd w:val="clear" w:color="auto" w:fill="FFFFFF"/>
            <w:noWrap w:val="0"/>
            <w:vAlign w:val="center"/>
          </w:tcPr>
          <w:p w14:paraId="1E734D42">
            <w:pPr>
              <w:jc w:val="right"/>
              <w:rPr>
                <w:rFonts w:hint="default" w:ascii="Times New Roman" w:hAnsi="Times New Roman" w:eastAsia="宋体" w:cs="Times New Roman"/>
                <w:i w:val="0"/>
                <w:iCs w:val="0"/>
                <w:color w:val="000000"/>
                <w:sz w:val="20"/>
                <w:szCs w:val="20"/>
                <w:u w:val="none"/>
              </w:rPr>
            </w:pPr>
          </w:p>
        </w:tc>
        <w:tc>
          <w:tcPr>
            <w:tcW w:w="4210" w:type="dxa"/>
            <w:tcBorders>
              <w:top w:val="nil"/>
              <w:left w:val="nil"/>
              <w:bottom w:val="nil"/>
              <w:right w:val="nil"/>
            </w:tcBorders>
            <w:shd w:val="clear" w:color="auto" w:fill="FFFFFF"/>
            <w:noWrap w:val="0"/>
            <w:vAlign w:val="center"/>
          </w:tcPr>
          <w:p w14:paraId="0124FC3F">
            <w:pPr>
              <w:jc w:val="right"/>
              <w:rPr>
                <w:rFonts w:hint="default" w:ascii="Times New Roman" w:hAnsi="Times New Roman" w:eastAsia="宋体" w:cs="Times New Roman"/>
                <w:i w:val="0"/>
                <w:iCs w:val="0"/>
                <w:color w:val="000000"/>
                <w:sz w:val="20"/>
                <w:szCs w:val="20"/>
                <w:u w:val="none"/>
              </w:rPr>
            </w:pPr>
          </w:p>
        </w:tc>
        <w:tc>
          <w:tcPr>
            <w:tcW w:w="930" w:type="dxa"/>
            <w:tcBorders>
              <w:top w:val="nil"/>
              <w:left w:val="nil"/>
              <w:bottom w:val="nil"/>
              <w:right w:val="nil"/>
            </w:tcBorders>
            <w:shd w:val="clear" w:color="auto" w:fill="FFFFFF"/>
            <w:noWrap w:val="0"/>
            <w:vAlign w:val="center"/>
          </w:tcPr>
          <w:p w14:paraId="5EE16EE2">
            <w:pPr>
              <w:jc w:val="right"/>
              <w:rPr>
                <w:rFonts w:hint="default" w:ascii="Times New Roman" w:hAnsi="Times New Roman" w:eastAsia="宋体" w:cs="Times New Roman"/>
                <w:i w:val="0"/>
                <w:iCs w:val="0"/>
                <w:color w:val="000000"/>
                <w:sz w:val="20"/>
                <w:szCs w:val="20"/>
                <w:u w:val="none"/>
              </w:rPr>
            </w:pPr>
          </w:p>
        </w:tc>
        <w:tc>
          <w:tcPr>
            <w:tcW w:w="1566" w:type="dxa"/>
            <w:tcBorders>
              <w:top w:val="nil"/>
              <w:left w:val="nil"/>
              <w:bottom w:val="nil"/>
              <w:right w:val="nil"/>
            </w:tcBorders>
            <w:shd w:val="clear" w:color="auto" w:fill="FFFFFF"/>
            <w:noWrap w:val="0"/>
            <w:vAlign w:val="center"/>
          </w:tcPr>
          <w:p w14:paraId="00D8D27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18993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6587"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B99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收入</w:t>
            </w:r>
          </w:p>
        </w:tc>
        <w:tc>
          <w:tcPr>
            <w:tcW w:w="670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602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支出</w:t>
            </w:r>
          </w:p>
        </w:tc>
      </w:tr>
      <w:tr w14:paraId="1FDA2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55DA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38B5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行次</w:t>
            </w:r>
          </w:p>
        </w:tc>
        <w:tc>
          <w:tcPr>
            <w:tcW w:w="14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C50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10F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AEB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行次</w:t>
            </w:r>
          </w:p>
        </w:tc>
        <w:tc>
          <w:tcPr>
            <w:tcW w:w="156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AD4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r>
      <w:tr w14:paraId="4F4AD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5C8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    次</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C2255">
            <w:pPr>
              <w:jc w:val="center"/>
              <w:rPr>
                <w:rFonts w:hint="default" w:ascii="Times New Roman" w:hAnsi="Times New Roman" w:eastAsia="宋体" w:cs="Times New Roman"/>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1960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281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    次</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65A08">
            <w:pPr>
              <w:jc w:val="center"/>
              <w:rPr>
                <w:rFonts w:hint="default" w:ascii="Times New Roman" w:hAnsi="Times New Roman" w:eastAsia="宋体" w:cs="Times New Roman"/>
                <w:i w:val="0"/>
                <w:iCs w:val="0"/>
                <w:color w:val="000000"/>
                <w:sz w:val="20"/>
                <w:szCs w:val="20"/>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C3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r>
      <w:tr w14:paraId="796D0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B4F7A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一、一般公共预算财政拨款收入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EFD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490" w:type="dxa"/>
            <w:tcBorders>
              <w:top w:val="nil"/>
              <w:left w:val="nil"/>
              <w:bottom w:val="single" w:color="000000" w:sz="4" w:space="0"/>
              <w:right w:val="single" w:color="000000" w:sz="4" w:space="0"/>
            </w:tcBorders>
            <w:shd w:val="clear" w:color="auto" w:fill="FFFFFF"/>
            <w:noWrap w:val="0"/>
            <w:vAlign w:val="center"/>
          </w:tcPr>
          <w:p w14:paraId="0285B4A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192.79</w:t>
            </w: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39C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一、一般公共服务支出</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135A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1566" w:type="dxa"/>
            <w:tcBorders>
              <w:top w:val="nil"/>
              <w:left w:val="nil"/>
              <w:bottom w:val="single" w:color="000000" w:sz="4" w:space="0"/>
              <w:right w:val="single" w:color="000000" w:sz="4" w:space="0"/>
            </w:tcBorders>
            <w:noWrap w:val="0"/>
            <w:vAlign w:val="center"/>
          </w:tcPr>
          <w:p w14:paraId="23A8647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172.28 </w:t>
            </w:r>
          </w:p>
        </w:tc>
      </w:tr>
      <w:tr w14:paraId="48C73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C5AD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二、政府性基金预算财政拨款收入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53D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058AC8">
            <w:pPr>
              <w:jc w:val="right"/>
              <w:rPr>
                <w:rFonts w:hint="default" w:ascii="Times New Roman" w:hAnsi="Times New Roman" w:eastAsia="宋体" w:cs="Times New Roman"/>
                <w:i w:val="0"/>
                <w:iCs w:val="0"/>
                <w:color w:val="000000"/>
                <w:sz w:val="20"/>
                <w:szCs w:val="20"/>
                <w:u w:val="none"/>
              </w:rPr>
            </w:pP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279DD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二、社会保障和就业支出</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12E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66" w:type="dxa"/>
            <w:tcBorders>
              <w:top w:val="nil"/>
              <w:left w:val="nil"/>
              <w:bottom w:val="single" w:color="000000" w:sz="4" w:space="0"/>
              <w:right w:val="single" w:color="000000" w:sz="4" w:space="0"/>
            </w:tcBorders>
            <w:noWrap w:val="0"/>
            <w:vAlign w:val="center"/>
          </w:tcPr>
          <w:p w14:paraId="4425990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r>
      <w:tr w14:paraId="0136B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71F46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三、国有资本经营预算财政拨款收入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AED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76D532">
            <w:pPr>
              <w:jc w:val="right"/>
              <w:rPr>
                <w:rFonts w:hint="default" w:ascii="Times New Roman" w:hAnsi="Times New Roman" w:eastAsia="宋体" w:cs="Times New Roman"/>
                <w:i w:val="0"/>
                <w:iCs w:val="0"/>
                <w:color w:val="000000"/>
                <w:sz w:val="20"/>
                <w:szCs w:val="20"/>
                <w:u w:val="none"/>
              </w:rPr>
            </w:pP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382AD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三、卫生健康支出</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62A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566" w:type="dxa"/>
            <w:tcBorders>
              <w:top w:val="nil"/>
              <w:left w:val="nil"/>
              <w:bottom w:val="single" w:color="000000" w:sz="4" w:space="0"/>
              <w:right w:val="single" w:color="000000" w:sz="4" w:space="0"/>
            </w:tcBorders>
            <w:noWrap w:val="0"/>
            <w:vAlign w:val="center"/>
          </w:tcPr>
          <w:p w14:paraId="43AA674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r>
      <w:tr w14:paraId="3FDA4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F283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四、上级补助收入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DA1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07420">
            <w:pPr>
              <w:jc w:val="right"/>
              <w:rPr>
                <w:rFonts w:hint="default" w:ascii="Times New Roman" w:hAnsi="Times New Roman" w:eastAsia="宋体" w:cs="Times New Roman"/>
                <w:i w:val="0"/>
                <w:iCs w:val="0"/>
                <w:color w:val="000000"/>
                <w:sz w:val="20"/>
                <w:szCs w:val="20"/>
                <w:u w:val="none"/>
              </w:rPr>
            </w:pP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3EF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四、住房保障支出</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98B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566" w:type="dxa"/>
            <w:tcBorders>
              <w:top w:val="nil"/>
              <w:left w:val="nil"/>
              <w:bottom w:val="single" w:color="000000" w:sz="4" w:space="0"/>
              <w:right w:val="single" w:color="000000" w:sz="4" w:space="0"/>
            </w:tcBorders>
            <w:noWrap w:val="0"/>
            <w:vAlign w:val="center"/>
          </w:tcPr>
          <w:p w14:paraId="3860F67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r>
      <w:tr w14:paraId="7856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EAD2B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五、事业收入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A0A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9EE3">
            <w:pPr>
              <w:jc w:val="right"/>
              <w:rPr>
                <w:rFonts w:hint="default" w:ascii="Times New Roman" w:hAnsi="Times New Roman" w:eastAsia="宋体" w:cs="Times New Roman"/>
                <w:i w:val="0"/>
                <w:iCs w:val="0"/>
                <w:color w:val="000000"/>
                <w:sz w:val="20"/>
                <w:szCs w:val="20"/>
                <w:u w:val="none"/>
              </w:rPr>
            </w:pP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5F5E6C">
            <w:pPr>
              <w:jc w:val="left"/>
              <w:rPr>
                <w:rFonts w:hint="default" w:ascii="Times New Roman" w:hAnsi="Times New Roman" w:eastAsia="宋体" w:cs="Times New Roman"/>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74D6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66" w:type="dxa"/>
            <w:tcBorders>
              <w:top w:val="single" w:color="000000" w:sz="4" w:space="0"/>
              <w:left w:val="single" w:color="000000" w:sz="4" w:space="0"/>
              <w:bottom w:val="single" w:color="000000" w:sz="4" w:space="0"/>
              <w:right w:val="single" w:color="000000" w:sz="4" w:space="0"/>
            </w:tcBorders>
            <w:noWrap w:val="0"/>
            <w:vAlign w:val="center"/>
          </w:tcPr>
          <w:p w14:paraId="0502F8B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0C733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187FC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六、经营收入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475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24765">
            <w:pPr>
              <w:jc w:val="right"/>
              <w:rPr>
                <w:rFonts w:hint="default" w:ascii="Times New Roman" w:hAnsi="Times New Roman" w:eastAsia="宋体" w:cs="Times New Roman"/>
                <w:i w:val="0"/>
                <w:iCs w:val="0"/>
                <w:color w:val="000000"/>
                <w:sz w:val="20"/>
                <w:szCs w:val="20"/>
                <w:u w:val="none"/>
              </w:rPr>
            </w:pP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88BCE1">
            <w:pPr>
              <w:jc w:val="left"/>
              <w:rPr>
                <w:rFonts w:hint="default" w:ascii="Times New Roman" w:hAnsi="Times New Roman" w:eastAsia="宋体" w:cs="Times New Roman"/>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9DF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566" w:type="dxa"/>
            <w:tcBorders>
              <w:top w:val="single" w:color="000000" w:sz="4" w:space="0"/>
              <w:left w:val="single" w:color="000000" w:sz="4" w:space="0"/>
              <w:bottom w:val="single" w:color="000000" w:sz="4" w:space="0"/>
              <w:right w:val="single" w:color="000000" w:sz="4" w:space="0"/>
            </w:tcBorders>
            <w:noWrap w:val="0"/>
            <w:vAlign w:val="center"/>
          </w:tcPr>
          <w:p w14:paraId="6772E09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35BEC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DA150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七、附属单位上缴收入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555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7C9C3">
            <w:pPr>
              <w:jc w:val="right"/>
              <w:rPr>
                <w:rFonts w:hint="default" w:ascii="Times New Roman" w:hAnsi="Times New Roman" w:eastAsia="宋体" w:cs="Times New Roman"/>
                <w:i w:val="0"/>
                <w:iCs w:val="0"/>
                <w:color w:val="000000"/>
                <w:sz w:val="20"/>
                <w:szCs w:val="20"/>
                <w:u w:val="none"/>
              </w:rPr>
            </w:pPr>
          </w:p>
        </w:tc>
        <w:tc>
          <w:tcPr>
            <w:tcW w:w="4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3530C">
            <w:pPr>
              <w:jc w:val="left"/>
              <w:rPr>
                <w:rFonts w:hint="default" w:ascii="Times New Roman" w:hAnsi="Times New Roman" w:eastAsia="宋体" w:cs="Times New Roman"/>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705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66" w:type="dxa"/>
            <w:tcBorders>
              <w:top w:val="single" w:color="000000" w:sz="4" w:space="0"/>
              <w:left w:val="single" w:color="000000" w:sz="4" w:space="0"/>
              <w:bottom w:val="single" w:color="000000" w:sz="4" w:space="0"/>
              <w:right w:val="single" w:color="000000" w:sz="4" w:space="0"/>
            </w:tcBorders>
            <w:noWrap w:val="0"/>
            <w:vAlign w:val="center"/>
          </w:tcPr>
          <w:p w14:paraId="10AF37A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08E5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58D4D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八、其他收入</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66A0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490" w:type="dxa"/>
            <w:tcBorders>
              <w:top w:val="nil"/>
              <w:left w:val="nil"/>
              <w:bottom w:val="single" w:color="000000" w:sz="4" w:space="0"/>
              <w:right w:val="single" w:color="000000" w:sz="4" w:space="0"/>
            </w:tcBorders>
            <w:shd w:val="clear" w:color="auto" w:fill="auto"/>
            <w:noWrap w:val="0"/>
            <w:vAlign w:val="center"/>
          </w:tcPr>
          <w:p w14:paraId="34F523D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30.01 </w:t>
            </w:r>
          </w:p>
        </w:tc>
        <w:tc>
          <w:tcPr>
            <w:tcW w:w="4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7927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B017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566" w:type="dxa"/>
            <w:tcBorders>
              <w:top w:val="single" w:color="000000" w:sz="4" w:space="0"/>
              <w:left w:val="single" w:color="000000" w:sz="4" w:space="0"/>
              <w:bottom w:val="single" w:color="000000" w:sz="4" w:space="0"/>
              <w:right w:val="single" w:color="000000" w:sz="4" w:space="0"/>
            </w:tcBorders>
            <w:noWrap w:val="0"/>
            <w:vAlign w:val="center"/>
          </w:tcPr>
          <w:p w14:paraId="1328AA3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22A7A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EA7F0">
            <w:pPr>
              <w:jc w:val="right"/>
              <w:rPr>
                <w:rFonts w:hint="default" w:ascii="Times New Roman" w:hAnsi="Times New Roman" w:eastAsia="宋体" w:cs="Times New Roman"/>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8D3A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D82E5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4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C37982">
            <w:pPr>
              <w:jc w:val="right"/>
              <w:rPr>
                <w:rFonts w:hint="default" w:ascii="Times New Roman" w:hAnsi="Times New Roman" w:eastAsia="宋体" w:cs="Times New Roman"/>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5B2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566" w:type="dxa"/>
            <w:tcBorders>
              <w:top w:val="single" w:color="000000" w:sz="4" w:space="0"/>
              <w:left w:val="single" w:color="000000" w:sz="4" w:space="0"/>
              <w:bottom w:val="single" w:color="000000" w:sz="4" w:space="0"/>
              <w:right w:val="single" w:color="000000" w:sz="4" w:space="0"/>
            </w:tcBorders>
            <w:noWrap w:val="0"/>
            <w:vAlign w:val="center"/>
          </w:tcPr>
          <w:p w14:paraId="3057EE3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717DD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50667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本年收入合计</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9A1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490" w:type="dxa"/>
            <w:tcBorders>
              <w:top w:val="nil"/>
              <w:left w:val="nil"/>
              <w:bottom w:val="single" w:color="000000" w:sz="4" w:space="0"/>
              <w:right w:val="single" w:color="000000" w:sz="4" w:space="0"/>
            </w:tcBorders>
            <w:shd w:val="clear" w:color="auto" w:fill="auto"/>
            <w:noWrap w:val="0"/>
            <w:vAlign w:val="center"/>
          </w:tcPr>
          <w:p w14:paraId="15DDCE5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222.80 </w:t>
            </w:r>
          </w:p>
        </w:tc>
        <w:tc>
          <w:tcPr>
            <w:tcW w:w="4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95642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本年支出合计</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EAE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566" w:type="dxa"/>
            <w:tcBorders>
              <w:top w:val="nil"/>
              <w:left w:val="nil"/>
              <w:bottom w:val="single" w:color="000000" w:sz="4" w:space="0"/>
              <w:right w:val="single" w:color="000000" w:sz="4" w:space="0"/>
            </w:tcBorders>
            <w:noWrap w:val="0"/>
            <w:vAlign w:val="center"/>
          </w:tcPr>
          <w:p w14:paraId="77FAA2C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210.57 </w:t>
            </w:r>
          </w:p>
        </w:tc>
      </w:tr>
      <w:tr w14:paraId="44164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35C8D">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使用非财政拨款结余（含专用结余）</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DB0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80AE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4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1019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结余分配</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D92D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566" w:type="dxa"/>
            <w:tcBorders>
              <w:top w:val="single" w:color="000000" w:sz="4" w:space="0"/>
              <w:left w:val="single" w:color="000000" w:sz="4" w:space="0"/>
              <w:bottom w:val="single" w:color="000000" w:sz="4" w:space="0"/>
              <w:right w:val="single" w:color="000000" w:sz="4" w:space="0"/>
            </w:tcBorders>
            <w:noWrap w:val="0"/>
            <w:vAlign w:val="center"/>
          </w:tcPr>
          <w:p w14:paraId="3AD501F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55A0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87CE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年初结转和结余</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8BC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490" w:type="dxa"/>
            <w:tcBorders>
              <w:top w:val="nil"/>
              <w:left w:val="nil"/>
              <w:bottom w:val="single" w:color="000000" w:sz="4" w:space="0"/>
              <w:right w:val="single" w:color="000000" w:sz="4" w:space="0"/>
            </w:tcBorders>
            <w:shd w:val="clear" w:color="auto" w:fill="auto"/>
            <w:noWrap w:val="0"/>
            <w:vAlign w:val="center"/>
          </w:tcPr>
          <w:p w14:paraId="19D371B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8.92 </w:t>
            </w:r>
          </w:p>
        </w:tc>
        <w:tc>
          <w:tcPr>
            <w:tcW w:w="4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1DB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年末结转和结余</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B21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566" w:type="dxa"/>
            <w:tcBorders>
              <w:top w:val="nil"/>
              <w:left w:val="nil"/>
              <w:bottom w:val="single" w:color="000000" w:sz="4" w:space="0"/>
              <w:right w:val="single" w:color="000000" w:sz="4" w:space="0"/>
            </w:tcBorders>
            <w:noWrap w:val="0"/>
            <w:vAlign w:val="center"/>
          </w:tcPr>
          <w:p w14:paraId="3FC3F0E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21.15 </w:t>
            </w:r>
          </w:p>
        </w:tc>
      </w:tr>
      <w:tr w14:paraId="65E70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F611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总计</w:t>
            </w:r>
          </w:p>
        </w:tc>
        <w:tc>
          <w:tcPr>
            <w:tcW w:w="9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9CD6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490" w:type="dxa"/>
            <w:tcBorders>
              <w:top w:val="nil"/>
              <w:left w:val="nil"/>
              <w:bottom w:val="single" w:color="000000" w:sz="4" w:space="0"/>
              <w:right w:val="single" w:color="000000" w:sz="4" w:space="0"/>
            </w:tcBorders>
            <w:shd w:val="clear" w:color="auto" w:fill="auto"/>
            <w:noWrap w:val="0"/>
            <w:vAlign w:val="center"/>
          </w:tcPr>
          <w:p w14:paraId="3F25BFF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231.72 </w:t>
            </w:r>
          </w:p>
        </w:tc>
        <w:tc>
          <w:tcPr>
            <w:tcW w:w="4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72A4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总计</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7BAE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566" w:type="dxa"/>
            <w:tcBorders>
              <w:top w:val="nil"/>
              <w:left w:val="nil"/>
              <w:bottom w:val="single" w:color="000000" w:sz="4" w:space="0"/>
              <w:right w:val="single" w:color="000000" w:sz="4" w:space="0"/>
            </w:tcBorders>
            <w:noWrap w:val="0"/>
            <w:vAlign w:val="center"/>
          </w:tcPr>
          <w:p w14:paraId="3A0599D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231.72</w:t>
            </w:r>
          </w:p>
        </w:tc>
      </w:tr>
      <w:tr w14:paraId="3A71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13293" w:type="dxa"/>
            <w:gridSpan w:val="6"/>
            <w:tcBorders>
              <w:top w:val="nil"/>
              <w:left w:val="nil"/>
              <w:bottom w:val="nil"/>
              <w:right w:val="nil"/>
            </w:tcBorders>
            <w:noWrap w:val="0"/>
            <w:vAlign w:val="center"/>
          </w:tcPr>
          <w:p w14:paraId="394879C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注：1.本表反映单位本年度的总收支和年末结转结余情况。</w:t>
            </w:r>
          </w:p>
          <w:p w14:paraId="70DE70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 xml:space="preserve">    2.本套报表金额单位转换时可能存在尾数误差。</w:t>
            </w:r>
          </w:p>
        </w:tc>
      </w:tr>
    </w:tbl>
    <w:p w14:paraId="6D619F40">
      <w:pPr>
        <w:ind w:firstLine="640" w:firstLineChars="200"/>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二、收入决算表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2"/>
        <w:gridCol w:w="3725"/>
        <w:gridCol w:w="1500"/>
        <w:gridCol w:w="1495"/>
        <w:gridCol w:w="1509"/>
        <w:gridCol w:w="1185"/>
        <w:gridCol w:w="1170"/>
        <w:gridCol w:w="1485"/>
        <w:gridCol w:w="1161"/>
      </w:tblGrid>
      <w:tr w14:paraId="3511B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352" w:type="dxa"/>
            <w:gridSpan w:val="9"/>
            <w:tcBorders>
              <w:top w:val="nil"/>
              <w:left w:val="nil"/>
              <w:bottom w:val="nil"/>
              <w:right w:val="nil"/>
            </w:tcBorders>
            <w:noWrap w:val="0"/>
            <w:vAlign w:val="center"/>
          </w:tcPr>
          <w:p w14:paraId="23053EA6">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收入决算表</w:t>
            </w:r>
          </w:p>
        </w:tc>
      </w:tr>
      <w:tr w14:paraId="66AA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nil"/>
              <w:left w:val="nil"/>
              <w:bottom w:val="nil"/>
              <w:right w:val="nil"/>
            </w:tcBorders>
            <w:shd w:val="clear" w:color="auto" w:fill="FFFFFF"/>
            <w:noWrap w:val="0"/>
            <w:vAlign w:val="center"/>
          </w:tcPr>
          <w:p w14:paraId="3C0487A7">
            <w:pPr>
              <w:jc w:val="right"/>
              <w:rPr>
                <w:rFonts w:hint="default" w:ascii="Times New Roman" w:hAnsi="Times New Roman" w:eastAsia="宋体" w:cs="Times New Roman"/>
                <w:i w:val="0"/>
                <w:iCs w:val="0"/>
                <w:color w:val="000000"/>
                <w:sz w:val="24"/>
                <w:szCs w:val="24"/>
                <w:u w:val="none"/>
              </w:rPr>
            </w:pPr>
          </w:p>
        </w:tc>
        <w:tc>
          <w:tcPr>
            <w:tcW w:w="3725" w:type="dxa"/>
            <w:tcBorders>
              <w:top w:val="nil"/>
              <w:left w:val="nil"/>
              <w:bottom w:val="nil"/>
              <w:right w:val="nil"/>
            </w:tcBorders>
            <w:shd w:val="clear" w:color="auto" w:fill="FFFFFF"/>
            <w:noWrap w:val="0"/>
            <w:vAlign w:val="center"/>
          </w:tcPr>
          <w:p w14:paraId="7196F156">
            <w:pPr>
              <w:jc w:val="right"/>
              <w:rPr>
                <w:rFonts w:hint="default" w:ascii="Times New Roman" w:hAnsi="Times New Roman" w:eastAsia="宋体" w:cs="Times New Roman"/>
                <w:i w:val="0"/>
                <w:iCs w:val="0"/>
                <w:color w:val="000000"/>
                <w:sz w:val="24"/>
                <w:szCs w:val="24"/>
                <w:u w:val="none"/>
              </w:rPr>
            </w:pPr>
          </w:p>
        </w:tc>
        <w:tc>
          <w:tcPr>
            <w:tcW w:w="1500" w:type="dxa"/>
            <w:tcBorders>
              <w:top w:val="nil"/>
              <w:left w:val="nil"/>
              <w:bottom w:val="nil"/>
              <w:right w:val="nil"/>
            </w:tcBorders>
            <w:shd w:val="clear" w:color="auto" w:fill="FFFFFF"/>
            <w:noWrap w:val="0"/>
            <w:vAlign w:val="center"/>
          </w:tcPr>
          <w:p w14:paraId="66DF6B5E">
            <w:pPr>
              <w:jc w:val="right"/>
              <w:rPr>
                <w:rFonts w:hint="default" w:ascii="Times New Roman" w:hAnsi="Times New Roman" w:eastAsia="宋体" w:cs="Times New Roman"/>
                <w:i w:val="0"/>
                <w:iCs w:val="0"/>
                <w:color w:val="000000"/>
                <w:sz w:val="24"/>
                <w:szCs w:val="24"/>
                <w:u w:val="none"/>
              </w:rPr>
            </w:pPr>
          </w:p>
        </w:tc>
        <w:tc>
          <w:tcPr>
            <w:tcW w:w="1495" w:type="dxa"/>
            <w:tcBorders>
              <w:top w:val="nil"/>
              <w:left w:val="nil"/>
              <w:bottom w:val="nil"/>
              <w:right w:val="nil"/>
            </w:tcBorders>
            <w:shd w:val="clear" w:color="auto" w:fill="FFFFFF"/>
            <w:noWrap w:val="0"/>
            <w:vAlign w:val="center"/>
          </w:tcPr>
          <w:p w14:paraId="50C42B71">
            <w:pPr>
              <w:jc w:val="right"/>
              <w:rPr>
                <w:rFonts w:hint="default" w:ascii="Times New Roman" w:hAnsi="Times New Roman" w:eastAsia="宋体" w:cs="Times New Roman"/>
                <w:i w:val="0"/>
                <w:iCs w:val="0"/>
                <w:color w:val="000000"/>
                <w:sz w:val="24"/>
                <w:szCs w:val="24"/>
                <w:u w:val="none"/>
              </w:rPr>
            </w:pPr>
          </w:p>
        </w:tc>
        <w:tc>
          <w:tcPr>
            <w:tcW w:w="1509" w:type="dxa"/>
            <w:tcBorders>
              <w:top w:val="nil"/>
              <w:left w:val="nil"/>
              <w:bottom w:val="nil"/>
              <w:right w:val="nil"/>
            </w:tcBorders>
            <w:shd w:val="clear" w:color="auto" w:fill="FFFFFF"/>
            <w:noWrap w:val="0"/>
            <w:vAlign w:val="center"/>
          </w:tcPr>
          <w:p w14:paraId="233B3046">
            <w:pPr>
              <w:jc w:val="right"/>
              <w:rPr>
                <w:rFonts w:hint="default" w:ascii="Times New Roman" w:hAnsi="Times New Roman" w:eastAsia="宋体" w:cs="Times New Roman"/>
                <w:i w:val="0"/>
                <w:iCs w:val="0"/>
                <w:color w:val="000000"/>
                <w:sz w:val="24"/>
                <w:szCs w:val="24"/>
                <w:u w:val="none"/>
              </w:rPr>
            </w:pPr>
          </w:p>
        </w:tc>
        <w:tc>
          <w:tcPr>
            <w:tcW w:w="1185" w:type="dxa"/>
            <w:tcBorders>
              <w:top w:val="nil"/>
              <w:left w:val="nil"/>
              <w:bottom w:val="nil"/>
              <w:right w:val="nil"/>
            </w:tcBorders>
            <w:shd w:val="clear" w:color="auto" w:fill="FFFFFF"/>
            <w:noWrap w:val="0"/>
            <w:vAlign w:val="center"/>
          </w:tcPr>
          <w:p w14:paraId="42565466">
            <w:pPr>
              <w:jc w:val="right"/>
              <w:rPr>
                <w:rFonts w:hint="default" w:ascii="Times New Roman" w:hAnsi="Times New Roman" w:eastAsia="宋体" w:cs="Times New Roman"/>
                <w:i w:val="0"/>
                <w:iCs w:val="0"/>
                <w:color w:val="000000"/>
                <w:sz w:val="24"/>
                <w:szCs w:val="24"/>
                <w:u w:val="none"/>
              </w:rPr>
            </w:pPr>
          </w:p>
        </w:tc>
        <w:tc>
          <w:tcPr>
            <w:tcW w:w="1170" w:type="dxa"/>
            <w:tcBorders>
              <w:top w:val="nil"/>
              <w:left w:val="nil"/>
              <w:bottom w:val="nil"/>
              <w:right w:val="nil"/>
            </w:tcBorders>
            <w:shd w:val="clear" w:color="auto" w:fill="FFFFFF"/>
            <w:noWrap w:val="0"/>
            <w:vAlign w:val="center"/>
          </w:tcPr>
          <w:p w14:paraId="603AAD6F">
            <w:pPr>
              <w:jc w:val="right"/>
              <w:rPr>
                <w:rFonts w:hint="default" w:ascii="Times New Roman" w:hAnsi="Times New Roman" w:eastAsia="宋体" w:cs="Times New Roman"/>
                <w:i w:val="0"/>
                <w:iCs w:val="0"/>
                <w:color w:val="000000"/>
                <w:sz w:val="24"/>
                <w:szCs w:val="24"/>
                <w:u w:val="none"/>
              </w:rPr>
            </w:pPr>
          </w:p>
        </w:tc>
        <w:tc>
          <w:tcPr>
            <w:tcW w:w="1485" w:type="dxa"/>
            <w:tcBorders>
              <w:top w:val="nil"/>
              <w:left w:val="nil"/>
              <w:bottom w:val="nil"/>
              <w:right w:val="nil"/>
            </w:tcBorders>
            <w:shd w:val="clear" w:color="auto" w:fill="FFFFFF"/>
            <w:noWrap w:val="0"/>
            <w:vAlign w:val="center"/>
          </w:tcPr>
          <w:p w14:paraId="32ED2337">
            <w:pPr>
              <w:jc w:val="right"/>
              <w:rPr>
                <w:rFonts w:hint="default" w:ascii="Times New Roman" w:hAnsi="Times New Roman" w:eastAsia="宋体" w:cs="Times New Roman"/>
                <w:i w:val="0"/>
                <w:iCs w:val="0"/>
                <w:color w:val="000000"/>
                <w:sz w:val="24"/>
                <w:szCs w:val="24"/>
                <w:u w:val="none"/>
              </w:rPr>
            </w:pPr>
          </w:p>
        </w:tc>
        <w:tc>
          <w:tcPr>
            <w:tcW w:w="1161" w:type="dxa"/>
            <w:tcBorders>
              <w:top w:val="nil"/>
              <w:left w:val="nil"/>
              <w:bottom w:val="nil"/>
              <w:right w:val="nil"/>
            </w:tcBorders>
            <w:shd w:val="clear" w:color="auto" w:fill="FFFFFF"/>
            <w:noWrap w:val="0"/>
            <w:vAlign w:val="center"/>
          </w:tcPr>
          <w:p w14:paraId="7E80B1F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公开02表</w:t>
            </w:r>
          </w:p>
        </w:tc>
      </w:tr>
      <w:tr w14:paraId="6426E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47" w:type="dxa"/>
            <w:gridSpan w:val="2"/>
            <w:tcBorders>
              <w:top w:val="nil"/>
              <w:left w:val="nil"/>
              <w:bottom w:val="nil"/>
              <w:right w:val="nil"/>
            </w:tcBorders>
            <w:shd w:val="clear" w:color="auto" w:fill="FFFFFF"/>
            <w:noWrap w:val="0"/>
            <w:vAlign w:val="center"/>
          </w:tcPr>
          <w:p w14:paraId="7F11968C">
            <w:pPr>
              <w:jc w:val="lef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1500" w:type="dxa"/>
            <w:tcBorders>
              <w:top w:val="nil"/>
              <w:left w:val="nil"/>
              <w:bottom w:val="nil"/>
              <w:right w:val="nil"/>
            </w:tcBorders>
            <w:shd w:val="clear" w:color="auto" w:fill="FFFFFF"/>
            <w:noWrap w:val="0"/>
            <w:vAlign w:val="center"/>
          </w:tcPr>
          <w:p w14:paraId="1AD5A8DB">
            <w:pPr>
              <w:jc w:val="right"/>
              <w:rPr>
                <w:rFonts w:hint="default" w:ascii="Times New Roman" w:hAnsi="Times New Roman" w:eastAsia="宋体" w:cs="Times New Roman"/>
                <w:i w:val="0"/>
                <w:iCs w:val="0"/>
                <w:color w:val="000000"/>
                <w:sz w:val="20"/>
                <w:szCs w:val="20"/>
                <w:u w:val="none"/>
              </w:rPr>
            </w:pPr>
          </w:p>
        </w:tc>
        <w:tc>
          <w:tcPr>
            <w:tcW w:w="1495" w:type="dxa"/>
            <w:tcBorders>
              <w:top w:val="nil"/>
              <w:left w:val="nil"/>
              <w:bottom w:val="nil"/>
              <w:right w:val="nil"/>
            </w:tcBorders>
            <w:shd w:val="clear" w:color="auto" w:fill="FFFFFF"/>
            <w:noWrap w:val="0"/>
            <w:vAlign w:val="center"/>
          </w:tcPr>
          <w:p w14:paraId="21574B9B">
            <w:pPr>
              <w:jc w:val="right"/>
              <w:rPr>
                <w:rFonts w:hint="default" w:ascii="Times New Roman" w:hAnsi="Times New Roman" w:eastAsia="宋体" w:cs="Times New Roman"/>
                <w:i w:val="0"/>
                <w:iCs w:val="0"/>
                <w:color w:val="000000"/>
                <w:sz w:val="20"/>
                <w:szCs w:val="20"/>
                <w:u w:val="none"/>
              </w:rPr>
            </w:pPr>
          </w:p>
        </w:tc>
        <w:tc>
          <w:tcPr>
            <w:tcW w:w="1509" w:type="dxa"/>
            <w:tcBorders>
              <w:top w:val="nil"/>
              <w:left w:val="nil"/>
              <w:bottom w:val="nil"/>
              <w:right w:val="nil"/>
            </w:tcBorders>
            <w:shd w:val="clear" w:color="auto" w:fill="FFFFFF"/>
            <w:noWrap w:val="0"/>
            <w:vAlign w:val="center"/>
          </w:tcPr>
          <w:p w14:paraId="653F4018">
            <w:pPr>
              <w:jc w:val="center"/>
              <w:rPr>
                <w:rFonts w:hint="default" w:ascii="Times New Roman" w:hAnsi="Times New Roman" w:eastAsia="宋体" w:cs="Times New Roman"/>
                <w:i w:val="0"/>
                <w:iCs w:val="0"/>
                <w:color w:val="000000"/>
                <w:sz w:val="20"/>
                <w:szCs w:val="20"/>
                <w:u w:val="none"/>
              </w:rPr>
            </w:pPr>
          </w:p>
        </w:tc>
        <w:tc>
          <w:tcPr>
            <w:tcW w:w="1185" w:type="dxa"/>
            <w:tcBorders>
              <w:top w:val="nil"/>
              <w:left w:val="nil"/>
              <w:bottom w:val="nil"/>
              <w:right w:val="nil"/>
            </w:tcBorders>
            <w:shd w:val="clear" w:color="auto" w:fill="FFFFFF"/>
            <w:noWrap w:val="0"/>
            <w:vAlign w:val="center"/>
          </w:tcPr>
          <w:p w14:paraId="006FC913">
            <w:pPr>
              <w:jc w:val="right"/>
              <w:rPr>
                <w:rFonts w:hint="default" w:ascii="Times New Roman" w:hAnsi="Times New Roman" w:eastAsia="宋体" w:cs="Times New Roman"/>
                <w:i w:val="0"/>
                <w:iCs w:val="0"/>
                <w:color w:val="000000"/>
                <w:sz w:val="20"/>
                <w:szCs w:val="20"/>
                <w:u w:val="none"/>
              </w:rPr>
            </w:pPr>
          </w:p>
        </w:tc>
        <w:tc>
          <w:tcPr>
            <w:tcW w:w="1170" w:type="dxa"/>
            <w:tcBorders>
              <w:top w:val="nil"/>
              <w:left w:val="nil"/>
              <w:bottom w:val="nil"/>
              <w:right w:val="nil"/>
            </w:tcBorders>
            <w:shd w:val="clear" w:color="auto" w:fill="FFFFFF"/>
            <w:noWrap w:val="0"/>
            <w:vAlign w:val="center"/>
          </w:tcPr>
          <w:p w14:paraId="2E8814F5">
            <w:pPr>
              <w:jc w:val="right"/>
              <w:rPr>
                <w:rFonts w:hint="default" w:ascii="Times New Roman" w:hAnsi="Times New Roman" w:eastAsia="宋体" w:cs="Times New Roman"/>
                <w:i w:val="0"/>
                <w:iCs w:val="0"/>
                <w:color w:val="000000"/>
                <w:sz w:val="20"/>
                <w:szCs w:val="20"/>
                <w:u w:val="none"/>
              </w:rPr>
            </w:pPr>
          </w:p>
        </w:tc>
        <w:tc>
          <w:tcPr>
            <w:tcW w:w="1485" w:type="dxa"/>
            <w:tcBorders>
              <w:top w:val="nil"/>
              <w:left w:val="nil"/>
              <w:bottom w:val="nil"/>
              <w:right w:val="nil"/>
            </w:tcBorders>
            <w:shd w:val="clear" w:color="auto" w:fill="FFFFFF"/>
            <w:noWrap w:val="0"/>
            <w:vAlign w:val="center"/>
          </w:tcPr>
          <w:p w14:paraId="5630427F">
            <w:pPr>
              <w:jc w:val="right"/>
              <w:rPr>
                <w:rFonts w:hint="default" w:ascii="Times New Roman" w:hAnsi="Times New Roman" w:eastAsia="宋体" w:cs="Times New Roman"/>
                <w:i w:val="0"/>
                <w:iCs w:val="0"/>
                <w:color w:val="000000"/>
                <w:sz w:val="20"/>
                <w:szCs w:val="20"/>
                <w:u w:val="none"/>
              </w:rPr>
            </w:pPr>
          </w:p>
        </w:tc>
        <w:tc>
          <w:tcPr>
            <w:tcW w:w="1161" w:type="dxa"/>
            <w:tcBorders>
              <w:top w:val="nil"/>
              <w:left w:val="nil"/>
              <w:bottom w:val="nil"/>
              <w:right w:val="nil"/>
            </w:tcBorders>
            <w:shd w:val="clear" w:color="auto" w:fill="FFFFFF"/>
            <w:noWrap w:val="0"/>
            <w:vAlign w:val="center"/>
          </w:tcPr>
          <w:p w14:paraId="144D33A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7ED34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4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6BD1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DD2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本年收入合计</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97A1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财政拨款收入</w:t>
            </w:r>
          </w:p>
        </w:tc>
        <w:tc>
          <w:tcPr>
            <w:tcW w:w="150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9508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上级补助收入</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8419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事业收入</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45C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经营收入</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29C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附属单位上缴收入</w:t>
            </w:r>
          </w:p>
        </w:tc>
        <w:tc>
          <w:tcPr>
            <w:tcW w:w="116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3DE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其他收入</w:t>
            </w:r>
          </w:p>
        </w:tc>
      </w:tr>
      <w:tr w14:paraId="1F40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2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6B7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372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65F9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D6710">
            <w:pPr>
              <w:jc w:val="center"/>
              <w:rPr>
                <w:rFonts w:hint="default" w:ascii="Times New Roman" w:hAnsi="Times New Roman" w:eastAsia="宋体" w:cs="Times New Roman"/>
                <w:i w:val="0"/>
                <w:iCs w:val="0"/>
                <w:color w:val="000000"/>
                <w:sz w:val="20"/>
                <w:szCs w:val="20"/>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4F3A1">
            <w:pPr>
              <w:jc w:val="center"/>
              <w:rPr>
                <w:rFonts w:hint="default" w:ascii="Times New Roman" w:hAnsi="Times New Roman" w:eastAsia="宋体" w:cs="Times New Roman"/>
                <w:i w:val="0"/>
                <w:iCs w:val="0"/>
                <w:color w:val="000000"/>
                <w:sz w:val="20"/>
                <w:szCs w:val="20"/>
                <w:u w:val="none"/>
              </w:rPr>
            </w:pPr>
          </w:p>
        </w:tc>
        <w:tc>
          <w:tcPr>
            <w:tcW w:w="150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60350">
            <w:pPr>
              <w:jc w:val="center"/>
              <w:rPr>
                <w:rFonts w:hint="default" w:ascii="Times New Roman" w:hAnsi="Times New Roman" w:eastAsia="宋体" w:cs="Times New Roman"/>
                <w:i w:val="0"/>
                <w:iCs w:val="0"/>
                <w:color w:val="000000"/>
                <w:sz w:val="20"/>
                <w:szCs w:val="20"/>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006096">
            <w:pPr>
              <w:jc w:val="center"/>
              <w:rPr>
                <w:rFonts w:hint="default" w:ascii="Times New Roman" w:hAnsi="Times New Roman" w:eastAsia="宋体" w:cs="Times New Roman"/>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C89297">
            <w:pPr>
              <w:jc w:val="center"/>
              <w:rPr>
                <w:rFonts w:hint="default" w:ascii="Times New Roman" w:hAnsi="Times New Roman" w:eastAsia="宋体" w:cs="Times New Roman"/>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CA9CAF">
            <w:pPr>
              <w:jc w:val="center"/>
              <w:rPr>
                <w:rFonts w:hint="default" w:ascii="Times New Roman" w:hAnsi="Times New Roman" w:eastAsia="宋体" w:cs="Times New Roman"/>
                <w:i w:val="0"/>
                <w:iCs w:val="0"/>
                <w:color w:val="000000"/>
                <w:sz w:val="20"/>
                <w:szCs w:val="20"/>
                <w:u w:val="none"/>
              </w:rPr>
            </w:pPr>
          </w:p>
        </w:tc>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082FF">
            <w:pPr>
              <w:jc w:val="center"/>
              <w:rPr>
                <w:rFonts w:hint="default" w:ascii="Times New Roman" w:hAnsi="Times New Roman" w:eastAsia="宋体" w:cs="Times New Roman"/>
                <w:i w:val="0"/>
                <w:iCs w:val="0"/>
                <w:color w:val="000000"/>
                <w:sz w:val="20"/>
                <w:szCs w:val="20"/>
                <w:u w:val="none"/>
              </w:rPr>
            </w:pPr>
          </w:p>
        </w:tc>
      </w:tr>
      <w:tr w14:paraId="2D690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FB828D">
            <w:pPr>
              <w:jc w:val="center"/>
              <w:rPr>
                <w:rFonts w:hint="default" w:ascii="Times New Roman" w:hAnsi="Times New Roman" w:eastAsia="宋体" w:cs="Times New Roman"/>
                <w:i w:val="0"/>
                <w:iCs w:val="0"/>
                <w:color w:val="000000"/>
                <w:sz w:val="20"/>
                <w:szCs w:val="20"/>
                <w:u w:val="none"/>
              </w:rPr>
            </w:pPr>
          </w:p>
        </w:tc>
        <w:tc>
          <w:tcPr>
            <w:tcW w:w="372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472C64">
            <w:pPr>
              <w:jc w:val="center"/>
              <w:rPr>
                <w:rFonts w:hint="default" w:ascii="Times New Roman" w:hAnsi="Times New Roman" w:eastAsia="宋体" w:cs="Times New Roman"/>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698668">
            <w:pPr>
              <w:jc w:val="center"/>
              <w:rPr>
                <w:rFonts w:hint="default" w:ascii="Times New Roman" w:hAnsi="Times New Roman" w:eastAsia="宋体" w:cs="Times New Roman"/>
                <w:i w:val="0"/>
                <w:iCs w:val="0"/>
                <w:color w:val="000000"/>
                <w:sz w:val="20"/>
                <w:szCs w:val="20"/>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217829">
            <w:pPr>
              <w:jc w:val="center"/>
              <w:rPr>
                <w:rFonts w:hint="default" w:ascii="Times New Roman" w:hAnsi="Times New Roman" w:eastAsia="宋体" w:cs="Times New Roman"/>
                <w:i w:val="0"/>
                <w:iCs w:val="0"/>
                <w:color w:val="000000"/>
                <w:sz w:val="20"/>
                <w:szCs w:val="20"/>
                <w:u w:val="none"/>
              </w:rPr>
            </w:pPr>
          </w:p>
        </w:tc>
        <w:tc>
          <w:tcPr>
            <w:tcW w:w="150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C03F68">
            <w:pPr>
              <w:jc w:val="center"/>
              <w:rPr>
                <w:rFonts w:hint="default" w:ascii="Times New Roman" w:hAnsi="Times New Roman" w:eastAsia="宋体" w:cs="Times New Roman"/>
                <w:i w:val="0"/>
                <w:iCs w:val="0"/>
                <w:color w:val="000000"/>
                <w:sz w:val="20"/>
                <w:szCs w:val="20"/>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DA1E9">
            <w:pPr>
              <w:jc w:val="center"/>
              <w:rPr>
                <w:rFonts w:hint="default" w:ascii="Times New Roman" w:hAnsi="Times New Roman" w:eastAsia="宋体" w:cs="Times New Roman"/>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B95EE2">
            <w:pPr>
              <w:jc w:val="center"/>
              <w:rPr>
                <w:rFonts w:hint="default" w:ascii="Times New Roman" w:hAnsi="Times New Roman" w:eastAsia="宋体" w:cs="Times New Roman"/>
                <w:i w:val="0"/>
                <w:iCs w:val="0"/>
                <w:color w:val="000000"/>
                <w:sz w:val="20"/>
                <w:szCs w:val="20"/>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A70C0">
            <w:pPr>
              <w:jc w:val="center"/>
              <w:rPr>
                <w:rFonts w:hint="default" w:ascii="Times New Roman" w:hAnsi="Times New Roman" w:eastAsia="宋体" w:cs="Times New Roman"/>
                <w:i w:val="0"/>
                <w:iCs w:val="0"/>
                <w:color w:val="000000"/>
                <w:sz w:val="20"/>
                <w:szCs w:val="20"/>
                <w:u w:val="none"/>
              </w:rPr>
            </w:pPr>
          </w:p>
        </w:tc>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9FF242">
            <w:pPr>
              <w:jc w:val="center"/>
              <w:rPr>
                <w:rFonts w:hint="default" w:ascii="Times New Roman" w:hAnsi="Times New Roman" w:eastAsia="宋体" w:cs="Times New Roman"/>
                <w:i w:val="0"/>
                <w:iCs w:val="0"/>
                <w:color w:val="000000"/>
                <w:sz w:val="20"/>
                <w:szCs w:val="20"/>
                <w:u w:val="none"/>
              </w:rPr>
            </w:pPr>
          </w:p>
        </w:tc>
      </w:tr>
      <w:tr w14:paraId="7CB3C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4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C4D1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栏次</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1E8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6ED3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0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10B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E0B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C37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4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583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041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r>
      <w:tr w14:paraId="2B059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4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582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7C340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222.8</w:t>
            </w:r>
            <w:r>
              <w:rPr>
                <w:rFonts w:hint="eastAsia"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20BC88D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6FCBFA4D">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927304A">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32ACBDBC">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56A59B6">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271E3E0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30.01 </w:t>
            </w:r>
          </w:p>
        </w:tc>
      </w:tr>
      <w:tr w14:paraId="65319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4180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2D48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一般公共服务支出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94C1FA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184.51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65AA704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154.5</w:t>
            </w:r>
            <w:r>
              <w:rPr>
                <w:rFonts w:hint="eastAsia"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598B0817">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728A933">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24C3189F">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8D60FB0">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04DC24C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30.01 </w:t>
            </w:r>
          </w:p>
        </w:tc>
      </w:tr>
      <w:tr w14:paraId="00B0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9BED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58BF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统计信息事务</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999F91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184.51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17B0A32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154.5</w:t>
            </w:r>
            <w:r>
              <w:rPr>
                <w:rFonts w:hint="eastAsia"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791FA1CA">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70BEB6B">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603AF270">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74A9C9C">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7984335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30.01 </w:t>
            </w:r>
          </w:p>
        </w:tc>
      </w:tr>
      <w:tr w14:paraId="7E68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B440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2010501</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97836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行政运行</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37C09D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123.14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0052C37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123.14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5B1155DB">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0633A5B6">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4FA506F5">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42DD3F83">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62E9F0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1640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8055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2010502</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138FF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一般行政管理事务</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EAB4EE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61.37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41C9D19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31.36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43CD7A91">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F745857">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79CAE700">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16DC7FF1">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3794C2D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30.01 </w:t>
            </w:r>
          </w:p>
        </w:tc>
      </w:tr>
      <w:tr w14:paraId="7849A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69AA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B7EA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社会保障和就业支出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349F77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577AA4D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4ABE3F7D">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F3CCE3B">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272B6892">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52938E2">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372FC3D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6544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8918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6E7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行政事业单位养老支出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0905C4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38B6163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76425C84">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6FEF4BD">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36A14CB2">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129A8C9E">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627DBFC3">
            <w:pPr>
              <w:jc w:val="right"/>
              <w:rPr>
                <w:rFonts w:hint="default" w:ascii="Times New Roman" w:hAnsi="Times New Roman" w:eastAsia="宋体" w:cs="Times New Roman"/>
                <w:i w:val="0"/>
                <w:iCs w:val="0"/>
                <w:color w:val="000000"/>
                <w:sz w:val="20"/>
                <w:szCs w:val="20"/>
                <w:u w:val="none"/>
              </w:rPr>
            </w:pPr>
          </w:p>
        </w:tc>
      </w:tr>
      <w:tr w14:paraId="7CC00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17E7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2080501</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BD4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行政单位离退休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DC13E9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12.42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735052B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12.42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7B3E8C7A">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4526E56">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44D3C05D">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87E714E">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7D8A5DE4">
            <w:pPr>
              <w:jc w:val="right"/>
              <w:rPr>
                <w:rFonts w:hint="default" w:ascii="Times New Roman" w:hAnsi="Times New Roman" w:eastAsia="宋体" w:cs="Times New Roman"/>
                <w:i w:val="0"/>
                <w:iCs w:val="0"/>
                <w:color w:val="000000"/>
                <w:sz w:val="20"/>
                <w:szCs w:val="20"/>
                <w:u w:val="none"/>
              </w:rPr>
            </w:pPr>
          </w:p>
        </w:tc>
      </w:tr>
      <w:tr w14:paraId="4BEF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2F86D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2080505</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279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机关事业单位基本养老保险缴费支出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129C8B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11.92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68C086A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11.92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273B79F1">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CBAAC20">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66825B8C">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08BDC15B">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2DFB66AB">
            <w:pPr>
              <w:jc w:val="right"/>
              <w:rPr>
                <w:rFonts w:hint="default" w:ascii="Times New Roman" w:hAnsi="Times New Roman" w:eastAsia="宋体" w:cs="Times New Roman"/>
                <w:i w:val="0"/>
                <w:iCs w:val="0"/>
                <w:color w:val="000000"/>
                <w:sz w:val="20"/>
                <w:szCs w:val="20"/>
                <w:u w:val="none"/>
              </w:rPr>
            </w:pPr>
          </w:p>
        </w:tc>
      </w:tr>
      <w:tr w14:paraId="009B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860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F0AD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卫生健康支出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91D64D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5A2AFE3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68AF532A">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34D478E">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3926E248">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F2F61F2">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5746197C">
            <w:pPr>
              <w:jc w:val="right"/>
              <w:rPr>
                <w:rFonts w:hint="default" w:ascii="Times New Roman" w:hAnsi="Times New Roman" w:eastAsia="宋体" w:cs="Times New Roman"/>
                <w:i w:val="0"/>
                <w:iCs w:val="0"/>
                <w:color w:val="000000"/>
                <w:sz w:val="20"/>
                <w:szCs w:val="20"/>
                <w:u w:val="none"/>
              </w:rPr>
            </w:pPr>
          </w:p>
        </w:tc>
      </w:tr>
      <w:tr w14:paraId="3AAC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326A6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21011</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4DD80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行政事业单位医疗</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E0B8FD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3ABB2DF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683BDA7B">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7AA38F7">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36E9AA85">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1A987CF0">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2F227F82">
            <w:pPr>
              <w:jc w:val="right"/>
              <w:rPr>
                <w:rFonts w:hint="default" w:ascii="Times New Roman" w:hAnsi="Times New Roman" w:eastAsia="宋体" w:cs="Times New Roman"/>
                <w:i w:val="0"/>
                <w:iCs w:val="0"/>
                <w:color w:val="000000"/>
                <w:sz w:val="20"/>
                <w:szCs w:val="20"/>
                <w:u w:val="none"/>
              </w:rPr>
            </w:pPr>
          </w:p>
        </w:tc>
      </w:tr>
      <w:tr w14:paraId="6430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7710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2101101</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9FAAA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行政单位医疗</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0730D5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5B09350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5F719C65">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8AE9AC5">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4C2FD754">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CEB9041">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5FACFAFD">
            <w:pPr>
              <w:jc w:val="right"/>
              <w:rPr>
                <w:rFonts w:hint="default" w:ascii="Times New Roman" w:hAnsi="Times New Roman" w:eastAsia="宋体" w:cs="Times New Roman"/>
                <w:i w:val="0"/>
                <w:iCs w:val="0"/>
                <w:color w:val="000000"/>
                <w:sz w:val="20"/>
                <w:szCs w:val="20"/>
                <w:u w:val="none"/>
              </w:rPr>
            </w:pPr>
          </w:p>
        </w:tc>
      </w:tr>
      <w:tr w14:paraId="4692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26E14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3AD18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住房保障支出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15DD06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0E58853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3DD3CA6B">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6F6B659">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E62096C">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480EAB9">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038830C1">
            <w:pPr>
              <w:jc w:val="right"/>
              <w:rPr>
                <w:rFonts w:hint="default" w:ascii="Times New Roman" w:hAnsi="Times New Roman" w:eastAsia="宋体" w:cs="Times New Roman"/>
                <w:i w:val="0"/>
                <w:iCs w:val="0"/>
                <w:color w:val="000000"/>
                <w:sz w:val="20"/>
                <w:szCs w:val="20"/>
                <w:u w:val="none"/>
              </w:rPr>
            </w:pPr>
          </w:p>
        </w:tc>
      </w:tr>
      <w:tr w14:paraId="41AD2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CB609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22102</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00DC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住房改革支出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F64F70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6F26256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612F40EB">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E3A442D">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C990D80">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690C8BD">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58DDB2FA">
            <w:pPr>
              <w:jc w:val="right"/>
              <w:rPr>
                <w:rFonts w:hint="default" w:ascii="Times New Roman" w:hAnsi="Times New Roman" w:eastAsia="宋体" w:cs="Times New Roman"/>
                <w:i w:val="0"/>
                <w:iCs w:val="0"/>
                <w:color w:val="000000"/>
                <w:sz w:val="20"/>
                <w:szCs w:val="20"/>
                <w:u w:val="none"/>
              </w:rPr>
            </w:pPr>
          </w:p>
        </w:tc>
      </w:tr>
      <w:tr w14:paraId="2C16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838C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2210201</w:t>
            </w:r>
          </w:p>
        </w:tc>
        <w:tc>
          <w:tcPr>
            <w:tcW w:w="37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2722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住房公积金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D171ED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7E858A6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4CBA0C49">
            <w:pPr>
              <w:jc w:val="right"/>
              <w:rPr>
                <w:rFonts w:hint="default" w:ascii="Times New Roman" w:hAnsi="Times New Roman" w:eastAsia="宋体" w:cs="Times New Roman"/>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07265FA">
            <w:pPr>
              <w:jc w:val="right"/>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4B7EB0F8">
            <w:pPr>
              <w:jc w:val="right"/>
              <w:rPr>
                <w:rFonts w:hint="default" w:ascii="Times New Roman" w:hAnsi="Times New Roman" w:eastAsia="宋体" w:cs="Times New Roman"/>
                <w:i w:val="0"/>
                <w:iCs w:val="0"/>
                <w:color w:val="000000"/>
                <w:sz w:val="20"/>
                <w:szCs w:val="20"/>
                <w:u w:val="none"/>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8D73D46">
            <w:pPr>
              <w:jc w:val="right"/>
              <w:rPr>
                <w:rFonts w:hint="default" w:ascii="Times New Roman" w:hAnsi="Times New Roman" w:eastAsia="宋体" w:cs="Times New Roman"/>
                <w:i w:val="0"/>
                <w:iCs w:val="0"/>
                <w:color w:val="000000"/>
                <w:sz w:val="20"/>
                <w:szCs w:val="20"/>
                <w:u w:val="none"/>
              </w:rPr>
            </w:pPr>
          </w:p>
        </w:tc>
        <w:tc>
          <w:tcPr>
            <w:tcW w:w="1161" w:type="dxa"/>
            <w:tcBorders>
              <w:top w:val="single" w:color="000000" w:sz="4" w:space="0"/>
              <w:left w:val="single" w:color="000000" w:sz="4" w:space="0"/>
              <w:bottom w:val="single" w:color="000000" w:sz="4" w:space="0"/>
              <w:right w:val="single" w:color="000000" w:sz="4" w:space="0"/>
            </w:tcBorders>
            <w:noWrap w:val="0"/>
            <w:vAlign w:val="center"/>
          </w:tcPr>
          <w:p w14:paraId="23D15F37">
            <w:pPr>
              <w:jc w:val="right"/>
              <w:rPr>
                <w:rFonts w:hint="default" w:ascii="Times New Roman" w:hAnsi="Times New Roman" w:eastAsia="宋体" w:cs="Times New Roman"/>
                <w:i w:val="0"/>
                <w:iCs w:val="0"/>
                <w:color w:val="000000"/>
                <w:sz w:val="20"/>
                <w:szCs w:val="20"/>
                <w:u w:val="none"/>
              </w:rPr>
            </w:pPr>
          </w:p>
        </w:tc>
      </w:tr>
      <w:tr w14:paraId="05714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14352" w:type="dxa"/>
            <w:gridSpan w:val="9"/>
            <w:tcBorders>
              <w:top w:val="nil"/>
              <w:left w:val="nil"/>
              <w:bottom w:val="nil"/>
              <w:right w:val="nil"/>
            </w:tcBorders>
            <w:noWrap w:val="0"/>
            <w:vAlign w:val="center"/>
          </w:tcPr>
          <w:p w14:paraId="08F106D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注：本表反映单位本年度取得的各项收入情况。</w:t>
            </w:r>
          </w:p>
        </w:tc>
      </w:tr>
    </w:tbl>
    <w:p w14:paraId="0B6C576D">
      <w:pPr>
        <w:rPr>
          <w:rFonts w:hint="default" w:ascii="Times New Roman" w:hAnsi="Times New Roman" w:eastAsia="黑体" w:cs="Times New Roman"/>
          <w:b w:val="0"/>
          <w:bCs w:val="0"/>
          <w:sz w:val="32"/>
        </w:rPr>
      </w:pPr>
    </w:p>
    <w:p w14:paraId="31BFC9DC">
      <w:pPr>
        <w:ind w:left="640"/>
        <w:rPr>
          <w:rFonts w:hint="default" w:ascii="Times New Roman" w:hAnsi="Times New Roman" w:eastAsia="黑体" w:cs="Times New Roman"/>
          <w:b w:val="0"/>
          <w:bCs w:val="0"/>
          <w:sz w:val="32"/>
        </w:rPr>
      </w:pPr>
    </w:p>
    <w:p w14:paraId="595F8BD2">
      <w:pPr>
        <w:ind w:left="640"/>
        <w:rPr>
          <w:rFonts w:hint="default" w:ascii="Times New Roman" w:hAnsi="Times New Roman" w:eastAsia="宋体" w:cs="Times New Roman"/>
          <w:b/>
          <w:bCs/>
          <w:sz w:val="24"/>
          <w:szCs w:val="24"/>
        </w:rPr>
      </w:pPr>
      <w:r>
        <w:rPr>
          <w:rFonts w:hint="default" w:ascii="Times New Roman" w:hAnsi="Times New Roman" w:eastAsia="黑体" w:cs="Times New Roman"/>
          <w:b w:val="0"/>
          <w:bCs w:val="0"/>
          <w:sz w:val="32"/>
        </w:rPr>
        <w:t>三、支出决算表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2"/>
        <w:gridCol w:w="3932"/>
        <w:gridCol w:w="1575"/>
        <w:gridCol w:w="1425"/>
        <w:gridCol w:w="1440"/>
        <w:gridCol w:w="1560"/>
        <w:gridCol w:w="1213"/>
        <w:gridCol w:w="1650"/>
      </w:tblGrid>
      <w:tr w14:paraId="6D90B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917" w:type="dxa"/>
            <w:gridSpan w:val="8"/>
            <w:tcBorders>
              <w:top w:val="nil"/>
              <w:left w:val="nil"/>
              <w:bottom w:val="nil"/>
              <w:right w:val="nil"/>
            </w:tcBorders>
            <w:noWrap w:val="0"/>
            <w:vAlign w:val="center"/>
          </w:tcPr>
          <w:p w14:paraId="2CD460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华文中宋" w:cs="Times New Roman"/>
                <w:i w:val="0"/>
                <w:iCs w:val="0"/>
                <w:color w:val="000000"/>
                <w:kern w:val="0"/>
                <w:sz w:val="24"/>
                <w:szCs w:val="24"/>
                <w:u w:val="none"/>
                <w:lang w:val="en-US" w:eastAsia="zh-CN" w:bidi="ar"/>
              </w:rPr>
              <w:t>支出决算表</w:t>
            </w:r>
          </w:p>
        </w:tc>
      </w:tr>
      <w:tr w14:paraId="21FA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nil"/>
              <w:left w:val="nil"/>
              <w:bottom w:val="nil"/>
              <w:right w:val="nil"/>
            </w:tcBorders>
            <w:shd w:val="clear" w:color="auto" w:fill="FFFFFF"/>
            <w:noWrap w:val="0"/>
            <w:vAlign w:val="center"/>
          </w:tcPr>
          <w:p w14:paraId="0C73BBB6">
            <w:pPr>
              <w:jc w:val="right"/>
              <w:rPr>
                <w:rFonts w:hint="default" w:ascii="Times New Roman" w:hAnsi="Times New Roman" w:eastAsia="宋体" w:cs="Times New Roman"/>
                <w:i w:val="0"/>
                <w:iCs w:val="0"/>
                <w:color w:val="000000"/>
                <w:sz w:val="24"/>
                <w:szCs w:val="24"/>
                <w:u w:val="none"/>
              </w:rPr>
            </w:pPr>
          </w:p>
        </w:tc>
        <w:tc>
          <w:tcPr>
            <w:tcW w:w="3932" w:type="dxa"/>
            <w:tcBorders>
              <w:top w:val="nil"/>
              <w:left w:val="nil"/>
              <w:bottom w:val="nil"/>
              <w:right w:val="nil"/>
            </w:tcBorders>
            <w:shd w:val="clear" w:color="auto" w:fill="FFFFFF"/>
            <w:noWrap w:val="0"/>
            <w:vAlign w:val="center"/>
          </w:tcPr>
          <w:p w14:paraId="162D8E10">
            <w:pPr>
              <w:jc w:val="right"/>
              <w:rPr>
                <w:rFonts w:hint="default" w:ascii="Times New Roman" w:hAnsi="Times New Roman" w:eastAsia="宋体" w:cs="Times New Roman"/>
                <w:i w:val="0"/>
                <w:iCs w:val="0"/>
                <w:color w:val="000000"/>
                <w:sz w:val="24"/>
                <w:szCs w:val="24"/>
                <w:u w:val="none"/>
              </w:rPr>
            </w:pPr>
          </w:p>
        </w:tc>
        <w:tc>
          <w:tcPr>
            <w:tcW w:w="1575" w:type="dxa"/>
            <w:tcBorders>
              <w:top w:val="nil"/>
              <w:left w:val="nil"/>
              <w:bottom w:val="nil"/>
              <w:right w:val="nil"/>
            </w:tcBorders>
            <w:shd w:val="clear" w:color="auto" w:fill="FFFFFF"/>
            <w:noWrap w:val="0"/>
            <w:vAlign w:val="center"/>
          </w:tcPr>
          <w:p w14:paraId="50E91A78">
            <w:pPr>
              <w:jc w:val="right"/>
              <w:rPr>
                <w:rFonts w:hint="default" w:ascii="Times New Roman" w:hAnsi="Times New Roman" w:eastAsia="宋体" w:cs="Times New Roman"/>
                <w:i w:val="0"/>
                <w:iCs w:val="0"/>
                <w:color w:val="000000"/>
                <w:sz w:val="24"/>
                <w:szCs w:val="24"/>
                <w:u w:val="none"/>
              </w:rPr>
            </w:pPr>
          </w:p>
        </w:tc>
        <w:tc>
          <w:tcPr>
            <w:tcW w:w="1425" w:type="dxa"/>
            <w:tcBorders>
              <w:top w:val="nil"/>
              <w:left w:val="nil"/>
              <w:bottom w:val="nil"/>
              <w:right w:val="nil"/>
            </w:tcBorders>
            <w:shd w:val="clear" w:color="auto" w:fill="FFFFFF"/>
            <w:noWrap w:val="0"/>
            <w:vAlign w:val="center"/>
          </w:tcPr>
          <w:p w14:paraId="5EEA44CD">
            <w:pPr>
              <w:jc w:val="right"/>
              <w:rPr>
                <w:rFonts w:hint="default" w:ascii="Times New Roman" w:hAnsi="Times New Roman" w:eastAsia="宋体" w:cs="Times New Roman"/>
                <w:i w:val="0"/>
                <w:iCs w:val="0"/>
                <w:color w:val="000000"/>
                <w:sz w:val="24"/>
                <w:szCs w:val="24"/>
                <w:u w:val="none"/>
              </w:rPr>
            </w:pPr>
          </w:p>
        </w:tc>
        <w:tc>
          <w:tcPr>
            <w:tcW w:w="1440" w:type="dxa"/>
            <w:tcBorders>
              <w:top w:val="nil"/>
              <w:left w:val="nil"/>
              <w:bottom w:val="nil"/>
              <w:right w:val="nil"/>
            </w:tcBorders>
            <w:shd w:val="clear" w:color="auto" w:fill="FFFFFF"/>
            <w:noWrap w:val="0"/>
            <w:vAlign w:val="center"/>
          </w:tcPr>
          <w:p w14:paraId="76C21716">
            <w:pPr>
              <w:jc w:val="right"/>
              <w:rPr>
                <w:rFonts w:hint="default" w:ascii="Times New Roman" w:hAnsi="Times New Roman" w:eastAsia="宋体" w:cs="Times New Roman"/>
                <w:i w:val="0"/>
                <w:iCs w:val="0"/>
                <w:color w:val="000000"/>
                <w:sz w:val="24"/>
                <w:szCs w:val="24"/>
                <w:u w:val="none"/>
              </w:rPr>
            </w:pPr>
          </w:p>
        </w:tc>
        <w:tc>
          <w:tcPr>
            <w:tcW w:w="1560" w:type="dxa"/>
            <w:tcBorders>
              <w:top w:val="nil"/>
              <w:left w:val="nil"/>
              <w:bottom w:val="nil"/>
              <w:right w:val="nil"/>
            </w:tcBorders>
            <w:shd w:val="clear" w:color="auto" w:fill="FFFFFF"/>
            <w:noWrap w:val="0"/>
            <w:vAlign w:val="center"/>
          </w:tcPr>
          <w:p w14:paraId="7618F018">
            <w:pPr>
              <w:jc w:val="right"/>
              <w:rPr>
                <w:rFonts w:hint="default" w:ascii="Times New Roman" w:hAnsi="Times New Roman" w:eastAsia="宋体" w:cs="Times New Roman"/>
                <w:i w:val="0"/>
                <w:iCs w:val="0"/>
                <w:color w:val="000000"/>
                <w:sz w:val="24"/>
                <w:szCs w:val="24"/>
                <w:u w:val="none"/>
              </w:rPr>
            </w:pPr>
          </w:p>
        </w:tc>
        <w:tc>
          <w:tcPr>
            <w:tcW w:w="1213" w:type="dxa"/>
            <w:tcBorders>
              <w:top w:val="nil"/>
              <w:left w:val="nil"/>
              <w:bottom w:val="nil"/>
              <w:right w:val="nil"/>
            </w:tcBorders>
            <w:shd w:val="clear" w:color="auto" w:fill="FFFFFF"/>
            <w:noWrap w:val="0"/>
            <w:vAlign w:val="center"/>
          </w:tcPr>
          <w:p w14:paraId="5F79CC53">
            <w:pPr>
              <w:jc w:val="right"/>
              <w:rPr>
                <w:rFonts w:hint="default" w:ascii="Times New Roman" w:hAnsi="Times New Roman" w:eastAsia="宋体" w:cs="Times New Roman"/>
                <w:i w:val="0"/>
                <w:iCs w:val="0"/>
                <w:color w:val="000000"/>
                <w:sz w:val="24"/>
                <w:szCs w:val="24"/>
                <w:u w:val="none"/>
              </w:rPr>
            </w:pPr>
          </w:p>
        </w:tc>
        <w:tc>
          <w:tcPr>
            <w:tcW w:w="1650" w:type="dxa"/>
            <w:tcBorders>
              <w:top w:val="nil"/>
              <w:left w:val="nil"/>
              <w:bottom w:val="nil"/>
              <w:right w:val="nil"/>
            </w:tcBorders>
            <w:shd w:val="clear" w:color="auto" w:fill="FFFFFF"/>
            <w:noWrap w:val="0"/>
            <w:vAlign w:val="center"/>
          </w:tcPr>
          <w:p w14:paraId="4E47B5C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公开03表</w:t>
            </w:r>
          </w:p>
        </w:tc>
      </w:tr>
      <w:tr w14:paraId="36691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54" w:type="dxa"/>
            <w:gridSpan w:val="2"/>
            <w:tcBorders>
              <w:top w:val="nil"/>
              <w:left w:val="nil"/>
              <w:bottom w:val="nil"/>
              <w:right w:val="nil"/>
            </w:tcBorders>
            <w:shd w:val="clear" w:color="auto" w:fill="FFFFFF"/>
            <w:noWrap w:val="0"/>
            <w:vAlign w:val="center"/>
          </w:tcPr>
          <w:p w14:paraId="02BE8D1D">
            <w:pPr>
              <w:jc w:val="lef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1575" w:type="dxa"/>
            <w:tcBorders>
              <w:top w:val="nil"/>
              <w:left w:val="nil"/>
              <w:bottom w:val="nil"/>
              <w:right w:val="nil"/>
            </w:tcBorders>
            <w:shd w:val="clear" w:color="auto" w:fill="FFFFFF"/>
            <w:noWrap w:val="0"/>
            <w:vAlign w:val="center"/>
          </w:tcPr>
          <w:p w14:paraId="1BEEDE21">
            <w:pPr>
              <w:jc w:val="right"/>
              <w:rPr>
                <w:rFonts w:hint="default" w:ascii="Times New Roman" w:hAnsi="Times New Roman" w:eastAsia="宋体" w:cs="Times New Roman"/>
                <w:i w:val="0"/>
                <w:iCs w:val="0"/>
                <w:color w:val="000000"/>
                <w:sz w:val="20"/>
                <w:szCs w:val="20"/>
                <w:u w:val="none"/>
              </w:rPr>
            </w:pPr>
          </w:p>
        </w:tc>
        <w:tc>
          <w:tcPr>
            <w:tcW w:w="1425" w:type="dxa"/>
            <w:tcBorders>
              <w:top w:val="nil"/>
              <w:left w:val="nil"/>
              <w:bottom w:val="nil"/>
              <w:right w:val="nil"/>
            </w:tcBorders>
            <w:shd w:val="clear" w:color="auto" w:fill="FFFFFF"/>
            <w:noWrap w:val="0"/>
            <w:vAlign w:val="center"/>
          </w:tcPr>
          <w:p w14:paraId="66C99EB7">
            <w:pPr>
              <w:jc w:val="right"/>
              <w:rPr>
                <w:rFonts w:hint="default" w:ascii="Times New Roman" w:hAnsi="Times New Roman" w:eastAsia="宋体" w:cs="Times New Roman"/>
                <w:i w:val="0"/>
                <w:iCs w:val="0"/>
                <w:color w:val="000000"/>
                <w:sz w:val="20"/>
                <w:szCs w:val="20"/>
                <w:u w:val="none"/>
              </w:rPr>
            </w:pPr>
          </w:p>
        </w:tc>
        <w:tc>
          <w:tcPr>
            <w:tcW w:w="1440" w:type="dxa"/>
            <w:tcBorders>
              <w:top w:val="nil"/>
              <w:left w:val="nil"/>
              <w:bottom w:val="nil"/>
              <w:right w:val="nil"/>
            </w:tcBorders>
            <w:shd w:val="clear" w:color="auto" w:fill="FFFFFF"/>
            <w:noWrap w:val="0"/>
            <w:vAlign w:val="center"/>
          </w:tcPr>
          <w:p w14:paraId="27033522">
            <w:pPr>
              <w:jc w:val="center"/>
              <w:rPr>
                <w:rFonts w:hint="default" w:ascii="Times New Roman" w:hAnsi="Times New Roman" w:eastAsia="宋体" w:cs="Times New Roman"/>
                <w:i w:val="0"/>
                <w:iCs w:val="0"/>
                <w:color w:val="000000"/>
                <w:sz w:val="20"/>
                <w:szCs w:val="20"/>
                <w:u w:val="none"/>
              </w:rPr>
            </w:pPr>
          </w:p>
        </w:tc>
        <w:tc>
          <w:tcPr>
            <w:tcW w:w="1560" w:type="dxa"/>
            <w:tcBorders>
              <w:top w:val="nil"/>
              <w:left w:val="nil"/>
              <w:bottom w:val="nil"/>
              <w:right w:val="nil"/>
            </w:tcBorders>
            <w:shd w:val="clear" w:color="auto" w:fill="FFFFFF"/>
            <w:noWrap w:val="0"/>
            <w:vAlign w:val="center"/>
          </w:tcPr>
          <w:p w14:paraId="6A1B7ABD">
            <w:pPr>
              <w:jc w:val="right"/>
              <w:rPr>
                <w:rFonts w:hint="default" w:ascii="Times New Roman" w:hAnsi="Times New Roman" w:eastAsia="宋体" w:cs="Times New Roman"/>
                <w:i w:val="0"/>
                <w:iCs w:val="0"/>
                <w:color w:val="000000"/>
                <w:sz w:val="20"/>
                <w:szCs w:val="20"/>
                <w:u w:val="none"/>
              </w:rPr>
            </w:pPr>
          </w:p>
        </w:tc>
        <w:tc>
          <w:tcPr>
            <w:tcW w:w="1213" w:type="dxa"/>
            <w:tcBorders>
              <w:top w:val="nil"/>
              <w:left w:val="nil"/>
              <w:bottom w:val="nil"/>
              <w:right w:val="nil"/>
            </w:tcBorders>
            <w:shd w:val="clear" w:color="auto" w:fill="FFFFFF"/>
            <w:noWrap w:val="0"/>
            <w:vAlign w:val="center"/>
          </w:tcPr>
          <w:p w14:paraId="0FD5E733">
            <w:pPr>
              <w:jc w:val="right"/>
              <w:rPr>
                <w:rFonts w:hint="default" w:ascii="Times New Roman" w:hAnsi="Times New Roman" w:eastAsia="宋体" w:cs="Times New Roman"/>
                <w:i w:val="0"/>
                <w:iCs w:val="0"/>
                <w:color w:val="000000"/>
                <w:sz w:val="20"/>
                <w:szCs w:val="20"/>
                <w:u w:val="none"/>
              </w:rPr>
            </w:pPr>
          </w:p>
        </w:tc>
        <w:tc>
          <w:tcPr>
            <w:tcW w:w="1650" w:type="dxa"/>
            <w:tcBorders>
              <w:top w:val="nil"/>
              <w:left w:val="nil"/>
              <w:bottom w:val="nil"/>
              <w:right w:val="nil"/>
            </w:tcBorders>
            <w:shd w:val="clear" w:color="auto" w:fill="FFFFFF"/>
            <w:noWrap w:val="0"/>
            <w:vAlign w:val="center"/>
          </w:tcPr>
          <w:p w14:paraId="2D6DAD8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0127F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6868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559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本年支出合计</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A928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基本支出</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84A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项目支出</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342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上缴上级支出</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095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经营支出</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DBF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对附属单位补助支出</w:t>
            </w:r>
          </w:p>
        </w:tc>
      </w:tr>
      <w:tr w14:paraId="7B9C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2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D11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393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6B7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725B1">
            <w:pPr>
              <w:jc w:val="center"/>
              <w:rPr>
                <w:rFonts w:hint="default" w:ascii="Times New Roman" w:hAnsi="Times New Roman" w:eastAsia="宋体" w:cs="Times New Roman"/>
                <w:i w:val="0"/>
                <w:iCs w:val="0"/>
                <w:color w:val="000000"/>
                <w:sz w:val="20"/>
                <w:szCs w:val="20"/>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671281">
            <w:pPr>
              <w:jc w:val="center"/>
              <w:rPr>
                <w:rFonts w:hint="default" w:ascii="Times New Roman" w:hAnsi="Times New Roman" w:eastAsia="宋体" w:cs="Times New Roman"/>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3A0F70">
            <w:pPr>
              <w:jc w:val="center"/>
              <w:rPr>
                <w:rFonts w:hint="default" w:ascii="Times New Roman" w:hAnsi="Times New Roman" w:eastAsia="宋体" w:cs="Times New Roman"/>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6283E">
            <w:pPr>
              <w:jc w:val="center"/>
              <w:rPr>
                <w:rFonts w:hint="default" w:ascii="Times New Roman" w:hAnsi="Times New Roman" w:eastAsia="宋体" w:cs="Times New Roman"/>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7E12C0">
            <w:pPr>
              <w:jc w:val="center"/>
              <w:rPr>
                <w:rFonts w:hint="default" w:ascii="Times New Roman" w:hAnsi="Times New Roman" w:eastAsia="宋体" w:cs="Times New Roman"/>
                <w:i w:val="0"/>
                <w:iCs w:val="0"/>
                <w:color w:val="000000"/>
                <w:sz w:val="20"/>
                <w:szCs w:val="20"/>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04CBF6">
            <w:pPr>
              <w:jc w:val="center"/>
              <w:rPr>
                <w:rFonts w:hint="default" w:ascii="Times New Roman" w:hAnsi="Times New Roman" w:eastAsia="宋体" w:cs="Times New Roman"/>
                <w:i w:val="0"/>
                <w:iCs w:val="0"/>
                <w:color w:val="000000"/>
                <w:sz w:val="20"/>
                <w:szCs w:val="20"/>
                <w:u w:val="none"/>
              </w:rPr>
            </w:pPr>
          </w:p>
        </w:tc>
      </w:tr>
      <w:tr w14:paraId="033D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80935">
            <w:pPr>
              <w:jc w:val="center"/>
              <w:rPr>
                <w:rFonts w:hint="default" w:ascii="Times New Roman" w:hAnsi="Times New Roman" w:eastAsia="宋体" w:cs="Times New Roman"/>
                <w:i w:val="0"/>
                <w:iCs w:val="0"/>
                <w:color w:val="000000"/>
                <w:sz w:val="20"/>
                <w:szCs w:val="20"/>
                <w:u w:val="none"/>
              </w:rPr>
            </w:pPr>
          </w:p>
        </w:tc>
        <w:tc>
          <w:tcPr>
            <w:tcW w:w="39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97FC93">
            <w:pPr>
              <w:jc w:val="center"/>
              <w:rPr>
                <w:rFonts w:hint="default" w:ascii="Times New Roman" w:hAnsi="Times New Roman" w:eastAsia="宋体" w:cs="Times New Roman"/>
                <w:i w:val="0"/>
                <w:iCs w:val="0"/>
                <w:color w:val="000000"/>
                <w:sz w:val="20"/>
                <w:szCs w:val="20"/>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9F632">
            <w:pPr>
              <w:jc w:val="center"/>
              <w:rPr>
                <w:rFonts w:hint="default" w:ascii="Times New Roman" w:hAnsi="Times New Roman" w:eastAsia="宋体" w:cs="Times New Roman"/>
                <w:i w:val="0"/>
                <w:iCs w:val="0"/>
                <w:color w:val="000000"/>
                <w:sz w:val="20"/>
                <w:szCs w:val="20"/>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7D30B6">
            <w:pPr>
              <w:jc w:val="center"/>
              <w:rPr>
                <w:rFonts w:hint="default" w:ascii="Times New Roman" w:hAnsi="Times New Roman" w:eastAsia="宋体" w:cs="Times New Roman"/>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EFC8FC">
            <w:pPr>
              <w:jc w:val="center"/>
              <w:rPr>
                <w:rFonts w:hint="default" w:ascii="Times New Roman" w:hAnsi="Times New Roman" w:eastAsia="宋体" w:cs="Times New Roman"/>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6E5A03">
            <w:pPr>
              <w:jc w:val="center"/>
              <w:rPr>
                <w:rFonts w:hint="default" w:ascii="Times New Roman" w:hAnsi="Times New Roman" w:eastAsia="宋体" w:cs="Times New Roman"/>
                <w:i w:val="0"/>
                <w:iCs w:val="0"/>
                <w:color w:val="000000"/>
                <w:sz w:val="20"/>
                <w:szCs w:val="20"/>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78CE50">
            <w:pPr>
              <w:jc w:val="center"/>
              <w:rPr>
                <w:rFonts w:hint="default" w:ascii="Times New Roman" w:hAnsi="Times New Roman" w:eastAsia="宋体" w:cs="Times New Roman"/>
                <w:i w:val="0"/>
                <w:iCs w:val="0"/>
                <w:color w:val="000000"/>
                <w:sz w:val="20"/>
                <w:szCs w:val="20"/>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A2319B">
            <w:pPr>
              <w:jc w:val="center"/>
              <w:rPr>
                <w:rFonts w:hint="default" w:ascii="Times New Roman" w:hAnsi="Times New Roman" w:eastAsia="宋体" w:cs="Times New Roman"/>
                <w:i w:val="0"/>
                <w:iCs w:val="0"/>
                <w:color w:val="000000"/>
                <w:sz w:val="20"/>
                <w:szCs w:val="20"/>
                <w:u w:val="none"/>
              </w:rPr>
            </w:pPr>
          </w:p>
        </w:tc>
      </w:tr>
      <w:tr w14:paraId="0D53A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071A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栏次</w:t>
            </w:r>
          </w:p>
        </w:tc>
        <w:tc>
          <w:tcPr>
            <w:tcW w:w="15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A286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B6BC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A794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5C4E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063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A9FE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r>
      <w:tr w14:paraId="44BA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5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B85A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F57833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210.57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1320A4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161.43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5B60DA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49.14 </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1D38C49">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6285B060">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F8FC902">
            <w:pPr>
              <w:jc w:val="right"/>
              <w:rPr>
                <w:rFonts w:hint="default" w:ascii="Times New Roman" w:hAnsi="Times New Roman" w:eastAsia="宋体" w:cs="Times New Roman"/>
                <w:i w:val="0"/>
                <w:iCs w:val="0"/>
                <w:color w:val="000000"/>
                <w:sz w:val="20"/>
                <w:szCs w:val="20"/>
                <w:u w:val="none"/>
              </w:rPr>
            </w:pPr>
          </w:p>
        </w:tc>
      </w:tr>
      <w:tr w14:paraId="6BF44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5F694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2FB02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一般公共服务支出</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075D3C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172.28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FE910D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123.14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C8AFD7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49.14 </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FC8A389">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36AF66CF">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003716B">
            <w:pPr>
              <w:jc w:val="right"/>
              <w:rPr>
                <w:rFonts w:hint="default" w:ascii="Times New Roman" w:hAnsi="Times New Roman" w:eastAsia="宋体" w:cs="Times New Roman"/>
                <w:i w:val="0"/>
                <w:iCs w:val="0"/>
                <w:color w:val="000000"/>
                <w:sz w:val="20"/>
                <w:szCs w:val="20"/>
                <w:u w:val="none"/>
              </w:rPr>
            </w:pPr>
          </w:p>
        </w:tc>
      </w:tr>
      <w:tr w14:paraId="5082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FF1C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B0D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统计信息事务</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BBC1CE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172.28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89F5B7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123.14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B22B7D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49.14 </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CD757B8">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78CCA0D6">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B7F6931">
            <w:pPr>
              <w:jc w:val="right"/>
              <w:rPr>
                <w:rFonts w:hint="default" w:ascii="Times New Roman" w:hAnsi="Times New Roman" w:eastAsia="宋体" w:cs="Times New Roman"/>
                <w:i w:val="0"/>
                <w:iCs w:val="0"/>
                <w:color w:val="000000"/>
                <w:sz w:val="20"/>
                <w:szCs w:val="20"/>
                <w:u w:val="none"/>
              </w:rPr>
            </w:pPr>
          </w:p>
        </w:tc>
      </w:tr>
      <w:tr w14:paraId="51E19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BAAB7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2010501</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CF7F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行政运行</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35006B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123.14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2CDB11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123.14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51BB05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5366A96">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5C8FA140">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A831D51">
            <w:pPr>
              <w:jc w:val="right"/>
              <w:rPr>
                <w:rFonts w:hint="default" w:ascii="Times New Roman" w:hAnsi="Times New Roman" w:eastAsia="宋体" w:cs="Times New Roman"/>
                <w:i w:val="0"/>
                <w:iCs w:val="0"/>
                <w:color w:val="000000"/>
                <w:sz w:val="20"/>
                <w:szCs w:val="20"/>
                <w:u w:val="none"/>
              </w:rPr>
            </w:pPr>
          </w:p>
        </w:tc>
      </w:tr>
      <w:tr w14:paraId="67745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1307E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2010502</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80FE3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一般行政管理事务</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B88EE0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49.14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9BA973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467526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49.14 </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7800859">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1C263C10">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A493921">
            <w:pPr>
              <w:jc w:val="right"/>
              <w:rPr>
                <w:rFonts w:hint="default" w:ascii="Times New Roman" w:hAnsi="Times New Roman" w:eastAsia="宋体" w:cs="Times New Roman"/>
                <w:i w:val="0"/>
                <w:iCs w:val="0"/>
                <w:color w:val="000000"/>
                <w:sz w:val="20"/>
                <w:szCs w:val="20"/>
                <w:u w:val="none"/>
              </w:rPr>
            </w:pPr>
          </w:p>
        </w:tc>
      </w:tr>
      <w:tr w14:paraId="15B64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040E2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16B2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社会保障和就业支出</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EF44AF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84682E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73250D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BC1ADA4">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0F591225">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BEACC79">
            <w:pPr>
              <w:jc w:val="right"/>
              <w:rPr>
                <w:rFonts w:hint="default" w:ascii="Times New Roman" w:hAnsi="Times New Roman" w:eastAsia="宋体" w:cs="Times New Roman"/>
                <w:i w:val="0"/>
                <w:iCs w:val="0"/>
                <w:color w:val="000000"/>
                <w:sz w:val="20"/>
                <w:szCs w:val="20"/>
                <w:u w:val="none"/>
              </w:rPr>
            </w:pPr>
          </w:p>
        </w:tc>
      </w:tr>
      <w:tr w14:paraId="1A9B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5F6A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8A3A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行政事业单位养老支出</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D029A2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8E37A8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962C60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BFFB21D">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31202479">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1D48713">
            <w:pPr>
              <w:jc w:val="right"/>
              <w:rPr>
                <w:rFonts w:hint="default" w:ascii="Times New Roman" w:hAnsi="Times New Roman" w:eastAsia="宋体" w:cs="Times New Roman"/>
                <w:i w:val="0"/>
                <w:iCs w:val="0"/>
                <w:color w:val="000000"/>
                <w:sz w:val="20"/>
                <w:szCs w:val="20"/>
                <w:u w:val="none"/>
              </w:rPr>
            </w:pPr>
          </w:p>
        </w:tc>
      </w:tr>
      <w:tr w14:paraId="5FC38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BC924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2080501</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4819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行政单位离退休</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61761A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12.42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63400E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12.42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678FEA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A2C30FD">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5C6BD2AC">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7B24CA4">
            <w:pPr>
              <w:jc w:val="right"/>
              <w:rPr>
                <w:rFonts w:hint="default" w:ascii="Times New Roman" w:hAnsi="Times New Roman" w:eastAsia="宋体" w:cs="Times New Roman"/>
                <w:i w:val="0"/>
                <w:iCs w:val="0"/>
                <w:color w:val="000000"/>
                <w:sz w:val="20"/>
                <w:szCs w:val="20"/>
                <w:u w:val="none"/>
              </w:rPr>
            </w:pPr>
          </w:p>
        </w:tc>
      </w:tr>
      <w:tr w14:paraId="78F87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438A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2080505</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30F94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机关事业单位基本养老保险缴费支出</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340F7F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11.92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65EED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11.92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CD1CAB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3FB4A42">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60870817">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6EDCA5">
            <w:pPr>
              <w:jc w:val="right"/>
              <w:rPr>
                <w:rFonts w:hint="default" w:ascii="Times New Roman" w:hAnsi="Times New Roman" w:eastAsia="宋体" w:cs="Times New Roman"/>
                <w:i w:val="0"/>
                <w:iCs w:val="0"/>
                <w:color w:val="000000"/>
                <w:sz w:val="20"/>
                <w:szCs w:val="20"/>
                <w:u w:val="none"/>
              </w:rPr>
            </w:pPr>
          </w:p>
        </w:tc>
      </w:tr>
      <w:tr w14:paraId="2AE8B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7E01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99F7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卫生健康支出</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B6C74E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21B378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49D9BF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334E0B3">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00FD4A33">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3E6A3DF">
            <w:pPr>
              <w:jc w:val="right"/>
              <w:rPr>
                <w:rFonts w:hint="default" w:ascii="Times New Roman" w:hAnsi="Times New Roman" w:eastAsia="宋体" w:cs="Times New Roman"/>
                <w:i w:val="0"/>
                <w:iCs w:val="0"/>
                <w:color w:val="000000"/>
                <w:sz w:val="20"/>
                <w:szCs w:val="20"/>
                <w:u w:val="none"/>
              </w:rPr>
            </w:pPr>
          </w:p>
        </w:tc>
      </w:tr>
      <w:tr w14:paraId="331B4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1B30A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21011</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2B0EB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行政事业单位医疗</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F3A913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DB0C43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D5A00D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11F1B6E">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791BA0EF">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45D41EA">
            <w:pPr>
              <w:jc w:val="right"/>
              <w:rPr>
                <w:rFonts w:hint="default" w:ascii="Times New Roman" w:hAnsi="Times New Roman" w:eastAsia="宋体" w:cs="Times New Roman"/>
                <w:i w:val="0"/>
                <w:iCs w:val="0"/>
                <w:color w:val="000000"/>
                <w:sz w:val="20"/>
                <w:szCs w:val="20"/>
                <w:u w:val="none"/>
              </w:rPr>
            </w:pPr>
          </w:p>
        </w:tc>
      </w:tr>
      <w:tr w14:paraId="4223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9FB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2101101</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C22F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行政单位医疗</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03FB45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A20089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DDEB3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EED3C47">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1E774AB3">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66C0C26">
            <w:pPr>
              <w:jc w:val="right"/>
              <w:rPr>
                <w:rFonts w:hint="default" w:ascii="Times New Roman" w:hAnsi="Times New Roman" w:eastAsia="宋体" w:cs="Times New Roman"/>
                <w:i w:val="0"/>
                <w:iCs w:val="0"/>
                <w:color w:val="000000"/>
                <w:sz w:val="20"/>
                <w:szCs w:val="20"/>
                <w:u w:val="none"/>
              </w:rPr>
            </w:pPr>
          </w:p>
        </w:tc>
      </w:tr>
      <w:tr w14:paraId="1293F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C9F56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0CD24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住房保障支出</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E4024F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C59F6E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9BF69C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16350DD">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0E84F33C">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8B1C08">
            <w:pPr>
              <w:jc w:val="right"/>
              <w:rPr>
                <w:rFonts w:hint="default" w:ascii="Times New Roman" w:hAnsi="Times New Roman" w:eastAsia="宋体" w:cs="Times New Roman"/>
                <w:i w:val="0"/>
                <w:iCs w:val="0"/>
                <w:color w:val="000000"/>
                <w:sz w:val="20"/>
                <w:szCs w:val="20"/>
                <w:u w:val="none"/>
              </w:rPr>
            </w:pPr>
          </w:p>
        </w:tc>
      </w:tr>
      <w:tr w14:paraId="01B97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D0B1D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22102</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FB70B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住房改革支出</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53CBD4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617405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C5A12B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B424D08">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41B32BB3">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AA9B536">
            <w:pPr>
              <w:jc w:val="right"/>
              <w:rPr>
                <w:rFonts w:hint="default" w:ascii="Times New Roman" w:hAnsi="Times New Roman" w:eastAsia="宋体" w:cs="Times New Roman"/>
                <w:i w:val="0"/>
                <w:iCs w:val="0"/>
                <w:color w:val="000000"/>
                <w:sz w:val="20"/>
                <w:szCs w:val="20"/>
                <w:u w:val="none"/>
              </w:rPr>
            </w:pPr>
          </w:p>
        </w:tc>
      </w:tr>
      <w:tr w14:paraId="14497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55502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2210201</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C7D33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住房公积金</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85DE73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A096C4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F5F061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142385E">
            <w:pPr>
              <w:jc w:val="right"/>
              <w:rPr>
                <w:rFonts w:hint="default" w:ascii="Times New Roman" w:hAnsi="Times New Roman" w:eastAsia="宋体" w:cs="Times New Roman"/>
                <w:i w:val="0"/>
                <w:iCs w:val="0"/>
                <w:color w:val="000000"/>
                <w:sz w:val="20"/>
                <w:szCs w:val="20"/>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3D1182E7">
            <w:pPr>
              <w:jc w:val="right"/>
              <w:rPr>
                <w:rFonts w:hint="default" w:ascii="Times New Roman" w:hAnsi="Times New Roman" w:eastAsia="宋体" w:cs="Times New Roman"/>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25D79E3">
            <w:pPr>
              <w:jc w:val="right"/>
              <w:rPr>
                <w:rFonts w:hint="default" w:ascii="Times New Roman" w:hAnsi="Times New Roman" w:eastAsia="宋体" w:cs="Times New Roman"/>
                <w:i w:val="0"/>
                <w:iCs w:val="0"/>
                <w:color w:val="000000"/>
                <w:sz w:val="20"/>
                <w:szCs w:val="20"/>
                <w:u w:val="none"/>
              </w:rPr>
            </w:pPr>
          </w:p>
        </w:tc>
      </w:tr>
      <w:tr w14:paraId="5DCE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13917" w:type="dxa"/>
            <w:gridSpan w:val="8"/>
            <w:tcBorders>
              <w:top w:val="nil"/>
              <w:left w:val="nil"/>
              <w:bottom w:val="nil"/>
              <w:right w:val="nil"/>
            </w:tcBorders>
            <w:noWrap w:val="0"/>
            <w:vAlign w:val="center"/>
          </w:tcPr>
          <w:p w14:paraId="58DA7C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注：本表反映单位本年度各项支出情况。</w:t>
            </w:r>
          </w:p>
        </w:tc>
      </w:tr>
    </w:tbl>
    <w:p w14:paraId="4E4D86EF">
      <w:pPr>
        <w:rPr>
          <w:rFonts w:hint="default" w:ascii="Times New Roman" w:hAnsi="Times New Roman" w:eastAsia="黑体" w:cs="Times New Roman"/>
          <w:b w:val="0"/>
          <w:bCs w:val="0"/>
          <w:sz w:val="32"/>
        </w:rPr>
      </w:pPr>
    </w:p>
    <w:p w14:paraId="553D531B">
      <w:pPr>
        <w:ind w:firstLine="640" w:firstLineChars="200"/>
        <w:rPr>
          <w:rFonts w:hint="default" w:ascii="Times New Roman" w:hAnsi="Times New Roman" w:eastAsia="黑体" w:cs="Times New Roman"/>
          <w:b w:val="0"/>
          <w:bCs w:val="0"/>
          <w:sz w:val="32"/>
        </w:rPr>
      </w:pPr>
    </w:p>
    <w:p w14:paraId="4493465E">
      <w:pPr>
        <w:ind w:firstLine="640" w:firstLineChars="200"/>
        <w:rPr>
          <w:rFonts w:hint="default" w:ascii="Times New Roman" w:hAnsi="Times New Roman" w:eastAsia="黑体" w:cs="Times New Roman"/>
          <w:b w:val="0"/>
          <w:bCs w:val="0"/>
          <w:sz w:val="44"/>
        </w:rPr>
      </w:pPr>
      <w:r>
        <w:rPr>
          <w:rFonts w:hint="default" w:ascii="Times New Roman" w:hAnsi="Times New Roman" w:eastAsia="黑体" w:cs="Times New Roman"/>
          <w:b w:val="0"/>
          <w:bCs w:val="0"/>
          <w:sz w:val="32"/>
        </w:rPr>
        <w:t>四、财政拨款收入支出决算总表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33"/>
        <w:gridCol w:w="750"/>
        <w:gridCol w:w="915"/>
        <w:gridCol w:w="2520"/>
        <w:gridCol w:w="750"/>
        <w:gridCol w:w="1125"/>
        <w:gridCol w:w="1422"/>
        <w:gridCol w:w="1473"/>
        <w:gridCol w:w="1635"/>
      </w:tblGrid>
      <w:tr w14:paraId="66F96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14323" w:type="dxa"/>
            <w:gridSpan w:val="9"/>
            <w:tcBorders>
              <w:top w:val="nil"/>
              <w:left w:val="nil"/>
              <w:bottom w:val="nil"/>
              <w:right w:val="nil"/>
            </w:tcBorders>
            <w:noWrap w:val="0"/>
            <w:vAlign w:val="center"/>
          </w:tcPr>
          <w:p w14:paraId="49438B35">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财政拨款收入支出决算总表</w:t>
            </w:r>
          </w:p>
        </w:tc>
      </w:tr>
      <w:tr w14:paraId="6297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nil"/>
              <w:left w:val="nil"/>
              <w:bottom w:val="nil"/>
              <w:right w:val="nil"/>
            </w:tcBorders>
            <w:shd w:val="clear" w:color="auto" w:fill="FFFFFF"/>
            <w:noWrap w:val="0"/>
            <w:vAlign w:val="center"/>
          </w:tcPr>
          <w:p w14:paraId="4F0AF28B">
            <w:pPr>
              <w:jc w:val="right"/>
              <w:rPr>
                <w:rFonts w:hint="default" w:ascii="Times New Roman" w:hAnsi="Times New Roman" w:eastAsia="宋体" w:cs="Times New Roman"/>
                <w:i w:val="0"/>
                <w:iCs w:val="0"/>
                <w:color w:val="000000"/>
                <w:sz w:val="20"/>
                <w:szCs w:val="20"/>
                <w:u w:val="none"/>
              </w:rPr>
            </w:pPr>
          </w:p>
        </w:tc>
        <w:tc>
          <w:tcPr>
            <w:tcW w:w="750" w:type="dxa"/>
            <w:tcBorders>
              <w:top w:val="nil"/>
              <w:left w:val="nil"/>
              <w:bottom w:val="nil"/>
              <w:right w:val="nil"/>
            </w:tcBorders>
            <w:shd w:val="clear" w:color="auto" w:fill="FFFFFF"/>
            <w:noWrap w:val="0"/>
            <w:vAlign w:val="center"/>
          </w:tcPr>
          <w:p w14:paraId="6AE550D1">
            <w:pPr>
              <w:jc w:val="right"/>
              <w:rPr>
                <w:rFonts w:hint="default" w:ascii="Times New Roman" w:hAnsi="Times New Roman" w:eastAsia="宋体" w:cs="Times New Roman"/>
                <w:i w:val="0"/>
                <w:iCs w:val="0"/>
                <w:color w:val="000000"/>
                <w:sz w:val="20"/>
                <w:szCs w:val="20"/>
                <w:u w:val="none"/>
              </w:rPr>
            </w:pPr>
          </w:p>
        </w:tc>
        <w:tc>
          <w:tcPr>
            <w:tcW w:w="915" w:type="dxa"/>
            <w:tcBorders>
              <w:top w:val="nil"/>
              <w:left w:val="nil"/>
              <w:bottom w:val="nil"/>
              <w:right w:val="nil"/>
            </w:tcBorders>
            <w:shd w:val="clear" w:color="auto" w:fill="FFFFFF"/>
            <w:noWrap w:val="0"/>
            <w:vAlign w:val="center"/>
          </w:tcPr>
          <w:p w14:paraId="36C9A8B5">
            <w:pPr>
              <w:jc w:val="right"/>
              <w:rPr>
                <w:rFonts w:hint="default" w:ascii="Times New Roman" w:hAnsi="Times New Roman" w:eastAsia="宋体" w:cs="Times New Roman"/>
                <w:i w:val="0"/>
                <w:iCs w:val="0"/>
                <w:color w:val="000000"/>
                <w:sz w:val="20"/>
                <w:szCs w:val="20"/>
                <w:u w:val="none"/>
              </w:rPr>
            </w:pPr>
          </w:p>
        </w:tc>
        <w:tc>
          <w:tcPr>
            <w:tcW w:w="2520" w:type="dxa"/>
            <w:tcBorders>
              <w:top w:val="nil"/>
              <w:left w:val="nil"/>
              <w:bottom w:val="nil"/>
              <w:right w:val="nil"/>
            </w:tcBorders>
            <w:shd w:val="clear" w:color="auto" w:fill="FFFFFF"/>
            <w:noWrap w:val="0"/>
            <w:vAlign w:val="center"/>
          </w:tcPr>
          <w:p w14:paraId="525A0BE7">
            <w:pPr>
              <w:jc w:val="right"/>
              <w:rPr>
                <w:rFonts w:hint="default" w:ascii="Times New Roman" w:hAnsi="Times New Roman" w:eastAsia="宋体" w:cs="Times New Roman"/>
                <w:i w:val="0"/>
                <w:iCs w:val="0"/>
                <w:color w:val="000000"/>
                <w:sz w:val="20"/>
                <w:szCs w:val="20"/>
                <w:u w:val="none"/>
              </w:rPr>
            </w:pPr>
          </w:p>
        </w:tc>
        <w:tc>
          <w:tcPr>
            <w:tcW w:w="750" w:type="dxa"/>
            <w:tcBorders>
              <w:top w:val="nil"/>
              <w:left w:val="nil"/>
              <w:bottom w:val="nil"/>
              <w:right w:val="nil"/>
            </w:tcBorders>
            <w:shd w:val="clear" w:color="auto" w:fill="FFFFFF"/>
            <w:noWrap w:val="0"/>
            <w:vAlign w:val="center"/>
          </w:tcPr>
          <w:p w14:paraId="29F8D405">
            <w:pPr>
              <w:jc w:val="right"/>
              <w:rPr>
                <w:rFonts w:hint="default" w:ascii="Times New Roman" w:hAnsi="Times New Roman" w:eastAsia="宋体" w:cs="Times New Roman"/>
                <w:i w:val="0"/>
                <w:iCs w:val="0"/>
                <w:color w:val="000000"/>
                <w:sz w:val="20"/>
                <w:szCs w:val="20"/>
                <w:u w:val="none"/>
              </w:rPr>
            </w:pPr>
          </w:p>
        </w:tc>
        <w:tc>
          <w:tcPr>
            <w:tcW w:w="1125" w:type="dxa"/>
            <w:tcBorders>
              <w:top w:val="nil"/>
              <w:left w:val="nil"/>
              <w:bottom w:val="nil"/>
              <w:right w:val="nil"/>
            </w:tcBorders>
            <w:shd w:val="clear" w:color="auto" w:fill="FFFFFF"/>
            <w:noWrap w:val="0"/>
            <w:vAlign w:val="center"/>
          </w:tcPr>
          <w:p w14:paraId="01AFEDDE">
            <w:pPr>
              <w:jc w:val="right"/>
              <w:rPr>
                <w:rFonts w:hint="default" w:ascii="Times New Roman" w:hAnsi="Times New Roman" w:eastAsia="宋体" w:cs="Times New Roman"/>
                <w:i w:val="0"/>
                <w:iCs w:val="0"/>
                <w:color w:val="000000"/>
                <w:sz w:val="20"/>
                <w:szCs w:val="20"/>
                <w:u w:val="none"/>
              </w:rPr>
            </w:pPr>
          </w:p>
        </w:tc>
        <w:tc>
          <w:tcPr>
            <w:tcW w:w="1422" w:type="dxa"/>
            <w:tcBorders>
              <w:top w:val="nil"/>
              <w:left w:val="nil"/>
              <w:bottom w:val="nil"/>
              <w:right w:val="nil"/>
            </w:tcBorders>
            <w:shd w:val="clear" w:color="auto" w:fill="FFFFFF"/>
            <w:noWrap w:val="0"/>
            <w:vAlign w:val="center"/>
          </w:tcPr>
          <w:p w14:paraId="166B804E">
            <w:pPr>
              <w:jc w:val="right"/>
              <w:rPr>
                <w:rFonts w:hint="default" w:ascii="Times New Roman" w:hAnsi="Times New Roman" w:eastAsia="宋体" w:cs="Times New Roman"/>
                <w:i w:val="0"/>
                <w:iCs w:val="0"/>
                <w:color w:val="000000"/>
                <w:sz w:val="20"/>
                <w:szCs w:val="20"/>
                <w:u w:val="none"/>
              </w:rPr>
            </w:pPr>
          </w:p>
        </w:tc>
        <w:tc>
          <w:tcPr>
            <w:tcW w:w="1473" w:type="dxa"/>
            <w:tcBorders>
              <w:top w:val="nil"/>
              <w:left w:val="nil"/>
              <w:bottom w:val="nil"/>
              <w:right w:val="nil"/>
            </w:tcBorders>
            <w:shd w:val="clear" w:color="auto" w:fill="FFFFFF"/>
            <w:noWrap w:val="0"/>
            <w:vAlign w:val="center"/>
          </w:tcPr>
          <w:p w14:paraId="0650122E">
            <w:pPr>
              <w:jc w:val="right"/>
              <w:rPr>
                <w:rFonts w:hint="default" w:ascii="Times New Roman" w:hAnsi="Times New Roman" w:eastAsia="宋体" w:cs="Times New Roman"/>
                <w:i w:val="0"/>
                <w:iCs w:val="0"/>
                <w:color w:val="000000"/>
                <w:sz w:val="20"/>
                <w:szCs w:val="20"/>
                <w:u w:val="none"/>
              </w:rPr>
            </w:pPr>
          </w:p>
        </w:tc>
        <w:tc>
          <w:tcPr>
            <w:tcW w:w="1635" w:type="dxa"/>
            <w:tcBorders>
              <w:top w:val="nil"/>
              <w:left w:val="nil"/>
              <w:bottom w:val="nil"/>
              <w:right w:val="nil"/>
            </w:tcBorders>
            <w:shd w:val="clear" w:color="auto" w:fill="FFFFFF"/>
            <w:noWrap w:val="0"/>
            <w:vAlign w:val="center"/>
          </w:tcPr>
          <w:p w14:paraId="17BE370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公开04表</w:t>
            </w:r>
          </w:p>
        </w:tc>
      </w:tr>
      <w:tr w14:paraId="20A8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nil"/>
              <w:left w:val="nil"/>
              <w:bottom w:val="nil"/>
              <w:right w:val="nil"/>
            </w:tcBorders>
            <w:shd w:val="clear" w:color="auto" w:fill="FFFFFF"/>
            <w:noWrap w:val="0"/>
            <w:vAlign w:val="center"/>
          </w:tcPr>
          <w:p w14:paraId="3D9E626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750" w:type="dxa"/>
            <w:tcBorders>
              <w:top w:val="nil"/>
              <w:left w:val="nil"/>
              <w:bottom w:val="nil"/>
              <w:right w:val="nil"/>
            </w:tcBorders>
            <w:shd w:val="clear" w:color="auto" w:fill="FFFFFF"/>
            <w:noWrap w:val="0"/>
            <w:vAlign w:val="center"/>
          </w:tcPr>
          <w:p w14:paraId="15566176">
            <w:pPr>
              <w:jc w:val="right"/>
              <w:rPr>
                <w:rFonts w:hint="default" w:ascii="Times New Roman" w:hAnsi="Times New Roman" w:eastAsia="宋体" w:cs="Times New Roman"/>
                <w:i w:val="0"/>
                <w:iCs w:val="0"/>
                <w:color w:val="000000"/>
                <w:sz w:val="20"/>
                <w:szCs w:val="20"/>
                <w:u w:val="none"/>
              </w:rPr>
            </w:pPr>
          </w:p>
        </w:tc>
        <w:tc>
          <w:tcPr>
            <w:tcW w:w="915" w:type="dxa"/>
            <w:tcBorders>
              <w:top w:val="nil"/>
              <w:left w:val="nil"/>
              <w:bottom w:val="nil"/>
              <w:right w:val="nil"/>
            </w:tcBorders>
            <w:shd w:val="clear" w:color="auto" w:fill="FFFFFF"/>
            <w:noWrap w:val="0"/>
            <w:vAlign w:val="center"/>
          </w:tcPr>
          <w:p w14:paraId="260F7184">
            <w:pPr>
              <w:jc w:val="right"/>
              <w:rPr>
                <w:rFonts w:hint="default" w:ascii="Times New Roman" w:hAnsi="Times New Roman" w:eastAsia="宋体" w:cs="Times New Roman"/>
                <w:i w:val="0"/>
                <w:iCs w:val="0"/>
                <w:color w:val="000000"/>
                <w:sz w:val="20"/>
                <w:szCs w:val="20"/>
                <w:u w:val="none"/>
              </w:rPr>
            </w:pPr>
          </w:p>
        </w:tc>
        <w:tc>
          <w:tcPr>
            <w:tcW w:w="2520" w:type="dxa"/>
            <w:tcBorders>
              <w:top w:val="nil"/>
              <w:left w:val="nil"/>
              <w:bottom w:val="nil"/>
              <w:right w:val="nil"/>
            </w:tcBorders>
            <w:shd w:val="clear" w:color="auto" w:fill="FFFFFF"/>
            <w:noWrap w:val="0"/>
            <w:vAlign w:val="center"/>
          </w:tcPr>
          <w:p w14:paraId="6A342FC6">
            <w:pPr>
              <w:jc w:val="right"/>
              <w:rPr>
                <w:rFonts w:hint="default" w:ascii="Times New Roman" w:hAnsi="Times New Roman" w:eastAsia="宋体" w:cs="Times New Roman"/>
                <w:i w:val="0"/>
                <w:iCs w:val="0"/>
                <w:color w:val="000000"/>
                <w:sz w:val="20"/>
                <w:szCs w:val="20"/>
                <w:u w:val="none"/>
              </w:rPr>
            </w:pPr>
          </w:p>
        </w:tc>
        <w:tc>
          <w:tcPr>
            <w:tcW w:w="750" w:type="dxa"/>
            <w:tcBorders>
              <w:top w:val="nil"/>
              <w:left w:val="nil"/>
              <w:bottom w:val="nil"/>
              <w:right w:val="nil"/>
            </w:tcBorders>
            <w:shd w:val="clear" w:color="auto" w:fill="FFFFFF"/>
            <w:noWrap w:val="0"/>
            <w:vAlign w:val="center"/>
          </w:tcPr>
          <w:p w14:paraId="28995C2D">
            <w:pPr>
              <w:jc w:val="right"/>
              <w:rPr>
                <w:rFonts w:hint="default" w:ascii="Times New Roman" w:hAnsi="Times New Roman" w:eastAsia="宋体" w:cs="Times New Roman"/>
                <w:i w:val="0"/>
                <w:iCs w:val="0"/>
                <w:color w:val="000000"/>
                <w:sz w:val="20"/>
                <w:szCs w:val="20"/>
                <w:u w:val="none"/>
              </w:rPr>
            </w:pPr>
          </w:p>
        </w:tc>
        <w:tc>
          <w:tcPr>
            <w:tcW w:w="1125" w:type="dxa"/>
            <w:tcBorders>
              <w:top w:val="nil"/>
              <w:left w:val="nil"/>
              <w:bottom w:val="nil"/>
              <w:right w:val="nil"/>
            </w:tcBorders>
            <w:shd w:val="clear" w:color="auto" w:fill="FFFFFF"/>
            <w:noWrap w:val="0"/>
            <w:vAlign w:val="center"/>
          </w:tcPr>
          <w:p w14:paraId="0440E0A2">
            <w:pPr>
              <w:jc w:val="right"/>
              <w:rPr>
                <w:rFonts w:hint="default" w:ascii="Times New Roman" w:hAnsi="Times New Roman" w:eastAsia="宋体" w:cs="Times New Roman"/>
                <w:i w:val="0"/>
                <w:iCs w:val="0"/>
                <w:color w:val="000000"/>
                <w:sz w:val="20"/>
                <w:szCs w:val="20"/>
                <w:u w:val="none"/>
              </w:rPr>
            </w:pPr>
          </w:p>
        </w:tc>
        <w:tc>
          <w:tcPr>
            <w:tcW w:w="1422" w:type="dxa"/>
            <w:tcBorders>
              <w:top w:val="nil"/>
              <w:left w:val="nil"/>
              <w:bottom w:val="nil"/>
              <w:right w:val="nil"/>
            </w:tcBorders>
            <w:shd w:val="clear" w:color="auto" w:fill="FFFFFF"/>
            <w:noWrap w:val="0"/>
            <w:vAlign w:val="center"/>
          </w:tcPr>
          <w:p w14:paraId="56CBCC17">
            <w:pPr>
              <w:jc w:val="right"/>
              <w:rPr>
                <w:rFonts w:hint="default" w:ascii="Times New Roman" w:hAnsi="Times New Roman" w:eastAsia="宋体" w:cs="Times New Roman"/>
                <w:i w:val="0"/>
                <w:iCs w:val="0"/>
                <w:color w:val="000000"/>
                <w:sz w:val="20"/>
                <w:szCs w:val="20"/>
                <w:u w:val="none"/>
              </w:rPr>
            </w:pPr>
          </w:p>
        </w:tc>
        <w:tc>
          <w:tcPr>
            <w:tcW w:w="1473" w:type="dxa"/>
            <w:tcBorders>
              <w:top w:val="nil"/>
              <w:left w:val="nil"/>
              <w:bottom w:val="nil"/>
              <w:right w:val="nil"/>
            </w:tcBorders>
            <w:shd w:val="clear" w:color="auto" w:fill="FFFFFF"/>
            <w:noWrap w:val="0"/>
            <w:vAlign w:val="center"/>
          </w:tcPr>
          <w:p w14:paraId="55921C6B">
            <w:pPr>
              <w:jc w:val="right"/>
              <w:rPr>
                <w:rFonts w:hint="default" w:ascii="Times New Roman" w:hAnsi="Times New Roman" w:eastAsia="宋体" w:cs="Times New Roman"/>
                <w:i w:val="0"/>
                <w:iCs w:val="0"/>
                <w:color w:val="000000"/>
                <w:sz w:val="20"/>
                <w:szCs w:val="20"/>
                <w:u w:val="none"/>
              </w:rPr>
            </w:pPr>
          </w:p>
        </w:tc>
        <w:tc>
          <w:tcPr>
            <w:tcW w:w="1635" w:type="dxa"/>
            <w:tcBorders>
              <w:top w:val="nil"/>
              <w:left w:val="nil"/>
              <w:bottom w:val="nil"/>
              <w:right w:val="nil"/>
            </w:tcBorders>
            <w:shd w:val="clear" w:color="auto" w:fill="FFFFFF"/>
            <w:noWrap w:val="0"/>
            <w:vAlign w:val="center"/>
          </w:tcPr>
          <w:p w14:paraId="0301779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50B55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398"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4E5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收入</w:t>
            </w:r>
          </w:p>
        </w:tc>
        <w:tc>
          <w:tcPr>
            <w:tcW w:w="8925"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8A3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支出</w:t>
            </w:r>
          </w:p>
        </w:tc>
      </w:tr>
      <w:tr w14:paraId="45A3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488E31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C612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行次</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1C1249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7EC492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5739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0F36D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14E3D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一般公共预算财政拨款</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65C23E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政府性基金预算财政拨款</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E76E5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国有资本经营预算财政拨款</w:t>
            </w:r>
          </w:p>
        </w:tc>
      </w:tr>
      <w:tr w14:paraId="3ACC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3363DC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    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8DAC56">
            <w:pPr>
              <w:jc w:val="center"/>
              <w:rPr>
                <w:rFonts w:hint="default" w:ascii="Times New Roman" w:hAnsi="Times New Roman" w:eastAsia="宋体" w:cs="Times New Roman"/>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70DFA9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E1BA7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    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8D0756">
            <w:pPr>
              <w:jc w:val="center"/>
              <w:rPr>
                <w:rFonts w:hint="default" w:ascii="Times New Roman" w:hAnsi="Times New Roman" w:eastAsia="宋体" w:cs="Times New Roman"/>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D24D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2A22A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15AE2E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7E551C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r>
      <w:tr w14:paraId="318B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6DD2905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一、一般公共预算财政拨款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68E1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130417A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4EB0CA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一、一般公共服务支出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24D5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9F213A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154.50 </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9422E4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154.50 </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2DEFBE54">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62246532">
            <w:pPr>
              <w:jc w:val="right"/>
              <w:rPr>
                <w:rFonts w:hint="default" w:ascii="Times New Roman" w:hAnsi="Times New Roman" w:eastAsia="宋体" w:cs="Times New Roman"/>
                <w:i w:val="0"/>
                <w:iCs w:val="0"/>
                <w:color w:val="000000"/>
                <w:sz w:val="20"/>
                <w:szCs w:val="20"/>
                <w:u w:val="none"/>
              </w:rPr>
            </w:pPr>
          </w:p>
        </w:tc>
      </w:tr>
      <w:tr w14:paraId="03518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AD1B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二、政府性基金预算财政拨款</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13A2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EFD63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9B52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二、社会保障和就业支出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FF57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125" w:type="dxa"/>
            <w:tcBorders>
              <w:top w:val="nil"/>
              <w:left w:val="nil"/>
              <w:bottom w:val="single" w:color="000000" w:sz="4" w:space="0"/>
              <w:right w:val="single" w:color="000000" w:sz="4" w:space="0"/>
            </w:tcBorders>
            <w:noWrap w:val="0"/>
            <w:vAlign w:val="center"/>
          </w:tcPr>
          <w:p w14:paraId="18EF615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22" w:type="dxa"/>
            <w:tcBorders>
              <w:top w:val="nil"/>
              <w:left w:val="nil"/>
              <w:bottom w:val="single" w:color="000000" w:sz="4" w:space="0"/>
              <w:right w:val="single" w:color="000000" w:sz="4" w:space="0"/>
            </w:tcBorders>
            <w:noWrap w:val="0"/>
            <w:vAlign w:val="center"/>
          </w:tcPr>
          <w:p w14:paraId="36EF0A8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4C66590F">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4C980CC">
            <w:pPr>
              <w:jc w:val="right"/>
              <w:rPr>
                <w:rFonts w:hint="default" w:ascii="Times New Roman" w:hAnsi="Times New Roman" w:eastAsia="宋体" w:cs="Times New Roman"/>
                <w:i w:val="0"/>
                <w:iCs w:val="0"/>
                <w:color w:val="000000"/>
                <w:sz w:val="20"/>
                <w:szCs w:val="20"/>
                <w:u w:val="none"/>
              </w:rPr>
            </w:pPr>
          </w:p>
        </w:tc>
      </w:tr>
      <w:tr w14:paraId="4A7D2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3F4A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三、国有资本经营预算财政拨款</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F91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DA318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3D0EC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三、卫生健康支出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DF0C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125" w:type="dxa"/>
            <w:tcBorders>
              <w:top w:val="nil"/>
              <w:left w:val="nil"/>
              <w:bottom w:val="single" w:color="000000" w:sz="4" w:space="0"/>
              <w:right w:val="single" w:color="000000" w:sz="4" w:space="0"/>
            </w:tcBorders>
            <w:noWrap w:val="0"/>
            <w:vAlign w:val="center"/>
          </w:tcPr>
          <w:p w14:paraId="6107574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22" w:type="dxa"/>
            <w:tcBorders>
              <w:top w:val="nil"/>
              <w:left w:val="nil"/>
              <w:bottom w:val="single" w:color="000000" w:sz="4" w:space="0"/>
              <w:right w:val="single" w:color="000000" w:sz="4" w:space="0"/>
            </w:tcBorders>
            <w:noWrap w:val="0"/>
            <w:vAlign w:val="center"/>
          </w:tcPr>
          <w:p w14:paraId="55F4868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4D1B7A0B">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4280306">
            <w:pPr>
              <w:jc w:val="right"/>
              <w:rPr>
                <w:rFonts w:hint="default" w:ascii="Times New Roman" w:hAnsi="Times New Roman" w:eastAsia="宋体" w:cs="Times New Roman"/>
                <w:i w:val="0"/>
                <w:iCs w:val="0"/>
                <w:color w:val="000000"/>
                <w:sz w:val="20"/>
                <w:szCs w:val="20"/>
                <w:u w:val="none"/>
              </w:rPr>
            </w:pPr>
          </w:p>
        </w:tc>
      </w:tr>
      <w:tr w14:paraId="29F9B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6E0AE">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FB5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0DA62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4A58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四、住房保障支出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6D40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599A3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0D0CDD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21DDD101">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38EE374F">
            <w:pPr>
              <w:jc w:val="right"/>
              <w:rPr>
                <w:rFonts w:hint="default" w:ascii="Times New Roman" w:hAnsi="Times New Roman" w:eastAsia="宋体" w:cs="Times New Roman"/>
                <w:i w:val="0"/>
                <w:iCs w:val="0"/>
                <w:color w:val="000000"/>
                <w:sz w:val="20"/>
                <w:szCs w:val="20"/>
                <w:u w:val="none"/>
              </w:rPr>
            </w:pPr>
          </w:p>
        </w:tc>
      </w:tr>
      <w:tr w14:paraId="105EB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4E9AD330">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810B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74B842B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923D3B4">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B8C7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D6CEE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AC2091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4888372C">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2237DDA">
            <w:pPr>
              <w:jc w:val="right"/>
              <w:rPr>
                <w:rFonts w:hint="default" w:ascii="Times New Roman" w:hAnsi="Times New Roman" w:eastAsia="宋体" w:cs="Times New Roman"/>
                <w:i w:val="0"/>
                <w:iCs w:val="0"/>
                <w:color w:val="000000"/>
                <w:sz w:val="20"/>
                <w:szCs w:val="20"/>
                <w:u w:val="none"/>
              </w:rPr>
            </w:pPr>
          </w:p>
        </w:tc>
      </w:tr>
      <w:tr w14:paraId="59E8A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6CE000F6">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26BE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58D819A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16F91162">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B1D6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4CD94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FB268B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1E4F9166">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5858B376">
            <w:pPr>
              <w:jc w:val="right"/>
              <w:rPr>
                <w:rFonts w:hint="default" w:ascii="Times New Roman" w:hAnsi="Times New Roman" w:eastAsia="宋体" w:cs="Times New Roman"/>
                <w:i w:val="0"/>
                <w:iCs w:val="0"/>
                <w:color w:val="000000"/>
                <w:sz w:val="20"/>
                <w:szCs w:val="20"/>
                <w:u w:val="none"/>
              </w:rPr>
            </w:pPr>
          </w:p>
        </w:tc>
      </w:tr>
      <w:tr w14:paraId="294B4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7F39EE0E">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6848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583C0E6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4A76CE30">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6DD6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0CD10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675EC8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615269B6">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FD3857A">
            <w:pPr>
              <w:jc w:val="right"/>
              <w:rPr>
                <w:rFonts w:hint="default" w:ascii="Times New Roman" w:hAnsi="Times New Roman" w:eastAsia="宋体" w:cs="Times New Roman"/>
                <w:i w:val="0"/>
                <w:iCs w:val="0"/>
                <w:color w:val="000000"/>
                <w:sz w:val="20"/>
                <w:szCs w:val="20"/>
                <w:u w:val="none"/>
              </w:rPr>
            </w:pPr>
          </w:p>
        </w:tc>
      </w:tr>
      <w:tr w14:paraId="3B87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15A29026">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8AF7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45B4977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93ED216">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695F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8C947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DAD9B2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766A7283">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0515040A">
            <w:pPr>
              <w:jc w:val="center"/>
              <w:rPr>
                <w:rFonts w:hint="default" w:ascii="Times New Roman" w:hAnsi="Times New Roman" w:eastAsia="宋体" w:cs="Times New Roman"/>
                <w:i w:val="0"/>
                <w:iCs w:val="0"/>
                <w:color w:val="000000"/>
                <w:sz w:val="20"/>
                <w:szCs w:val="20"/>
                <w:u w:val="none"/>
              </w:rPr>
            </w:pPr>
          </w:p>
        </w:tc>
      </w:tr>
      <w:tr w14:paraId="5F06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05248B2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本年收入合计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8981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6AC9FAA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77B99B0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本年支出合计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8B89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125" w:type="dxa"/>
            <w:tcBorders>
              <w:top w:val="nil"/>
              <w:left w:val="nil"/>
              <w:bottom w:val="single" w:color="000000" w:sz="4" w:space="0"/>
              <w:right w:val="single" w:color="000000" w:sz="4" w:space="0"/>
            </w:tcBorders>
            <w:noWrap w:val="0"/>
            <w:vAlign w:val="center"/>
          </w:tcPr>
          <w:p w14:paraId="0071AC8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1422" w:type="dxa"/>
            <w:tcBorders>
              <w:top w:val="nil"/>
              <w:left w:val="nil"/>
              <w:bottom w:val="single" w:color="000000" w:sz="4" w:space="0"/>
              <w:right w:val="single" w:color="000000" w:sz="4" w:space="0"/>
            </w:tcBorders>
            <w:noWrap w:val="0"/>
            <w:vAlign w:val="center"/>
          </w:tcPr>
          <w:p w14:paraId="50DC271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1B62BCA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0B3F6B6D">
            <w:pPr>
              <w:rPr>
                <w:rFonts w:hint="default" w:ascii="Times New Roman" w:hAnsi="Times New Roman" w:eastAsia="宋体" w:cs="Times New Roman"/>
                <w:b/>
                <w:bCs/>
                <w:i w:val="0"/>
                <w:iCs w:val="0"/>
                <w:color w:val="000000"/>
                <w:sz w:val="20"/>
                <w:szCs w:val="20"/>
                <w:u w:val="none"/>
              </w:rPr>
            </w:pPr>
          </w:p>
        </w:tc>
      </w:tr>
      <w:tr w14:paraId="74253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292D8D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年初财政拨款结转和结余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7B2C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0B1FB1B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8AC8F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年末财政拨款结转和结余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63BB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21B879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C518CA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28195A3D">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2F4F1105">
            <w:pPr>
              <w:rPr>
                <w:rFonts w:hint="default" w:ascii="Times New Roman" w:hAnsi="Times New Roman" w:eastAsia="宋体" w:cs="Times New Roman"/>
                <w:i w:val="0"/>
                <w:iCs w:val="0"/>
                <w:color w:val="000000"/>
                <w:sz w:val="20"/>
                <w:szCs w:val="20"/>
                <w:u w:val="none"/>
              </w:rPr>
            </w:pPr>
          </w:p>
        </w:tc>
      </w:tr>
      <w:tr w14:paraId="78798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292D81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一般公共预算财政拨款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945A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52665E3E">
            <w:pPr>
              <w:jc w:val="right"/>
              <w:rPr>
                <w:rFonts w:hint="default" w:ascii="Times New Roman" w:hAnsi="Times New Roman" w:eastAsia="宋体" w:cs="Times New Roman"/>
                <w:i w:val="0"/>
                <w:iCs w:val="0"/>
                <w:color w:val="000000"/>
                <w:sz w:val="20"/>
                <w:szCs w:val="20"/>
                <w:u w:val="none"/>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4D059C42">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7C59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D622A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A1F338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4553C52E">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3ADAF227">
            <w:pPr>
              <w:rPr>
                <w:rFonts w:hint="default" w:ascii="Times New Roman" w:hAnsi="Times New Roman" w:eastAsia="宋体" w:cs="Times New Roman"/>
                <w:i w:val="0"/>
                <w:iCs w:val="0"/>
                <w:color w:val="000000"/>
                <w:sz w:val="20"/>
                <w:szCs w:val="20"/>
                <w:u w:val="none"/>
              </w:rPr>
            </w:pPr>
          </w:p>
        </w:tc>
      </w:tr>
      <w:tr w14:paraId="6E3AB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3467B9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政府性基金预算财政拨款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667C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5D09E403">
            <w:pPr>
              <w:jc w:val="right"/>
              <w:rPr>
                <w:rFonts w:hint="default" w:ascii="Times New Roman" w:hAnsi="Times New Roman" w:eastAsia="宋体" w:cs="Times New Roman"/>
                <w:i w:val="0"/>
                <w:iCs w:val="0"/>
                <w:color w:val="000000"/>
                <w:sz w:val="20"/>
                <w:szCs w:val="20"/>
                <w:u w:val="none"/>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84D953E">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8F63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98233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6B185E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577F0DBE">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7FECB3A0">
            <w:pPr>
              <w:rPr>
                <w:rFonts w:hint="default" w:ascii="Times New Roman" w:hAnsi="Times New Roman" w:eastAsia="宋体" w:cs="Times New Roman"/>
                <w:i w:val="0"/>
                <w:iCs w:val="0"/>
                <w:color w:val="000000"/>
                <w:sz w:val="20"/>
                <w:szCs w:val="20"/>
                <w:u w:val="none"/>
              </w:rPr>
            </w:pPr>
          </w:p>
        </w:tc>
      </w:tr>
      <w:tr w14:paraId="5746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noWrap w:val="0"/>
            <w:vAlign w:val="center"/>
          </w:tcPr>
          <w:p w14:paraId="5F458F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国有资本经营预算财政拨款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2A66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1FE503F0">
            <w:pPr>
              <w:jc w:val="right"/>
              <w:rPr>
                <w:rFonts w:hint="default" w:ascii="Times New Roman" w:hAnsi="Times New Roman" w:eastAsia="宋体" w:cs="Times New Roman"/>
                <w:i w:val="0"/>
                <w:iCs w:val="0"/>
                <w:color w:val="000000"/>
                <w:sz w:val="20"/>
                <w:szCs w:val="20"/>
                <w:u w:val="none"/>
              </w:rPr>
            </w:pP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BF11D0E">
            <w:pPr>
              <w:jc w:val="left"/>
              <w:rPr>
                <w:rFonts w:hint="default" w:ascii="Times New Roman" w:hAnsi="Times New Roman" w:eastAsia="宋体" w:cs="Times New Roman"/>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23E4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BF7B71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3DE001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65A74932">
            <w:pPr>
              <w:jc w:val="center"/>
              <w:rPr>
                <w:rFonts w:hint="default" w:ascii="Times New Roman" w:hAnsi="Times New Roman" w:eastAsia="宋体" w:cs="Times New Roman"/>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4340DBC">
            <w:pPr>
              <w:rPr>
                <w:rFonts w:hint="default" w:ascii="Times New Roman" w:hAnsi="Times New Roman" w:eastAsia="宋体" w:cs="Times New Roman"/>
                <w:i w:val="0"/>
                <w:iCs w:val="0"/>
                <w:color w:val="000000"/>
                <w:sz w:val="20"/>
                <w:szCs w:val="20"/>
                <w:u w:val="none"/>
              </w:rPr>
            </w:pPr>
          </w:p>
        </w:tc>
      </w:tr>
      <w:tr w14:paraId="744F1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F8BA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总计</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97C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160CAA">
            <w:pPr>
              <w:keepNext w:val="0"/>
              <w:keepLines w:val="0"/>
              <w:widowControl/>
              <w:suppressLineNumbers w:val="0"/>
              <w:jc w:val="right"/>
              <w:textAlignment w:val="center"/>
              <w:rPr>
                <w:rFonts w:hint="default" w:ascii="Times New Roman" w:hAnsi="Times New Roman" w:eastAsia="宋体" w:cs="Times New Roman"/>
                <w:i w:val="0"/>
                <w:iCs w:val="0"/>
                <w:color w:val="262626"/>
                <w:kern w:val="2"/>
                <w:sz w:val="22"/>
                <w:szCs w:val="22"/>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192.79</w:t>
            </w:r>
            <w:r>
              <w:rPr>
                <w:rFonts w:hint="default" w:ascii="Times New Roman" w:hAnsi="Times New Roman" w:eastAsia="宋体" w:cs="Times New Roman"/>
                <w:i w:val="0"/>
                <w:iCs w:val="0"/>
                <w:color w:val="262626"/>
                <w:kern w:val="0"/>
                <w:sz w:val="22"/>
                <w:szCs w:val="22"/>
                <w:u w:val="none"/>
                <w:lang w:val="en-US" w:eastAsia="zh-CN" w:bidi="ar"/>
              </w:rPr>
              <w:t xml:space="preserve"> </w:t>
            </w:r>
          </w:p>
        </w:tc>
        <w:tc>
          <w:tcPr>
            <w:tcW w:w="2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A8B7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总计</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93B7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125" w:type="dxa"/>
            <w:tcBorders>
              <w:top w:val="nil"/>
              <w:left w:val="nil"/>
              <w:bottom w:val="single" w:color="000000" w:sz="4" w:space="0"/>
              <w:right w:val="single" w:color="000000" w:sz="4" w:space="0"/>
            </w:tcBorders>
            <w:noWrap w:val="0"/>
            <w:vAlign w:val="center"/>
          </w:tcPr>
          <w:p w14:paraId="3B3C930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1422" w:type="dxa"/>
            <w:tcBorders>
              <w:top w:val="nil"/>
              <w:left w:val="nil"/>
              <w:bottom w:val="single" w:color="000000" w:sz="4" w:space="0"/>
              <w:right w:val="single" w:color="000000" w:sz="4" w:space="0"/>
            </w:tcBorders>
            <w:noWrap w:val="0"/>
            <w:vAlign w:val="center"/>
          </w:tcPr>
          <w:p w14:paraId="6EDD73C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2D7CB83A">
            <w:pPr>
              <w:rPr>
                <w:rFonts w:hint="default" w:ascii="Times New Roman" w:hAnsi="Times New Roman" w:eastAsia="宋体" w:cs="Times New Roman"/>
                <w:b/>
                <w:bCs/>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1C71E5D">
            <w:pPr>
              <w:rPr>
                <w:rFonts w:hint="default" w:ascii="Times New Roman" w:hAnsi="Times New Roman" w:eastAsia="宋体" w:cs="Times New Roman"/>
                <w:b/>
                <w:bCs/>
                <w:i w:val="0"/>
                <w:iCs w:val="0"/>
                <w:color w:val="000000"/>
                <w:sz w:val="20"/>
                <w:szCs w:val="20"/>
                <w:u w:val="none"/>
              </w:rPr>
            </w:pPr>
          </w:p>
        </w:tc>
      </w:tr>
      <w:tr w14:paraId="17C35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14323" w:type="dxa"/>
            <w:gridSpan w:val="9"/>
            <w:tcBorders>
              <w:top w:val="nil"/>
              <w:left w:val="nil"/>
              <w:bottom w:val="nil"/>
              <w:right w:val="nil"/>
            </w:tcBorders>
            <w:noWrap w:val="0"/>
            <w:vAlign w:val="center"/>
          </w:tcPr>
          <w:p w14:paraId="2151207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注：本表反映单位本年度一般公共预算财政拨款、政府性基金预算财政拨款和国有资本经营预算财政拨款的总收支和年末结转结余情况。</w:t>
            </w:r>
          </w:p>
        </w:tc>
      </w:tr>
    </w:tbl>
    <w:p w14:paraId="5A4515EA">
      <w:pPr>
        <w:jc w:val="center"/>
        <w:rPr>
          <w:rFonts w:hint="default" w:ascii="Times New Roman" w:hAnsi="Times New Roman" w:eastAsia="宋体" w:cs="Times New Roman"/>
          <w:sz w:val="44"/>
        </w:rPr>
      </w:pPr>
    </w:p>
    <w:p w14:paraId="31670F84">
      <w:pPr>
        <w:rPr>
          <w:rFonts w:hint="default" w:ascii="Times New Roman" w:hAnsi="Times New Roman" w:eastAsia="黑体" w:cs="Times New Roman"/>
          <w:b w:val="0"/>
          <w:bCs w:val="0"/>
          <w:sz w:val="32"/>
        </w:rPr>
      </w:pPr>
    </w:p>
    <w:p w14:paraId="138CEF4B">
      <w:pPr>
        <w:ind w:firstLine="640" w:firstLineChars="200"/>
        <w:rPr>
          <w:rFonts w:hint="default" w:ascii="Times New Roman" w:hAnsi="Times New Roman" w:eastAsia="黑体" w:cs="Times New Roman"/>
          <w:b w:val="0"/>
          <w:bCs w:val="0"/>
          <w:sz w:val="32"/>
        </w:rPr>
      </w:pPr>
    </w:p>
    <w:p w14:paraId="3F43A190">
      <w:pPr>
        <w:ind w:firstLine="640" w:firstLineChars="200"/>
        <w:rPr>
          <w:rFonts w:hint="default" w:ascii="Times New Roman" w:hAnsi="Times New Roman" w:eastAsia="仿宋" w:cs="Times New Roman"/>
          <w:b/>
          <w:bCs/>
          <w:sz w:val="44"/>
        </w:rPr>
      </w:pPr>
      <w:r>
        <w:rPr>
          <w:rFonts w:hint="default" w:ascii="Times New Roman" w:hAnsi="Times New Roman" w:eastAsia="黑体" w:cs="Times New Roman"/>
          <w:b w:val="0"/>
          <w:bCs w:val="0"/>
          <w:sz w:val="32"/>
        </w:rPr>
        <w:t>五、一般公共预算财政拨款支出决算表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7"/>
        <w:gridCol w:w="3720"/>
        <w:gridCol w:w="2018"/>
        <w:gridCol w:w="1012"/>
        <w:gridCol w:w="1710"/>
        <w:gridCol w:w="969"/>
        <w:gridCol w:w="2145"/>
      </w:tblGrid>
      <w:tr w14:paraId="37B82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12861" w:type="dxa"/>
            <w:gridSpan w:val="7"/>
            <w:tcBorders>
              <w:top w:val="nil"/>
              <w:left w:val="nil"/>
              <w:bottom w:val="nil"/>
              <w:right w:val="nil"/>
            </w:tcBorders>
            <w:shd w:val="clear" w:color="auto" w:fill="FFFFFF"/>
            <w:noWrap w:val="0"/>
            <w:vAlign w:val="center"/>
          </w:tcPr>
          <w:p w14:paraId="548CA863">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一般公共预算财政拨款支出决算表</w:t>
            </w:r>
          </w:p>
        </w:tc>
      </w:tr>
      <w:tr w14:paraId="3F0DD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jc w:val="center"/>
        </w:trPr>
        <w:tc>
          <w:tcPr>
            <w:tcW w:w="1287" w:type="dxa"/>
            <w:tcBorders>
              <w:top w:val="nil"/>
              <w:left w:val="nil"/>
              <w:bottom w:val="nil"/>
              <w:right w:val="nil"/>
            </w:tcBorders>
            <w:shd w:val="clear" w:color="auto" w:fill="FFFFFF"/>
            <w:noWrap w:val="0"/>
            <w:vAlign w:val="center"/>
          </w:tcPr>
          <w:p w14:paraId="633FCABC">
            <w:pPr>
              <w:jc w:val="center"/>
              <w:rPr>
                <w:rFonts w:hint="default" w:ascii="Times New Roman" w:hAnsi="Times New Roman" w:eastAsia="宋体" w:cs="Times New Roman"/>
                <w:i w:val="0"/>
                <w:iCs w:val="0"/>
                <w:color w:val="000000"/>
                <w:sz w:val="20"/>
                <w:szCs w:val="20"/>
                <w:u w:val="none"/>
              </w:rPr>
            </w:pPr>
          </w:p>
        </w:tc>
        <w:tc>
          <w:tcPr>
            <w:tcW w:w="3720" w:type="dxa"/>
            <w:tcBorders>
              <w:top w:val="nil"/>
              <w:left w:val="nil"/>
              <w:bottom w:val="nil"/>
              <w:right w:val="nil"/>
            </w:tcBorders>
            <w:shd w:val="clear" w:color="auto" w:fill="FFFFFF"/>
            <w:noWrap w:val="0"/>
            <w:vAlign w:val="center"/>
          </w:tcPr>
          <w:p w14:paraId="41F66DBD">
            <w:pPr>
              <w:jc w:val="center"/>
              <w:rPr>
                <w:rFonts w:hint="default" w:ascii="Times New Roman" w:hAnsi="Times New Roman" w:eastAsia="宋体" w:cs="Times New Roman"/>
                <w:i w:val="0"/>
                <w:iCs w:val="0"/>
                <w:color w:val="000000"/>
                <w:sz w:val="20"/>
                <w:szCs w:val="20"/>
                <w:u w:val="none"/>
              </w:rPr>
            </w:pPr>
          </w:p>
        </w:tc>
        <w:tc>
          <w:tcPr>
            <w:tcW w:w="2018" w:type="dxa"/>
            <w:tcBorders>
              <w:top w:val="nil"/>
              <w:left w:val="nil"/>
              <w:bottom w:val="nil"/>
              <w:right w:val="nil"/>
            </w:tcBorders>
            <w:shd w:val="clear" w:color="auto" w:fill="FFFFFF"/>
            <w:noWrap w:val="0"/>
            <w:vAlign w:val="center"/>
          </w:tcPr>
          <w:p w14:paraId="057AF7E0">
            <w:pPr>
              <w:rPr>
                <w:rFonts w:hint="default" w:ascii="Times New Roman" w:hAnsi="Times New Roman" w:eastAsia="宋体" w:cs="Times New Roman"/>
                <w:i w:val="0"/>
                <w:iCs w:val="0"/>
                <w:color w:val="000000"/>
                <w:sz w:val="20"/>
                <w:szCs w:val="20"/>
                <w:u w:val="none"/>
              </w:rPr>
            </w:pPr>
          </w:p>
        </w:tc>
        <w:tc>
          <w:tcPr>
            <w:tcW w:w="1012" w:type="dxa"/>
            <w:tcBorders>
              <w:top w:val="nil"/>
              <w:left w:val="nil"/>
              <w:bottom w:val="nil"/>
              <w:right w:val="nil"/>
            </w:tcBorders>
            <w:shd w:val="clear" w:color="auto" w:fill="FFFFFF"/>
            <w:noWrap w:val="0"/>
            <w:vAlign w:val="center"/>
          </w:tcPr>
          <w:p w14:paraId="4C309184">
            <w:pPr>
              <w:jc w:val="center"/>
              <w:rPr>
                <w:rFonts w:hint="default" w:ascii="Times New Roman" w:hAnsi="Times New Roman" w:eastAsia="宋体" w:cs="Times New Roman"/>
                <w:i w:val="0"/>
                <w:iCs w:val="0"/>
                <w:color w:val="000000"/>
                <w:sz w:val="20"/>
                <w:szCs w:val="20"/>
                <w:u w:val="none"/>
              </w:rPr>
            </w:pPr>
          </w:p>
        </w:tc>
        <w:tc>
          <w:tcPr>
            <w:tcW w:w="1710" w:type="dxa"/>
            <w:tcBorders>
              <w:top w:val="nil"/>
              <w:left w:val="nil"/>
              <w:bottom w:val="nil"/>
              <w:right w:val="nil"/>
            </w:tcBorders>
            <w:shd w:val="clear" w:color="auto" w:fill="FFFFFF"/>
            <w:noWrap w:val="0"/>
            <w:vAlign w:val="center"/>
          </w:tcPr>
          <w:p w14:paraId="4E304FB3">
            <w:pPr>
              <w:jc w:val="center"/>
              <w:rPr>
                <w:rFonts w:hint="default" w:ascii="Times New Roman" w:hAnsi="Times New Roman" w:eastAsia="宋体" w:cs="Times New Roman"/>
                <w:i w:val="0"/>
                <w:iCs w:val="0"/>
                <w:color w:val="000000"/>
                <w:sz w:val="20"/>
                <w:szCs w:val="20"/>
                <w:u w:val="none"/>
              </w:rPr>
            </w:pPr>
          </w:p>
        </w:tc>
        <w:tc>
          <w:tcPr>
            <w:tcW w:w="969" w:type="dxa"/>
            <w:tcBorders>
              <w:top w:val="nil"/>
              <w:left w:val="nil"/>
              <w:bottom w:val="nil"/>
              <w:right w:val="nil"/>
            </w:tcBorders>
            <w:shd w:val="clear" w:color="auto" w:fill="FFFFFF"/>
            <w:noWrap w:val="0"/>
            <w:vAlign w:val="center"/>
          </w:tcPr>
          <w:p w14:paraId="68E5523D">
            <w:pPr>
              <w:jc w:val="center"/>
              <w:rPr>
                <w:rFonts w:hint="default" w:ascii="Times New Roman" w:hAnsi="Times New Roman" w:eastAsia="宋体" w:cs="Times New Roman"/>
                <w:i w:val="0"/>
                <w:iCs w:val="0"/>
                <w:color w:val="000000"/>
                <w:sz w:val="20"/>
                <w:szCs w:val="20"/>
                <w:u w:val="none"/>
              </w:rPr>
            </w:pPr>
          </w:p>
        </w:tc>
        <w:tc>
          <w:tcPr>
            <w:tcW w:w="2145" w:type="dxa"/>
            <w:tcBorders>
              <w:top w:val="nil"/>
              <w:left w:val="nil"/>
              <w:bottom w:val="nil"/>
              <w:right w:val="nil"/>
            </w:tcBorders>
            <w:shd w:val="clear" w:color="auto" w:fill="FFFFFF"/>
            <w:noWrap w:val="0"/>
            <w:vAlign w:val="center"/>
          </w:tcPr>
          <w:p w14:paraId="552B083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w:t>
            </w:r>
            <w:r>
              <w:rPr>
                <w:rStyle w:val="17"/>
                <w:rFonts w:hint="default" w:ascii="Times New Roman" w:hAnsi="Times New Roman" w:cs="Times New Roman"/>
                <w:sz w:val="20"/>
                <w:szCs w:val="20"/>
                <w:lang w:val="en-US" w:eastAsia="zh-CN" w:bidi="ar"/>
              </w:rPr>
              <w:t>5表</w:t>
            </w:r>
          </w:p>
        </w:tc>
      </w:tr>
      <w:tr w14:paraId="4F6BF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jc w:val="center"/>
        </w:trPr>
        <w:tc>
          <w:tcPr>
            <w:tcW w:w="5007" w:type="dxa"/>
            <w:gridSpan w:val="2"/>
            <w:tcBorders>
              <w:top w:val="nil"/>
              <w:left w:val="nil"/>
              <w:bottom w:val="nil"/>
              <w:right w:val="nil"/>
            </w:tcBorders>
            <w:shd w:val="clear" w:color="auto" w:fill="FFFFFF"/>
            <w:noWrap w:val="0"/>
            <w:vAlign w:val="center"/>
          </w:tcPr>
          <w:p w14:paraId="7728C131">
            <w:pPr>
              <w:jc w:val="lef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2018" w:type="dxa"/>
            <w:tcBorders>
              <w:top w:val="nil"/>
              <w:left w:val="nil"/>
              <w:bottom w:val="nil"/>
              <w:right w:val="nil"/>
            </w:tcBorders>
            <w:shd w:val="clear" w:color="auto" w:fill="FFFFFF"/>
            <w:noWrap w:val="0"/>
            <w:vAlign w:val="center"/>
          </w:tcPr>
          <w:p w14:paraId="3F513DE8">
            <w:pPr>
              <w:rPr>
                <w:rFonts w:hint="default" w:ascii="Times New Roman" w:hAnsi="Times New Roman" w:eastAsia="宋体" w:cs="Times New Roman"/>
                <w:i w:val="0"/>
                <w:iCs w:val="0"/>
                <w:color w:val="000000"/>
                <w:sz w:val="20"/>
                <w:szCs w:val="20"/>
                <w:u w:val="none"/>
              </w:rPr>
            </w:pPr>
          </w:p>
        </w:tc>
        <w:tc>
          <w:tcPr>
            <w:tcW w:w="1012" w:type="dxa"/>
            <w:tcBorders>
              <w:top w:val="nil"/>
              <w:left w:val="nil"/>
              <w:bottom w:val="nil"/>
              <w:right w:val="nil"/>
            </w:tcBorders>
            <w:shd w:val="clear" w:color="auto" w:fill="FFFFFF"/>
            <w:noWrap w:val="0"/>
            <w:vAlign w:val="center"/>
          </w:tcPr>
          <w:p w14:paraId="5DE36FB1">
            <w:pPr>
              <w:jc w:val="center"/>
              <w:rPr>
                <w:rFonts w:hint="default" w:ascii="Times New Roman" w:hAnsi="Times New Roman" w:eastAsia="宋体" w:cs="Times New Roman"/>
                <w:i w:val="0"/>
                <w:iCs w:val="0"/>
                <w:color w:val="000000"/>
                <w:sz w:val="20"/>
                <w:szCs w:val="20"/>
                <w:u w:val="none"/>
              </w:rPr>
            </w:pPr>
          </w:p>
        </w:tc>
        <w:tc>
          <w:tcPr>
            <w:tcW w:w="1710" w:type="dxa"/>
            <w:tcBorders>
              <w:top w:val="nil"/>
              <w:left w:val="nil"/>
              <w:bottom w:val="nil"/>
              <w:right w:val="nil"/>
            </w:tcBorders>
            <w:shd w:val="clear" w:color="auto" w:fill="FFFFFF"/>
            <w:noWrap w:val="0"/>
            <w:vAlign w:val="center"/>
          </w:tcPr>
          <w:p w14:paraId="7132FCF6">
            <w:pPr>
              <w:jc w:val="center"/>
              <w:rPr>
                <w:rFonts w:hint="default" w:ascii="Times New Roman" w:hAnsi="Times New Roman" w:eastAsia="宋体" w:cs="Times New Roman"/>
                <w:i w:val="0"/>
                <w:iCs w:val="0"/>
                <w:color w:val="000000"/>
                <w:sz w:val="20"/>
                <w:szCs w:val="20"/>
                <w:u w:val="none"/>
              </w:rPr>
            </w:pPr>
          </w:p>
        </w:tc>
        <w:tc>
          <w:tcPr>
            <w:tcW w:w="969" w:type="dxa"/>
            <w:tcBorders>
              <w:top w:val="nil"/>
              <w:left w:val="nil"/>
              <w:bottom w:val="nil"/>
              <w:right w:val="nil"/>
            </w:tcBorders>
            <w:shd w:val="clear" w:color="auto" w:fill="FFFFFF"/>
            <w:noWrap w:val="0"/>
            <w:vAlign w:val="center"/>
          </w:tcPr>
          <w:p w14:paraId="77ADA921">
            <w:pPr>
              <w:jc w:val="center"/>
              <w:rPr>
                <w:rFonts w:hint="default" w:ascii="Times New Roman" w:hAnsi="Times New Roman" w:eastAsia="宋体" w:cs="Times New Roman"/>
                <w:i w:val="0"/>
                <w:iCs w:val="0"/>
                <w:color w:val="000000"/>
                <w:sz w:val="20"/>
                <w:szCs w:val="20"/>
                <w:u w:val="none"/>
              </w:rPr>
            </w:pPr>
          </w:p>
        </w:tc>
        <w:tc>
          <w:tcPr>
            <w:tcW w:w="2145" w:type="dxa"/>
            <w:tcBorders>
              <w:top w:val="nil"/>
              <w:left w:val="nil"/>
              <w:bottom w:val="nil"/>
              <w:right w:val="nil"/>
            </w:tcBorders>
            <w:shd w:val="clear" w:color="auto" w:fill="FFFFFF"/>
            <w:noWrap w:val="0"/>
            <w:vAlign w:val="center"/>
          </w:tcPr>
          <w:p w14:paraId="400699A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2A0E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5007" w:type="dxa"/>
            <w:gridSpan w:val="2"/>
            <w:tcBorders>
              <w:top w:val="single" w:color="000000" w:sz="4" w:space="0"/>
              <w:left w:val="single" w:color="000000" w:sz="4" w:space="0"/>
              <w:bottom w:val="single" w:color="000000" w:sz="4" w:space="0"/>
              <w:right w:val="single" w:color="000000" w:sz="4" w:space="0"/>
            </w:tcBorders>
            <w:noWrap w:val="0"/>
            <w:vAlign w:val="center"/>
          </w:tcPr>
          <w:p w14:paraId="590ABD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7854" w:type="dxa"/>
            <w:gridSpan w:val="5"/>
            <w:tcBorders>
              <w:top w:val="single" w:color="000000" w:sz="4" w:space="0"/>
              <w:left w:val="single" w:color="000000" w:sz="4" w:space="0"/>
              <w:bottom w:val="single" w:color="000000" w:sz="4" w:space="0"/>
              <w:right w:val="single" w:color="000000" w:sz="4" w:space="0"/>
            </w:tcBorders>
            <w:noWrap w:val="0"/>
            <w:vAlign w:val="center"/>
          </w:tcPr>
          <w:p w14:paraId="2BB6A2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本年支出</w:t>
            </w:r>
          </w:p>
        </w:tc>
      </w:tr>
      <w:tr w14:paraId="5EB9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2BCE5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117A07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124C3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小计</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07E668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基本支出</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AC3C7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项目支出</w:t>
            </w:r>
          </w:p>
        </w:tc>
      </w:tr>
      <w:tr w14:paraId="0173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5007" w:type="dxa"/>
            <w:gridSpan w:val="2"/>
            <w:tcBorders>
              <w:top w:val="single" w:color="000000" w:sz="4" w:space="0"/>
              <w:left w:val="single" w:color="000000" w:sz="4" w:space="0"/>
              <w:bottom w:val="single" w:color="000000" w:sz="4" w:space="0"/>
              <w:right w:val="single" w:color="000000" w:sz="4" w:space="0"/>
            </w:tcBorders>
            <w:noWrap w:val="0"/>
            <w:vAlign w:val="center"/>
          </w:tcPr>
          <w:p w14:paraId="49DD63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栏次</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B723A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55198251">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eastAsia="zh-CN"/>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5DFFE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cs="Times New Roman"/>
                <w:i w:val="0"/>
                <w:iCs w:val="0"/>
                <w:color w:val="000000"/>
                <w:sz w:val="20"/>
                <w:szCs w:val="20"/>
                <w:u w:val="none"/>
                <w:lang w:val="en-US"/>
              </w:rPr>
              <w:t>3</w:t>
            </w:r>
          </w:p>
        </w:tc>
      </w:tr>
      <w:tr w14:paraId="548D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0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D74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C8E5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192.79 </w:t>
            </w:r>
          </w:p>
        </w:tc>
        <w:tc>
          <w:tcPr>
            <w:tcW w:w="3691"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3D6A6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161.43</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4B6022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31.36</w:t>
            </w:r>
          </w:p>
        </w:tc>
      </w:tr>
      <w:tr w14:paraId="40EE5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B0D4C7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32AC4A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一般公共服务支出</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86B7D6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154.50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47D7D40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123.14</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7B3E7B0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31.36 </w:t>
            </w:r>
          </w:p>
        </w:tc>
      </w:tr>
      <w:tr w14:paraId="2801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C4C17D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4C90597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统计信息事务</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A80B53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154.50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23059DE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123.14</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9B0439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31.36 </w:t>
            </w:r>
          </w:p>
        </w:tc>
      </w:tr>
      <w:tr w14:paraId="31F91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DAAF24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2010501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165C71D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行政运行</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61C749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123.14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504BFE2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123.14</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60C3A8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6D15C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385EC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2010502</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32EA91C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一般行政管理事务</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170300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31.36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6F3F464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F9EB5B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31.36 </w:t>
            </w:r>
          </w:p>
        </w:tc>
      </w:tr>
      <w:tr w14:paraId="25D2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EFA27E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002784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社会保障和就业支出</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15461E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3FC7CB4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751D0D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6E3D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FAEAD0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75734BC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行政事业单位养老支出</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36690A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5EC0A60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24.34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6EC178C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080F0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510C7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2080501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518B343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行政单位离退休</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E9A5FA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12.42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18FB70E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12.42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0A24312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53FF4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16F6D7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2080505</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411C10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机关事业单位基本养老保险缴费支出</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F14861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11.92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4C71006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11.92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5760C0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27014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5D2F08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06B393F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卫生健康支出</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950FBC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0E2051C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0FFED9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2D63C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97D766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21011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0E0C22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行政事业单位医疗</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4C0BA4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1AD89D5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1ACED3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3379D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06311D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2101101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44BBD25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行政单位医疗</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D604AB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1CBC36F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686001A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37475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DE6431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137F0E1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住房保障支出</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178CA5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7100252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1D86DC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1AAA5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57ACFE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22102</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2B5F15A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住房改革支出</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DD5982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097C555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D496AA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24134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D5EC02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2210201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14:paraId="782B509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住房公积金</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EE9DA6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3691" w:type="dxa"/>
            <w:gridSpan w:val="3"/>
            <w:tcBorders>
              <w:top w:val="single" w:color="000000" w:sz="4" w:space="0"/>
              <w:left w:val="single" w:color="000000" w:sz="4" w:space="0"/>
              <w:bottom w:val="single" w:color="000000" w:sz="4" w:space="0"/>
              <w:right w:val="single" w:color="000000" w:sz="4" w:space="0"/>
            </w:tcBorders>
            <w:noWrap w:val="0"/>
            <w:vAlign w:val="center"/>
          </w:tcPr>
          <w:p w14:paraId="03FBEE3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9082BF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401C5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2861" w:type="dxa"/>
            <w:gridSpan w:val="7"/>
            <w:tcBorders>
              <w:top w:val="nil"/>
              <w:left w:val="nil"/>
              <w:bottom w:val="nil"/>
              <w:right w:val="nil"/>
            </w:tcBorders>
            <w:noWrap w:val="0"/>
            <w:vAlign w:val="center"/>
          </w:tcPr>
          <w:p w14:paraId="6479144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注：本表反映单位本年度一般公共预算财政拨款支出情况。</w:t>
            </w:r>
          </w:p>
        </w:tc>
      </w:tr>
    </w:tbl>
    <w:p w14:paraId="33D49F0E">
      <w:pPr>
        <w:ind w:firstLine="640" w:firstLineChars="200"/>
        <w:rPr>
          <w:rFonts w:hint="default" w:ascii="Times New Roman" w:hAnsi="Times New Roman" w:eastAsia="黑体" w:cs="Times New Roman"/>
          <w:b w:val="0"/>
          <w:bCs w:val="0"/>
          <w:sz w:val="32"/>
        </w:rPr>
      </w:pPr>
    </w:p>
    <w:p w14:paraId="26DC694E">
      <w:pPr>
        <w:ind w:firstLine="640" w:firstLineChars="200"/>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六、一般公共预算财政拨款基本支出决算</w:t>
      </w:r>
      <w:r>
        <w:rPr>
          <w:rFonts w:hint="default" w:ascii="Times New Roman" w:hAnsi="Times New Roman" w:eastAsia="黑体" w:cs="Times New Roman"/>
          <w:b w:val="0"/>
          <w:bCs w:val="0"/>
          <w:sz w:val="32"/>
          <w:lang w:val="en-US" w:eastAsia="zh-CN"/>
        </w:rPr>
        <w:t>明细</w:t>
      </w:r>
      <w:r>
        <w:rPr>
          <w:rFonts w:hint="default" w:ascii="Times New Roman" w:hAnsi="Times New Roman" w:eastAsia="黑体" w:cs="Times New Roman"/>
          <w:b w:val="0"/>
          <w:bCs w:val="0"/>
          <w:sz w:val="32"/>
        </w:rPr>
        <w:t>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3258"/>
        <w:gridCol w:w="1050"/>
        <w:gridCol w:w="720"/>
        <w:gridCol w:w="2310"/>
        <w:gridCol w:w="945"/>
        <w:gridCol w:w="750"/>
        <w:gridCol w:w="2820"/>
        <w:gridCol w:w="1170"/>
      </w:tblGrid>
      <w:tr w14:paraId="221A6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812" w:type="dxa"/>
            <w:gridSpan w:val="9"/>
            <w:tcBorders>
              <w:top w:val="nil"/>
              <w:left w:val="nil"/>
              <w:bottom w:val="nil"/>
              <w:right w:val="nil"/>
            </w:tcBorders>
            <w:noWrap w:val="0"/>
            <w:vAlign w:val="center"/>
          </w:tcPr>
          <w:p w14:paraId="133F4937">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一般公共预算财政拨款基本支出决算</w:t>
            </w:r>
            <w:r>
              <w:rPr>
                <w:rStyle w:val="23"/>
                <w:rFonts w:hint="default" w:ascii="Times New Roman" w:hAnsi="Times New Roman" w:eastAsia="华文中宋" w:cs="Times New Roman"/>
                <w:sz w:val="24"/>
                <w:szCs w:val="24"/>
                <w:lang w:val="en-US" w:eastAsia="zh-CN" w:bidi="ar"/>
              </w:rPr>
              <w:t>明细表</w:t>
            </w:r>
          </w:p>
        </w:tc>
      </w:tr>
      <w:tr w14:paraId="4F723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nil"/>
              <w:left w:val="nil"/>
              <w:bottom w:val="nil"/>
              <w:right w:val="nil"/>
            </w:tcBorders>
            <w:shd w:val="clear" w:color="auto" w:fill="FFFFFF"/>
            <w:noWrap w:val="0"/>
            <w:vAlign w:val="center"/>
          </w:tcPr>
          <w:p w14:paraId="10BB75C1">
            <w:pPr>
              <w:jc w:val="center"/>
              <w:rPr>
                <w:rFonts w:hint="default" w:ascii="Times New Roman" w:hAnsi="Times New Roman" w:eastAsia="宋体" w:cs="Times New Roman"/>
                <w:i w:val="0"/>
                <w:iCs w:val="0"/>
                <w:color w:val="000000"/>
                <w:sz w:val="20"/>
                <w:szCs w:val="20"/>
                <w:u w:val="none"/>
              </w:rPr>
            </w:pPr>
          </w:p>
        </w:tc>
        <w:tc>
          <w:tcPr>
            <w:tcW w:w="3258" w:type="dxa"/>
            <w:tcBorders>
              <w:top w:val="nil"/>
              <w:left w:val="nil"/>
              <w:bottom w:val="nil"/>
              <w:right w:val="nil"/>
            </w:tcBorders>
            <w:shd w:val="clear" w:color="auto" w:fill="FFFFFF"/>
            <w:noWrap w:val="0"/>
            <w:vAlign w:val="center"/>
          </w:tcPr>
          <w:p w14:paraId="34D5BEA1">
            <w:pPr>
              <w:jc w:val="center"/>
              <w:rPr>
                <w:rFonts w:hint="default" w:ascii="Times New Roman" w:hAnsi="Times New Roman" w:eastAsia="宋体" w:cs="Times New Roman"/>
                <w:i w:val="0"/>
                <w:iCs w:val="0"/>
                <w:color w:val="000000"/>
                <w:sz w:val="20"/>
                <w:szCs w:val="20"/>
                <w:u w:val="none"/>
              </w:rPr>
            </w:pPr>
          </w:p>
        </w:tc>
        <w:tc>
          <w:tcPr>
            <w:tcW w:w="1050" w:type="dxa"/>
            <w:tcBorders>
              <w:top w:val="nil"/>
              <w:left w:val="nil"/>
              <w:bottom w:val="nil"/>
              <w:right w:val="nil"/>
            </w:tcBorders>
            <w:shd w:val="clear" w:color="auto" w:fill="FFFFFF"/>
            <w:noWrap w:val="0"/>
            <w:vAlign w:val="center"/>
          </w:tcPr>
          <w:p w14:paraId="3D9E9216">
            <w:pPr>
              <w:jc w:val="center"/>
              <w:rPr>
                <w:rFonts w:hint="default" w:ascii="Times New Roman" w:hAnsi="Times New Roman" w:eastAsia="宋体" w:cs="Times New Roman"/>
                <w:i w:val="0"/>
                <w:iCs w:val="0"/>
                <w:color w:val="000000"/>
                <w:sz w:val="20"/>
                <w:szCs w:val="20"/>
                <w:u w:val="none"/>
              </w:rPr>
            </w:pPr>
          </w:p>
        </w:tc>
        <w:tc>
          <w:tcPr>
            <w:tcW w:w="720" w:type="dxa"/>
            <w:tcBorders>
              <w:top w:val="nil"/>
              <w:left w:val="nil"/>
              <w:bottom w:val="nil"/>
              <w:right w:val="nil"/>
            </w:tcBorders>
            <w:shd w:val="clear" w:color="auto" w:fill="FFFFFF"/>
            <w:noWrap w:val="0"/>
            <w:vAlign w:val="center"/>
          </w:tcPr>
          <w:p w14:paraId="42C832DF">
            <w:pPr>
              <w:rPr>
                <w:rFonts w:hint="default" w:ascii="Times New Roman" w:hAnsi="Times New Roman" w:eastAsia="宋体" w:cs="Times New Roman"/>
                <w:i w:val="0"/>
                <w:iCs w:val="0"/>
                <w:color w:val="000000"/>
                <w:sz w:val="20"/>
                <w:szCs w:val="20"/>
                <w:u w:val="none"/>
              </w:rPr>
            </w:pPr>
          </w:p>
        </w:tc>
        <w:tc>
          <w:tcPr>
            <w:tcW w:w="2310" w:type="dxa"/>
            <w:tcBorders>
              <w:top w:val="nil"/>
              <w:left w:val="nil"/>
              <w:bottom w:val="nil"/>
              <w:right w:val="nil"/>
            </w:tcBorders>
            <w:shd w:val="clear" w:color="auto" w:fill="FFFFFF"/>
            <w:noWrap w:val="0"/>
            <w:vAlign w:val="center"/>
          </w:tcPr>
          <w:p w14:paraId="047DCF34">
            <w:pPr>
              <w:rPr>
                <w:rFonts w:hint="default" w:ascii="Times New Roman" w:hAnsi="Times New Roman" w:eastAsia="宋体" w:cs="Times New Roman"/>
                <w:i w:val="0"/>
                <w:iCs w:val="0"/>
                <w:color w:val="000000"/>
                <w:sz w:val="20"/>
                <w:szCs w:val="20"/>
                <w:u w:val="none"/>
              </w:rPr>
            </w:pPr>
          </w:p>
        </w:tc>
        <w:tc>
          <w:tcPr>
            <w:tcW w:w="945" w:type="dxa"/>
            <w:tcBorders>
              <w:top w:val="nil"/>
              <w:left w:val="nil"/>
              <w:bottom w:val="nil"/>
              <w:right w:val="nil"/>
            </w:tcBorders>
            <w:shd w:val="clear" w:color="auto" w:fill="FFFFFF"/>
            <w:noWrap w:val="0"/>
            <w:vAlign w:val="center"/>
          </w:tcPr>
          <w:p w14:paraId="0D1AAAFF">
            <w:pPr>
              <w:rPr>
                <w:rFonts w:hint="default" w:ascii="Times New Roman" w:hAnsi="Times New Roman" w:eastAsia="宋体" w:cs="Times New Roman"/>
                <w:i w:val="0"/>
                <w:iCs w:val="0"/>
                <w:color w:val="000000"/>
                <w:sz w:val="20"/>
                <w:szCs w:val="20"/>
                <w:u w:val="none"/>
              </w:rPr>
            </w:pPr>
          </w:p>
        </w:tc>
        <w:tc>
          <w:tcPr>
            <w:tcW w:w="750" w:type="dxa"/>
            <w:tcBorders>
              <w:top w:val="nil"/>
              <w:left w:val="nil"/>
              <w:bottom w:val="nil"/>
              <w:right w:val="nil"/>
            </w:tcBorders>
            <w:shd w:val="clear" w:color="auto" w:fill="FFFFFF"/>
            <w:noWrap w:val="0"/>
            <w:vAlign w:val="center"/>
          </w:tcPr>
          <w:p w14:paraId="5BDAB243">
            <w:pPr>
              <w:rPr>
                <w:rFonts w:hint="default" w:ascii="Times New Roman" w:hAnsi="Times New Roman" w:eastAsia="宋体" w:cs="Times New Roman"/>
                <w:i w:val="0"/>
                <w:iCs w:val="0"/>
                <w:color w:val="000000"/>
                <w:sz w:val="20"/>
                <w:szCs w:val="20"/>
                <w:u w:val="none"/>
              </w:rPr>
            </w:pPr>
          </w:p>
        </w:tc>
        <w:tc>
          <w:tcPr>
            <w:tcW w:w="3990" w:type="dxa"/>
            <w:gridSpan w:val="2"/>
            <w:tcBorders>
              <w:top w:val="nil"/>
              <w:left w:val="nil"/>
              <w:bottom w:val="nil"/>
              <w:right w:val="nil"/>
            </w:tcBorders>
            <w:shd w:val="clear" w:color="auto" w:fill="FFFFFF"/>
            <w:noWrap w:val="0"/>
            <w:vAlign w:val="center"/>
          </w:tcPr>
          <w:p w14:paraId="01C8D52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公开06表</w:t>
            </w:r>
          </w:p>
        </w:tc>
      </w:tr>
      <w:tr w14:paraId="69036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047" w:type="dxa"/>
            <w:gridSpan w:val="2"/>
            <w:tcBorders>
              <w:top w:val="nil"/>
              <w:left w:val="nil"/>
              <w:bottom w:val="nil"/>
              <w:right w:val="nil"/>
            </w:tcBorders>
            <w:noWrap w:val="0"/>
            <w:vAlign w:val="center"/>
          </w:tcPr>
          <w:p w14:paraId="18102E95">
            <w:pP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1050" w:type="dxa"/>
            <w:tcBorders>
              <w:top w:val="nil"/>
              <w:left w:val="nil"/>
              <w:bottom w:val="nil"/>
              <w:right w:val="nil"/>
            </w:tcBorders>
            <w:noWrap w:val="0"/>
            <w:vAlign w:val="center"/>
          </w:tcPr>
          <w:p w14:paraId="65383963">
            <w:pPr>
              <w:rPr>
                <w:rFonts w:hint="default" w:ascii="Times New Roman" w:hAnsi="Times New Roman" w:eastAsia="宋体" w:cs="Times New Roman"/>
                <w:i w:val="0"/>
                <w:iCs w:val="0"/>
                <w:color w:val="000000"/>
                <w:sz w:val="20"/>
                <w:szCs w:val="20"/>
                <w:u w:val="none"/>
              </w:rPr>
            </w:pPr>
          </w:p>
        </w:tc>
        <w:tc>
          <w:tcPr>
            <w:tcW w:w="720" w:type="dxa"/>
            <w:tcBorders>
              <w:top w:val="nil"/>
              <w:left w:val="nil"/>
              <w:bottom w:val="nil"/>
              <w:right w:val="nil"/>
            </w:tcBorders>
            <w:noWrap w:val="0"/>
            <w:vAlign w:val="center"/>
          </w:tcPr>
          <w:p w14:paraId="6AD50BC1">
            <w:pPr>
              <w:rPr>
                <w:rFonts w:hint="default" w:ascii="Times New Roman" w:hAnsi="Times New Roman" w:eastAsia="宋体" w:cs="Times New Roman"/>
                <w:i w:val="0"/>
                <w:iCs w:val="0"/>
                <w:color w:val="000000"/>
                <w:sz w:val="20"/>
                <w:szCs w:val="20"/>
                <w:u w:val="none"/>
              </w:rPr>
            </w:pPr>
          </w:p>
        </w:tc>
        <w:tc>
          <w:tcPr>
            <w:tcW w:w="2310" w:type="dxa"/>
            <w:tcBorders>
              <w:top w:val="nil"/>
              <w:left w:val="nil"/>
              <w:bottom w:val="nil"/>
              <w:right w:val="nil"/>
            </w:tcBorders>
            <w:noWrap w:val="0"/>
            <w:vAlign w:val="center"/>
          </w:tcPr>
          <w:p w14:paraId="27C7F1F6">
            <w:pPr>
              <w:rPr>
                <w:rFonts w:hint="default" w:ascii="Times New Roman" w:hAnsi="Times New Roman" w:eastAsia="宋体" w:cs="Times New Roman"/>
                <w:i w:val="0"/>
                <w:iCs w:val="0"/>
                <w:color w:val="000000"/>
                <w:sz w:val="20"/>
                <w:szCs w:val="20"/>
                <w:u w:val="none"/>
              </w:rPr>
            </w:pPr>
          </w:p>
        </w:tc>
        <w:tc>
          <w:tcPr>
            <w:tcW w:w="945" w:type="dxa"/>
            <w:tcBorders>
              <w:top w:val="nil"/>
              <w:left w:val="nil"/>
              <w:bottom w:val="nil"/>
              <w:right w:val="nil"/>
            </w:tcBorders>
            <w:noWrap w:val="0"/>
            <w:vAlign w:val="center"/>
          </w:tcPr>
          <w:p w14:paraId="1E6819ED">
            <w:pPr>
              <w:rPr>
                <w:rFonts w:hint="default" w:ascii="Times New Roman" w:hAnsi="Times New Roman" w:eastAsia="宋体" w:cs="Times New Roman"/>
                <w:i w:val="0"/>
                <w:iCs w:val="0"/>
                <w:color w:val="000000"/>
                <w:sz w:val="20"/>
                <w:szCs w:val="20"/>
                <w:u w:val="none"/>
              </w:rPr>
            </w:pPr>
          </w:p>
        </w:tc>
        <w:tc>
          <w:tcPr>
            <w:tcW w:w="750" w:type="dxa"/>
            <w:tcBorders>
              <w:top w:val="nil"/>
              <w:left w:val="nil"/>
              <w:bottom w:val="nil"/>
              <w:right w:val="nil"/>
            </w:tcBorders>
            <w:noWrap w:val="0"/>
            <w:vAlign w:val="center"/>
          </w:tcPr>
          <w:p w14:paraId="1246C8E3">
            <w:pPr>
              <w:rPr>
                <w:rFonts w:hint="default" w:ascii="Times New Roman" w:hAnsi="Times New Roman" w:eastAsia="宋体" w:cs="Times New Roman"/>
                <w:i w:val="0"/>
                <w:iCs w:val="0"/>
                <w:color w:val="000000"/>
                <w:sz w:val="20"/>
                <w:szCs w:val="20"/>
                <w:u w:val="none"/>
              </w:rPr>
            </w:pPr>
          </w:p>
        </w:tc>
        <w:tc>
          <w:tcPr>
            <w:tcW w:w="3990" w:type="dxa"/>
            <w:gridSpan w:val="2"/>
            <w:tcBorders>
              <w:top w:val="nil"/>
              <w:left w:val="nil"/>
              <w:bottom w:val="nil"/>
              <w:right w:val="nil"/>
            </w:tcBorders>
            <w:noWrap w:val="0"/>
            <w:vAlign w:val="center"/>
          </w:tcPr>
          <w:p w14:paraId="5F8D1E8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3312F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3200F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0C2B5A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ADFA9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0731F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66210F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257B0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45CD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600992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6C7FD9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r>
      <w:tr w14:paraId="18166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25D13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666593D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工资福利支出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00A663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116.89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E150E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130069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商品和服务支出</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2057E6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31.16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54C36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307</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55236B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债务利息及费用支出</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F0A3510">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1DFE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1BC5D3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30101</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0712EB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基本工资</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198C62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34.91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1156E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30201</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414570C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办公费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0DBF0B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1.03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06DA9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30701</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D1D885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国内债务付息</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0FCA6136">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7B7D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0B89F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30102</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3C31D56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津贴补贴</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60671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26.04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3B42D7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30202</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087A194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印刷费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A27907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0.20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13BA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30702</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600F6C7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国外债务付息</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7CB00B9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253A2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B0CB88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30103</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0BEA5C0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奖金</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425246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25.25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2E82302">
            <w:pPr>
              <w:keepNext w:val="0"/>
              <w:keepLines w:val="0"/>
              <w:widowControl/>
              <w:suppressLineNumbers w:val="0"/>
              <w:jc w:val="left"/>
              <w:textAlignment w:val="center"/>
              <w:rPr>
                <w:rFonts w:hint="default" w:ascii="Times New Roman" w:hAnsi="Times New Roman" w:eastAsia="宋体" w:cs="Times New Roman"/>
                <w:i w:val="0"/>
                <w:iCs w:val="0"/>
                <w:color w:val="FF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30204</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5ADC7228">
            <w:pPr>
              <w:keepNext w:val="0"/>
              <w:keepLines w:val="0"/>
              <w:widowControl/>
              <w:suppressLineNumbers w:val="0"/>
              <w:jc w:val="left"/>
              <w:textAlignment w:val="center"/>
              <w:rPr>
                <w:rFonts w:hint="default" w:ascii="Times New Roman" w:hAnsi="Times New Roman" w:eastAsia="宋体" w:cs="Times New Roman"/>
                <w:i w:val="0"/>
                <w:iCs w:val="0"/>
                <w:color w:val="FF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手续费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3C5AC29">
            <w:pPr>
              <w:keepNext w:val="0"/>
              <w:keepLines w:val="0"/>
              <w:widowControl/>
              <w:suppressLineNumbers w:val="0"/>
              <w:jc w:val="right"/>
              <w:textAlignment w:val="center"/>
              <w:rPr>
                <w:rFonts w:hint="default"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FF0000"/>
                <w:kern w:val="0"/>
                <w:sz w:val="20"/>
                <w:szCs w:val="20"/>
                <w:u w:val="none"/>
                <w:lang w:val="en-US" w:eastAsia="zh-CN" w:bidi="ar"/>
              </w:rPr>
              <w:t xml:space="preserve">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38A2C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2226463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资本性支出</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66DBFD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0.59 </w:t>
            </w:r>
          </w:p>
        </w:tc>
      </w:tr>
      <w:tr w14:paraId="03A24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B68DD2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30106</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0BA82AC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伙食补助费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C0FF82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93F517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30205</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6298DFB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水费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695D1B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0.60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A25A4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31001</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61176AB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房屋建筑物购建</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CC9203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0C4EF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23094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30107</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4549F68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绩效工资</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0442F1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848EE7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30206</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44BD4C5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电费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6EB5E9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E2FD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31002</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0C4620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办公设备购置</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06524D7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0.59 </w:t>
            </w:r>
          </w:p>
        </w:tc>
      </w:tr>
      <w:tr w14:paraId="1C5D9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3259D9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30108</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61AF2B9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机关事业单位基本养老保险缴费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F3CF5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11.92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5FBA88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30207</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35D59F0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邮电费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491B9A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0.70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B4C0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31003</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BEB2C7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专用设备购置</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56A13D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09B0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A57662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30109</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564E18D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职业年金缴费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25B048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6DA70A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30208</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160F700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取暖费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D25AA3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AB82D5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31005</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D6F886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基础设施建设</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806F2B9">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612CB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8C634E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30110</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75445FD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职工基本医疗保险缴费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4219A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3.89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57398B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30209</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4B1692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物业管理费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90845B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4.72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F50D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31006</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59DA543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大型修缮</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1BEEE9D">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5CF15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1161BE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30111</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130690A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公务员医疗补助缴费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ED88F9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3105DD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30211</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3B333B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差旅费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4DBAC1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2.22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D1A9B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31007</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8A846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信息网络及软件购置更新</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7DF0CFA">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6C643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78FF5A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30112</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53622F4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其他社会保障缴费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9DC67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0.1</w:t>
            </w:r>
            <w:r>
              <w:rPr>
                <w:rFonts w:hint="eastAsia"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068FEE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30212</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BB0C74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因公出国（境）费用</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FBC1E2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EAC43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31008</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D6D1C9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物资储备</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4516DEF9">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54FE3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CDD202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30113</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34970DB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住房公积金</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8BEEC1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9.97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4787C4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30213</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7C1FB8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维修（护）费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E2FA75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1.48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6B9B7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31009</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962277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土地补偿</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6035BD46">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5961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06A589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30114</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66C8B0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医疗费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EFC23F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1.44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C9E15B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30214</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50AEB70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租赁费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E2410A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2B53E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31010</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65A867F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安置补助</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B82773D">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59EAC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0CB50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30199</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1709CC9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其他工资福利支出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CCEE69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3.39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C1E385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30215</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463F34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会议费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9293F8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751A5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31011</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2C5B6E0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地上附着物和青苗补偿</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3ED58C8">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4E147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2298C8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3E00883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对个人和家庭的补助</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7E6D48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12.78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04DC6F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30216</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15F591D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培训费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BF7640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0.43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67B7C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31012</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12A3636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拆迁补偿</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2D27EDA9">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14698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1C2028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30301</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61B7B08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离休费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8BCA42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FE3C7F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30217</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34E5D5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公务接待费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867771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0.07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D8E76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31013</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0E9BEC3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公务用车购置</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410669A7">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3A40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E807B2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30302</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5B89F7D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退休费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5FBE9A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12.42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C97BF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30218</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29C3FFC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专用材料费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7379E3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7B52E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31019</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A15E49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其他交通工具购置</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0080C389">
            <w:pPr>
              <w:jc w:val="right"/>
              <w:rPr>
                <w:rFonts w:hint="default" w:ascii="Times New Roman" w:hAnsi="Times New Roman" w:eastAsia="宋体" w:cs="Times New Roman"/>
                <w:i w:val="0"/>
                <w:iCs w:val="0"/>
                <w:color w:val="000000"/>
                <w:sz w:val="20"/>
                <w:szCs w:val="20"/>
                <w:u w:val="none"/>
              </w:rPr>
            </w:pPr>
          </w:p>
        </w:tc>
      </w:tr>
      <w:tr w14:paraId="5F7B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415776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30303</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5D46535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退职（役）费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C1F39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B2AD22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30224</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2D87A3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被装购置费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DB0187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8435B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31021</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9875FC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文物和陈列品购置</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04175BE7">
            <w:pPr>
              <w:jc w:val="right"/>
              <w:rPr>
                <w:rFonts w:hint="default" w:ascii="Times New Roman" w:hAnsi="Times New Roman" w:eastAsia="宋体" w:cs="Times New Roman"/>
                <w:i w:val="0"/>
                <w:iCs w:val="0"/>
                <w:color w:val="000000"/>
                <w:sz w:val="20"/>
                <w:szCs w:val="20"/>
                <w:u w:val="none"/>
              </w:rPr>
            </w:pPr>
          </w:p>
        </w:tc>
      </w:tr>
      <w:tr w14:paraId="413E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B23C0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30304</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6E0D149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抚恤金</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EA5A16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BE9F71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30225</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9C97E9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专用燃料费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F85D6E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C7EE6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31022</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BCBBAE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无形资产购置</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32F34C4F">
            <w:pPr>
              <w:jc w:val="right"/>
              <w:rPr>
                <w:rFonts w:hint="default" w:ascii="Times New Roman" w:hAnsi="Times New Roman" w:eastAsia="宋体" w:cs="Times New Roman"/>
                <w:i w:val="0"/>
                <w:iCs w:val="0"/>
                <w:color w:val="000000"/>
                <w:sz w:val="20"/>
                <w:szCs w:val="20"/>
                <w:u w:val="none"/>
              </w:rPr>
            </w:pPr>
          </w:p>
        </w:tc>
      </w:tr>
      <w:tr w14:paraId="7C0F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C726B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30305</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008FCE1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生活补助</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E1B9AA6">
            <w:pPr>
              <w:jc w:val="right"/>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6D614A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30226</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19258BA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劳务费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489A80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404B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31099</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EEB11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其他资本性支出</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4DC1F58">
            <w:pPr>
              <w:jc w:val="right"/>
              <w:rPr>
                <w:rFonts w:hint="default" w:ascii="Times New Roman" w:hAnsi="Times New Roman" w:eastAsia="宋体" w:cs="Times New Roman"/>
                <w:i w:val="0"/>
                <w:iCs w:val="0"/>
                <w:color w:val="000000"/>
                <w:sz w:val="20"/>
                <w:szCs w:val="20"/>
                <w:u w:val="none"/>
              </w:rPr>
            </w:pPr>
          </w:p>
        </w:tc>
      </w:tr>
      <w:tr w14:paraId="46A55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36E345D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30306</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2863AC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救济费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F0F8C05">
            <w:pPr>
              <w:jc w:val="right"/>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AF73D6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30227</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48FF4A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委托业务费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8F4751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47FA4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399</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6FECE2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其他支出</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76F41052">
            <w:pPr>
              <w:jc w:val="right"/>
              <w:rPr>
                <w:rFonts w:hint="default" w:ascii="Times New Roman" w:hAnsi="Times New Roman" w:eastAsia="宋体" w:cs="Times New Roman"/>
                <w:i w:val="0"/>
                <w:iCs w:val="0"/>
                <w:color w:val="000000"/>
                <w:sz w:val="20"/>
                <w:szCs w:val="20"/>
                <w:u w:val="none"/>
              </w:rPr>
            </w:pPr>
          </w:p>
        </w:tc>
      </w:tr>
    </w:tbl>
    <w:p w14:paraId="4AFBF459">
      <w:pPr>
        <w:jc w:val="center"/>
        <w:rPr>
          <w:rFonts w:hint="default" w:ascii="Times New Roman" w:hAnsi="Times New Roman" w:eastAsia="仿宋" w:cs="Times New Roman"/>
          <w:sz w:val="44"/>
        </w:rPr>
      </w:pP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3258"/>
        <w:gridCol w:w="1050"/>
        <w:gridCol w:w="720"/>
        <w:gridCol w:w="2310"/>
        <w:gridCol w:w="945"/>
        <w:gridCol w:w="750"/>
        <w:gridCol w:w="2820"/>
        <w:gridCol w:w="1170"/>
      </w:tblGrid>
      <w:tr w14:paraId="7E871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2" w:type="dxa"/>
            <w:gridSpan w:val="9"/>
            <w:tcBorders>
              <w:top w:val="nil"/>
              <w:left w:val="nil"/>
              <w:bottom w:val="nil"/>
              <w:right w:val="nil"/>
            </w:tcBorders>
            <w:noWrap w:val="0"/>
            <w:vAlign w:val="center"/>
          </w:tcPr>
          <w:p w14:paraId="0CAC1064">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一般公共预算财政拨款基本支出决算</w:t>
            </w:r>
            <w:r>
              <w:rPr>
                <w:rStyle w:val="23"/>
                <w:rFonts w:hint="default" w:ascii="Times New Roman" w:hAnsi="Times New Roman" w:cs="Times New Roman"/>
                <w:sz w:val="24"/>
                <w:szCs w:val="24"/>
                <w:lang w:val="en-US" w:eastAsia="zh-CN" w:bidi="ar"/>
              </w:rPr>
              <w:t>明细表</w:t>
            </w:r>
          </w:p>
        </w:tc>
      </w:tr>
      <w:tr w14:paraId="6FFB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nil"/>
              <w:left w:val="nil"/>
              <w:bottom w:val="nil"/>
              <w:right w:val="nil"/>
            </w:tcBorders>
            <w:shd w:val="clear" w:color="auto" w:fill="FFFFFF"/>
            <w:noWrap w:val="0"/>
            <w:vAlign w:val="center"/>
          </w:tcPr>
          <w:p w14:paraId="1C82089F">
            <w:pPr>
              <w:jc w:val="center"/>
              <w:rPr>
                <w:rFonts w:hint="default" w:ascii="Times New Roman" w:hAnsi="Times New Roman" w:eastAsia="宋体" w:cs="Times New Roman"/>
                <w:i w:val="0"/>
                <w:iCs w:val="0"/>
                <w:color w:val="000000"/>
                <w:sz w:val="20"/>
                <w:szCs w:val="20"/>
                <w:u w:val="none"/>
              </w:rPr>
            </w:pPr>
          </w:p>
        </w:tc>
        <w:tc>
          <w:tcPr>
            <w:tcW w:w="3258" w:type="dxa"/>
            <w:tcBorders>
              <w:top w:val="nil"/>
              <w:left w:val="nil"/>
              <w:bottom w:val="nil"/>
              <w:right w:val="nil"/>
            </w:tcBorders>
            <w:shd w:val="clear" w:color="auto" w:fill="FFFFFF"/>
            <w:noWrap w:val="0"/>
            <w:vAlign w:val="center"/>
          </w:tcPr>
          <w:p w14:paraId="3FC8697F">
            <w:pPr>
              <w:jc w:val="center"/>
              <w:rPr>
                <w:rFonts w:hint="default" w:ascii="Times New Roman" w:hAnsi="Times New Roman" w:eastAsia="宋体" w:cs="Times New Roman"/>
                <w:i w:val="0"/>
                <w:iCs w:val="0"/>
                <w:color w:val="000000"/>
                <w:sz w:val="20"/>
                <w:szCs w:val="20"/>
                <w:u w:val="none"/>
              </w:rPr>
            </w:pPr>
          </w:p>
        </w:tc>
        <w:tc>
          <w:tcPr>
            <w:tcW w:w="1050" w:type="dxa"/>
            <w:tcBorders>
              <w:top w:val="nil"/>
              <w:left w:val="nil"/>
              <w:bottom w:val="nil"/>
              <w:right w:val="nil"/>
            </w:tcBorders>
            <w:shd w:val="clear" w:color="auto" w:fill="FFFFFF"/>
            <w:noWrap w:val="0"/>
            <w:vAlign w:val="center"/>
          </w:tcPr>
          <w:p w14:paraId="47859577">
            <w:pPr>
              <w:jc w:val="center"/>
              <w:rPr>
                <w:rFonts w:hint="default" w:ascii="Times New Roman" w:hAnsi="Times New Roman" w:eastAsia="宋体" w:cs="Times New Roman"/>
                <w:i w:val="0"/>
                <w:iCs w:val="0"/>
                <w:color w:val="000000"/>
                <w:sz w:val="20"/>
                <w:szCs w:val="20"/>
                <w:u w:val="none"/>
              </w:rPr>
            </w:pPr>
          </w:p>
        </w:tc>
        <w:tc>
          <w:tcPr>
            <w:tcW w:w="720" w:type="dxa"/>
            <w:tcBorders>
              <w:top w:val="nil"/>
              <w:left w:val="nil"/>
              <w:bottom w:val="nil"/>
              <w:right w:val="nil"/>
            </w:tcBorders>
            <w:shd w:val="clear" w:color="auto" w:fill="FFFFFF"/>
            <w:noWrap w:val="0"/>
            <w:vAlign w:val="center"/>
          </w:tcPr>
          <w:p w14:paraId="1D29AA27">
            <w:pPr>
              <w:rPr>
                <w:rFonts w:hint="default" w:ascii="Times New Roman" w:hAnsi="Times New Roman" w:eastAsia="宋体" w:cs="Times New Roman"/>
                <w:i w:val="0"/>
                <w:iCs w:val="0"/>
                <w:color w:val="000000"/>
                <w:sz w:val="20"/>
                <w:szCs w:val="20"/>
                <w:u w:val="none"/>
              </w:rPr>
            </w:pPr>
          </w:p>
        </w:tc>
        <w:tc>
          <w:tcPr>
            <w:tcW w:w="2310" w:type="dxa"/>
            <w:tcBorders>
              <w:top w:val="nil"/>
              <w:left w:val="nil"/>
              <w:bottom w:val="nil"/>
              <w:right w:val="nil"/>
            </w:tcBorders>
            <w:shd w:val="clear" w:color="auto" w:fill="FFFFFF"/>
            <w:noWrap w:val="0"/>
            <w:vAlign w:val="center"/>
          </w:tcPr>
          <w:p w14:paraId="4B4DD2D4">
            <w:pPr>
              <w:rPr>
                <w:rFonts w:hint="default" w:ascii="Times New Roman" w:hAnsi="Times New Roman" w:eastAsia="宋体" w:cs="Times New Roman"/>
                <w:i w:val="0"/>
                <w:iCs w:val="0"/>
                <w:color w:val="000000"/>
                <w:sz w:val="20"/>
                <w:szCs w:val="20"/>
                <w:u w:val="none"/>
              </w:rPr>
            </w:pPr>
          </w:p>
        </w:tc>
        <w:tc>
          <w:tcPr>
            <w:tcW w:w="945" w:type="dxa"/>
            <w:tcBorders>
              <w:top w:val="nil"/>
              <w:left w:val="nil"/>
              <w:bottom w:val="nil"/>
              <w:right w:val="nil"/>
            </w:tcBorders>
            <w:shd w:val="clear" w:color="auto" w:fill="FFFFFF"/>
            <w:noWrap w:val="0"/>
            <w:vAlign w:val="center"/>
          </w:tcPr>
          <w:p w14:paraId="6A5958AE">
            <w:pPr>
              <w:rPr>
                <w:rFonts w:hint="default" w:ascii="Times New Roman" w:hAnsi="Times New Roman" w:eastAsia="宋体" w:cs="Times New Roman"/>
                <w:i w:val="0"/>
                <w:iCs w:val="0"/>
                <w:color w:val="000000"/>
                <w:sz w:val="20"/>
                <w:szCs w:val="20"/>
                <w:u w:val="none"/>
              </w:rPr>
            </w:pPr>
          </w:p>
        </w:tc>
        <w:tc>
          <w:tcPr>
            <w:tcW w:w="750" w:type="dxa"/>
            <w:tcBorders>
              <w:top w:val="nil"/>
              <w:left w:val="nil"/>
              <w:bottom w:val="nil"/>
              <w:right w:val="nil"/>
            </w:tcBorders>
            <w:shd w:val="clear" w:color="auto" w:fill="FFFFFF"/>
            <w:noWrap w:val="0"/>
            <w:vAlign w:val="center"/>
          </w:tcPr>
          <w:p w14:paraId="2341C7FC">
            <w:pPr>
              <w:rPr>
                <w:rFonts w:hint="default" w:ascii="Times New Roman" w:hAnsi="Times New Roman" w:eastAsia="宋体" w:cs="Times New Roman"/>
                <w:i w:val="0"/>
                <w:iCs w:val="0"/>
                <w:color w:val="000000"/>
                <w:sz w:val="20"/>
                <w:szCs w:val="20"/>
                <w:u w:val="none"/>
              </w:rPr>
            </w:pPr>
          </w:p>
        </w:tc>
        <w:tc>
          <w:tcPr>
            <w:tcW w:w="3990" w:type="dxa"/>
            <w:gridSpan w:val="2"/>
            <w:tcBorders>
              <w:top w:val="nil"/>
              <w:left w:val="nil"/>
              <w:bottom w:val="nil"/>
              <w:right w:val="nil"/>
            </w:tcBorders>
            <w:shd w:val="clear" w:color="auto" w:fill="FFFFFF"/>
            <w:noWrap w:val="0"/>
            <w:vAlign w:val="center"/>
          </w:tcPr>
          <w:p w14:paraId="5E54DF0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公开06表（续）</w:t>
            </w:r>
          </w:p>
        </w:tc>
      </w:tr>
      <w:tr w14:paraId="07C62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47" w:type="dxa"/>
            <w:gridSpan w:val="2"/>
            <w:tcBorders>
              <w:top w:val="nil"/>
              <w:left w:val="nil"/>
              <w:bottom w:val="nil"/>
              <w:right w:val="nil"/>
            </w:tcBorders>
            <w:noWrap w:val="0"/>
            <w:vAlign w:val="center"/>
          </w:tcPr>
          <w:p w14:paraId="219C9B7E">
            <w:pP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1050" w:type="dxa"/>
            <w:tcBorders>
              <w:top w:val="nil"/>
              <w:left w:val="nil"/>
              <w:bottom w:val="nil"/>
              <w:right w:val="nil"/>
            </w:tcBorders>
            <w:noWrap w:val="0"/>
            <w:vAlign w:val="center"/>
          </w:tcPr>
          <w:p w14:paraId="0C36E385">
            <w:pPr>
              <w:rPr>
                <w:rFonts w:hint="default" w:ascii="Times New Roman" w:hAnsi="Times New Roman" w:eastAsia="宋体" w:cs="Times New Roman"/>
                <w:i w:val="0"/>
                <w:iCs w:val="0"/>
                <w:color w:val="000000"/>
                <w:sz w:val="20"/>
                <w:szCs w:val="20"/>
                <w:u w:val="none"/>
              </w:rPr>
            </w:pPr>
          </w:p>
        </w:tc>
        <w:tc>
          <w:tcPr>
            <w:tcW w:w="720" w:type="dxa"/>
            <w:tcBorders>
              <w:top w:val="nil"/>
              <w:left w:val="nil"/>
              <w:bottom w:val="nil"/>
              <w:right w:val="nil"/>
            </w:tcBorders>
            <w:noWrap w:val="0"/>
            <w:vAlign w:val="center"/>
          </w:tcPr>
          <w:p w14:paraId="213C83B8">
            <w:pPr>
              <w:rPr>
                <w:rFonts w:hint="default" w:ascii="Times New Roman" w:hAnsi="Times New Roman" w:eastAsia="宋体" w:cs="Times New Roman"/>
                <w:i w:val="0"/>
                <w:iCs w:val="0"/>
                <w:color w:val="000000"/>
                <w:sz w:val="20"/>
                <w:szCs w:val="20"/>
                <w:u w:val="none"/>
              </w:rPr>
            </w:pPr>
          </w:p>
        </w:tc>
        <w:tc>
          <w:tcPr>
            <w:tcW w:w="2310" w:type="dxa"/>
            <w:tcBorders>
              <w:top w:val="nil"/>
              <w:left w:val="nil"/>
              <w:bottom w:val="nil"/>
              <w:right w:val="nil"/>
            </w:tcBorders>
            <w:noWrap w:val="0"/>
            <w:vAlign w:val="center"/>
          </w:tcPr>
          <w:p w14:paraId="64DBD271">
            <w:pPr>
              <w:rPr>
                <w:rFonts w:hint="default" w:ascii="Times New Roman" w:hAnsi="Times New Roman" w:eastAsia="宋体" w:cs="Times New Roman"/>
                <w:i w:val="0"/>
                <w:iCs w:val="0"/>
                <w:color w:val="000000"/>
                <w:sz w:val="20"/>
                <w:szCs w:val="20"/>
                <w:u w:val="none"/>
              </w:rPr>
            </w:pPr>
          </w:p>
        </w:tc>
        <w:tc>
          <w:tcPr>
            <w:tcW w:w="945" w:type="dxa"/>
            <w:tcBorders>
              <w:top w:val="nil"/>
              <w:left w:val="nil"/>
              <w:bottom w:val="nil"/>
              <w:right w:val="nil"/>
            </w:tcBorders>
            <w:noWrap w:val="0"/>
            <w:vAlign w:val="center"/>
          </w:tcPr>
          <w:p w14:paraId="21288C02">
            <w:pPr>
              <w:rPr>
                <w:rFonts w:hint="default" w:ascii="Times New Roman" w:hAnsi="Times New Roman" w:eastAsia="宋体" w:cs="Times New Roman"/>
                <w:i w:val="0"/>
                <w:iCs w:val="0"/>
                <w:color w:val="000000"/>
                <w:sz w:val="20"/>
                <w:szCs w:val="20"/>
                <w:u w:val="none"/>
              </w:rPr>
            </w:pPr>
          </w:p>
        </w:tc>
        <w:tc>
          <w:tcPr>
            <w:tcW w:w="750" w:type="dxa"/>
            <w:tcBorders>
              <w:top w:val="nil"/>
              <w:left w:val="nil"/>
              <w:bottom w:val="nil"/>
              <w:right w:val="nil"/>
            </w:tcBorders>
            <w:noWrap w:val="0"/>
            <w:vAlign w:val="center"/>
          </w:tcPr>
          <w:p w14:paraId="1813A01D">
            <w:pPr>
              <w:rPr>
                <w:rFonts w:hint="default" w:ascii="Times New Roman" w:hAnsi="Times New Roman" w:eastAsia="宋体" w:cs="Times New Roman"/>
                <w:i w:val="0"/>
                <w:iCs w:val="0"/>
                <w:color w:val="000000"/>
                <w:sz w:val="20"/>
                <w:szCs w:val="20"/>
                <w:u w:val="none"/>
              </w:rPr>
            </w:pPr>
          </w:p>
        </w:tc>
        <w:tc>
          <w:tcPr>
            <w:tcW w:w="3990" w:type="dxa"/>
            <w:gridSpan w:val="2"/>
            <w:tcBorders>
              <w:top w:val="nil"/>
              <w:left w:val="nil"/>
              <w:bottom w:val="nil"/>
              <w:right w:val="nil"/>
            </w:tcBorders>
            <w:noWrap w:val="0"/>
            <w:vAlign w:val="center"/>
          </w:tcPr>
          <w:p w14:paraId="4BCE2BD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1996B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A2453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072012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A526F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572DA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1E3438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C8FC3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99EA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038C15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41B440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决算数</w:t>
            </w:r>
          </w:p>
        </w:tc>
      </w:tr>
      <w:tr w14:paraId="63EF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C09B9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30307</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761A07C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  医疗费补助</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1858E02">
            <w:pPr>
              <w:jc w:val="right"/>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974D7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30228</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6B4435E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  工会经费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2008FA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5D448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39907</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6FAE48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  国家赔偿费用支出</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0E392C21">
            <w:pPr>
              <w:jc w:val="right"/>
              <w:rPr>
                <w:rFonts w:hint="default" w:ascii="Times New Roman" w:hAnsi="Times New Roman" w:eastAsia="宋体" w:cs="Times New Roman"/>
                <w:i w:val="0"/>
                <w:iCs w:val="0"/>
                <w:color w:val="000000"/>
                <w:kern w:val="0"/>
                <w:sz w:val="20"/>
                <w:szCs w:val="20"/>
                <w:u w:val="none"/>
                <w:lang w:val="en-US" w:eastAsia="zh-CN" w:bidi="ar"/>
              </w:rPr>
            </w:pPr>
          </w:p>
        </w:tc>
      </w:tr>
      <w:tr w14:paraId="22DB4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F7692A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30308</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62F8809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助学金</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DCBA82D">
            <w:pPr>
              <w:jc w:val="right"/>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187BC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30229</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26E8DEF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福利费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CB4799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4.08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15F2E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39908</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8581F4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对民间非营利组织和群众性自治组织补贴</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029C3E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57DFF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B82BEF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30309</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5D76E87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奖励金</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CE1D9F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0.36 </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986B3C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30231</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2857E62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公务用车运行维护费</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EF49939">
            <w:pPr>
              <w:jc w:val="right"/>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9A2AC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39909</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65EDB4C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经常性赠与</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AE55C0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0C57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F177BC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30310</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79EA658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个人农业生产补贴</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FC12DC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B28AF8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30239</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733AB1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其他交通费用</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546D75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6.06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726C6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39910</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55F3ECD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资本性赠与</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2FCE419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1C1F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5361C4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30311</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127F0CB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代缴社会保险费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ABAE5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A32F96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30240</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3D7A2A7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税金及附加费用</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C889F8E">
            <w:pPr>
              <w:jc w:val="right"/>
              <w:rPr>
                <w:rFonts w:hint="default" w:ascii="Times New Roman" w:hAnsi="Times New Roman" w:eastAsia="宋体" w:cs="Times New Roman"/>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96DDA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39999</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99CF7D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其他支出</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0F33696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10DC6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808633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30399</w:t>
            </w:r>
          </w:p>
        </w:tc>
        <w:tc>
          <w:tcPr>
            <w:tcW w:w="3258" w:type="dxa"/>
            <w:tcBorders>
              <w:top w:val="single" w:color="000000" w:sz="4" w:space="0"/>
              <w:left w:val="single" w:color="000000" w:sz="4" w:space="0"/>
              <w:bottom w:val="single" w:color="000000" w:sz="4" w:space="0"/>
              <w:right w:val="single" w:color="000000" w:sz="4" w:space="0"/>
            </w:tcBorders>
            <w:noWrap w:val="0"/>
            <w:vAlign w:val="center"/>
          </w:tcPr>
          <w:p w14:paraId="48A24E9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其他对个人和家庭的补助</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12A932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17CA3D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30299</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4A0D88E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其他商品和服务支出</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BFD6A5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1.61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5B2CD3">
            <w:pPr>
              <w:rPr>
                <w:rFonts w:hint="default" w:ascii="Times New Roman" w:hAnsi="Times New Roman" w:eastAsia="宋体" w:cs="Times New Roman"/>
                <w:i w:val="0"/>
                <w:iCs w:val="0"/>
                <w:color w:val="000000"/>
                <w:sz w:val="20"/>
                <w:szCs w:val="20"/>
                <w:u w:val="none"/>
              </w:rPr>
            </w:pP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C15DFAB">
            <w:pPr>
              <w:rPr>
                <w:rFonts w:hint="default" w:ascii="Times New Roman" w:hAnsi="Times New Roman" w:eastAsia="宋体" w:cs="Times New Roman"/>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365F86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29C35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43CAED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人员经费合计</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572424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129.68 </w:t>
            </w:r>
          </w:p>
        </w:tc>
        <w:tc>
          <w:tcPr>
            <w:tcW w:w="7545" w:type="dxa"/>
            <w:gridSpan w:val="5"/>
            <w:tcBorders>
              <w:top w:val="single" w:color="auto" w:sz="4" w:space="0"/>
              <w:left w:val="single" w:color="auto" w:sz="4" w:space="0"/>
              <w:bottom w:val="single" w:color="auto" w:sz="4" w:space="0"/>
              <w:right w:val="single" w:color="auto" w:sz="4" w:space="0"/>
            </w:tcBorders>
            <w:noWrap w:val="0"/>
            <w:vAlign w:val="center"/>
          </w:tcPr>
          <w:p w14:paraId="32B08E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公用经费合计</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98C11B6">
            <w:pPr>
              <w:keepNext w:val="0"/>
              <w:keepLines w:val="0"/>
              <w:widowControl/>
              <w:suppressLineNumbers w:val="0"/>
              <w:jc w:val="right"/>
              <w:textAlignment w:val="center"/>
              <w:rPr>
                <w:rFonts w:hint="default" w:ascii="Times New Roman" w:hAnsi="Times New Roman" w:eastAsia="宋体" w:cs="Times New Roman"/>
                <w:i w:val="0"/>
                <w:iCs w:val="0"/>
                <w:color w:val="262626"/>
                <w:kern w:val="2"/>
                <w:sz w:val="22"/>
                <w:szCs w:val="22"/>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31.75</w:t>
            </w:r>
            <w:r>
              <w:rPr>
                <w:rFonts w:hint="default" w:ascii="Times New Roman" w:hAnsi="Times New Roman" w:eastAsia="宋体" w:cs="Times New Roman"/>
                <w:i w:val="0"/>
                <w:iCs w:val="0"/>
                <w:color w:val="262626"/>
                <w:kern w:val="0"/>
                <w:sz w:val="22"/>
                <w:szCs w:val="22"/>
                <w:u w:val="none"/>
                <w:lang w:val="en-US" w:eastAsia="zh-CN" w:bidi="ar"/>
              </w:rPr>
              <w:t xml:space="preserve"> </w:t>
            </w:r>
          </w:p>
        </w:tc>
      </w:tr>
      <w:tr w14:paraId="5278C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12" w:type="dxa"/>
            <w:gridSpan w:val="9"/>
            <w:tcBorders>
              <w:top w:val="single" w:color="auto" w:sz="4" w:space="0"/>
            </w:tcBorders>
            <w:noWrap w:val="0"/>
            <w:vAlign w:val="center"/>
          </w:tcPr>
          <w:p w14:paraId="1087898D">
            <w:pP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注：本表反映单位本年度一般公共预算财政拨款基本支出明细情况。</w:t>
            </w:r>
          </w:p>
        </w:tc>
      </w:tr>
    </w:tbl>
    <w:p w14:paraId="459B4D53">
      <w:pPr>
        <w:jc w:val="center"/>
        <w:rPr>
          <w:rFonts w:hint="default" w:ascii="Times New Roman" w:hAnsi="Times New Roman" w:eastAsia="宋体" w:cs="Times New Roman"/>
          <w:sz w:val="20"/>
          <w:szCs w:val="20"/>
        </w:rPr>
      </w:pPr>
    </w:p>
    <w:p w14:paraId="4AEE491D">
      <w:pPr>
        <w:jc w:val="center"/>
        <w:rPr>
          <w:rFonts w:hint="default" w:ascii="Times New Roman" w:hAnsi="Times New Roman" w:eastAsia="仿宋" w:cs="Times New Roman"/>
          <w:sz w:val="44"/>
        </w:rPr>
      </w:pPr>
    </w:p>
    <w:p w14:paraId="0D8250FD">
      <w:pPr>
        <w:jc w:val="center"/>
        <w:rPr>
          <w:rFonts w:hint="default" w:ascii="Times New Roman" w:hAnsi="Times New Roman" w:eastAsia="仿宋" w:cs="Times New Roman"/>
          <w:sz w:val="44"/>
        </w:rPr>
      </w:pPr>
    </w:p>
    <w:p w14:paraId="489AD171">
      <w:pPr>
        <w:jc w:val="center"/>
        <w:rPr>
          <w:rFonts w:hint="default" w:ascii="Times New Roman" w:hAnsi="Times New Roman" w:eastAsia="仿宋" w:cs="Times New Roman"/>
          <w:sz w:val="44"/>
        </w:rPr>
      </w:pPr>
    </w:p>
    <w:p w14:paraId="3C7375EC">
      <w:pPr>
        <w:jc w:val="center"/>
        <w:rPr>
          <w:rFonts w:hint="default" w:ascii="Times New Roman" w:hAnsi="Times New Roman" w:eastAsia="仿宋" w:cs="Times New Roman"/>
          <w:sz w:val="44"/>
        </w:rPr>
      </w:pPr>
    </w:p>
    <w:p w14:paraId="5BB16AAE">
      <w:pPr>
        <w:jc w:val="center"/>
        <w:rPr>
          <w:rFonts w:hint="default" w:ascii="Times New Roman" w:hAnsi="Times New Roman" w:eastAsia="仿宋" w:cs="Times New Roman"/>
          <w:sz w:val="44"/>
        </w:rPr>
      </w:pPr>
    </w:p>
    <w:p w14:paraId="0BE34EB4">
      <w:pPr>
        <w:rPr>
          <w:rFonts w:hint="default" w:ascii="Times New Roman" w:hAnsi="Times New Roman" w:eastAsia="黑体" w:cs="Times New Roman"/>
          <w:b w:val="0"/>
          <w:bCs w:val="0"/>
          <w:sz w:val="32"/>
        </w:rPr>
      </w:pPr>
    </w:p>
    <w:p w14:paraId="7FFE5F9E">
      <w:pPr>
        <w:ind w:firstLine="640" w:firstLineChars="200"/>
        <w:rPr>
          <w:rFonts w:hint="default" w:ascii="Times New Roman" w:hAnsi="Times New Roman" w:eastAsia="黑体" w:cs="Times New Roman"/>
          <w:b w:val="0"/>
          <w:bCs w:val="0"/>
          <w:sz w:val="32"/>
        </w:rPr>
      </w:pPr>
    </w:p>
    <w:p w14:paraId="0BC2A88E">
      <w:pPr>
        <w:ind w:firstLine="640" w:firstLineChars="200"/>
        <w:rPr>
          <w:rFonts w:hint="default" w:ascii="Times New Roman" w:hAnsi="Times New Roman" w:eastAsia="黑体" w:cs="Times New Roman"/>
          <w:b w:val="0"/>
          <w:bCs w:val="0"/>
          <w:sz w:val="32"/>
        </w:rPr>
      </w:pPr>
    </w:p>
    <w:p w14:paraId="6E4D30BC">
      <w:pPr>
        <w:ind w:firstLine="640" w:firstLineChars="200"/>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七、政府性基金预算财政拨款收入支出决算表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52"/>
        <w:gridCol w:w="240"/>
        <w:gridCol w:w="1494"/>
        <w:gridCol w:w="1793"/>
        <w:gridCol w:w="1365"/>
        <w:gridCol w:w="1575"/>
        <w:gridCol w:w="1545"/>
        <w:gridCol w:w="1515"/>
        <w:gridCol w:w="1822"/>
      </w:tblGrid>
      <w:tr w14:paraId="16D6C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3201" w:type="dxa"/>
            <w:gridSpan w:val="9"/>
            <w:tcBorders>
              <w:top w:val="nil"/>
              <w:left w:val="nil"/>
              <w:bottom w:val="nil"/>
              <w:right w:val="nil"/>
            </w:tcBorders>
            <w:shd w:val="clear" w:color="auto" w:fill="FFFFFF"/>
            <w:noWrap w:val="0"/>
            <w:vAlign w:val="center"/>
          </w:tcPr>
          <w:p w14:paraId="1488600E">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政府性基金预算财政拨款收入支出决算表</w:t>
            </w:r>
          </w:p>
        </w:tc>
      </w:tr>
      <w:tr w14:paraId="384E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1852" w:type="dxa"/>
            <w:tcBorders>
              <w:top w:val="nil"/>
              <w:left w:val="nil"/>
              <w:bottom w:val="nil"/>
              <w:right w:val="nil"/>
            </w:tcBorders>
            <w:shd w:val="clear" w:color="auto" w:fill="FFFFFF"/>
            <w:noWrap w:val="0"/>
            <w:vAlign w:val="center"/>
          </w:tcPr>
          <w:p w14:paraId="299808FA">
            <w:pPr>
              <w:jc w:val="center"/>
              <w:rPr>
                <w:rFonts w:hint="default" w:ascii="Times New Roman" w:hAnsi="Times New Roman" w:eastAsia="宋体" w:cs="Times New Roman"/>
                <w:i w:val="0"/>
                <w:iCs w:val="0"/>
                <w:color w:val="000000"/>
                <w:sz w:val="20"/>
                <w:szCs w:val="20"/>
                <w:u w:val="none"/>
              </w:rPr>
            </w:pPr>
          </w:p>
        </w:tc>
        <w:tc>
          <w:tcPr>
            <w:tcW w:w="240" w:type="dxa"/>
            <w:tcBorders>
              <w:top w:val="nil"/>
              <w:left w:val="nil"/>
              <w:bottom w:val="nil"/>
              <w:right w:val="nil"/>
            </w:tcBorders>
            <w:shd w:val="clear" w:color="auto" w:fill="FFFFFF"/>
            <w:noWrap w:val="0"/>
            <w:vAlign w:val="center"/>
          </w:tcPr>
          <w:p w14:paraId="7D0EEA5D">
            <w:pPr>
              <w:jc w:val="center"/>
              <w:rPr>
                <w:rFonts w:hint="default" w:ascii="Times New Roman" w:hAnsi="Times New Roman" w:eastAsia="宋体" w:cs="Times New Roman"/>
                <w:i w:val="0"/>
                <w:iCs w:val="0"/>
                <w:color w:val="000000"/>
                <w:sz w:val="20"/>
                <w:szCs w:val="20"/>
                <w:u w:val="none"/>
              </w:rPr>
            </w:pPr>
          </w:p>
        </w:tc>
        <w:tc>
          <w:tcPr>
            <w:tcW w:w="1494" w:type="dxa"/>
            <w:tcBorders>
              <w:top w:val="nil"/>
              <w:left w:val="nil"/>
              <w:bottom w:val="nil"/>
              <w:right w:val="nil"/>
            </w:tcBorders>
            <w:shd w:val="clear" w:color="auto" w:fill="FFFFFF"/>
            <w:noWrap w:val="0"/>
            <w:vAlign w:val="center"/>
          </w:tcPr>
          <w:p w14:paraId="7863C85F">
            <w:pPr>
              <w:jc w:val="center"/>
              <w:rPr>
                <w:rFonts w:hint="default" w:ascii="Times New Roman" w:hAnsi="Times New Roman" w:eastAsia="宋体" w:cs="Times New Roman"/>
                <w:i w:val="0"/>
                <w:iCs w:val="0"/>
                <w:color w:val="000000"/>
                <w:sz w:val="20"/>
                <w:szCs w:val="20"/>
                <w:u w:val="none"/>
              </w:rPr>
            </w:pPr>
          </w:p>
        </w:tc>
        <w:tc>
          <w:tcPr>
            <w:tcW w:w="1793" w:type="dxa"/>
            <w:tcBorders>
              <w:top w:val="nil"/>
              <w:left w:val="nil"/>
              <w:bottom w:val="nil"/>
              <w:right w:val="nil"/>
            </w:tcBorders>
            <w:shd w:val="clear" w:color="auto" w:fill="FFFFFF"/>
            <w:noWrap w:val="0"/>
            <w:vAlign w:val="center"/>
          </w:tcPr>
          <w:p w14:paraId="45E3413A">
            <w:pPr>
              <w:rPr>
                <w:rFonts w:hint="default" w:ascii="Times New Roman" w:hAnsi="Times New Roman" w:eastAsia="宋体" w:cs="Times New Roman"/>
                <w:i w:val="0"/>
                <w:iCs w:val="0"/>
                <w:color w:val="000000"/>
                <w:sz w:val="20"/>
                <w:szCs w:val="20"/>
                <w:u w:val="none"/>
              </w:rPr>
            </w:pPr>
          </w:p>
        </w:tc>
        <w:tc>
          <w:tcPr>
            <w:tcW w:w="1365" w:type="dxa"/>
            <w:tcBorders>
              <w:top w:val="nil"/>
              <w:left w:val="nil"/>
              <w:bottom w:val="nil"/>
              <w:right w:val="nil"/>
            </w:tcBorders>
            <w:shd w:val="clear" w:color="auto" w:fill="FFFFFF"/>
            <w:noWrap w:val="0"/>
            <w:vAlign w:val="center"/>
          </w:tcPr>
          <w:p w14:paraId="7373BEAC">
            <w:pPr>
              <w:rPr>
                <w:rFonts w:hint="default" w:ascii="Times New Roman" w:hAnsi="Times New Roman" w:eastAsia="宋体" w:cs="Times New Roman"/>
                <w:i w:val="0"/>
                <w:iCs w:val="0"/>
                <w:color w:val="000000"/>
                <w:sz w:val="20"/>
                <w:szCs w:val="20"/>
                <w:u w:val="none"/>
              </w:rPr>
            </w:pPr>
          </w:p>
        </w:tc>
        <w:tc>
          <w:tcPr>
            <w:tcW w:w="1575" w:type="dxa"/>
            <w:tcBorders>
              <w:top w:val="nil"/>
              <w:left w:val="nil"/>
              <w:bottom w:val="nil"/>
              <w:right w:val="nil"/>
            </w:tcBorders>
            <w:shd w:val="clear" w:color="auto" w:fill="FFFFFF"/>
            <w:noWrap w:val="0"/>
            <w:vAlign w:val="center"/>
          </w:tcPr>
          <w:p w14:paraId="7883FC48">
            <w:pPr>
              <w:rPr>
                <w:rFonts w:hint="default" w:ascii="Times New Roman" w:hAnsi="Times New Roman" w:eastAsia="宋体" w:cs="Times New Roman"/>
                <w:i w:val="0"/>
                <w:iCs w:val="0"/>
                <w:color w:val="000000"/>
                <w:sz w:val="20"/>
                <w:szCs w:val="20"/>
                <w:u w:val="none"/>
              </w:rPr>
            </w:pPr>
          </w:p>
        </w:tc>
        <w:tc>
          <w:tcPr>
            <w:tcW w:w="1545" w:type="dxa"/>
            <w:tcBorders>
              <w:top w:val="nil"/>
              <w:left w:val="nil"/>
              <w:bottom w:val="nil"/>
              <w:right w:val="nil"/>
            </w:tcBorders>
            <w:shd w:val="clear" w:color="auto" w:fill="FFFFFF"/>
            <w:noWrap w:val="0"/>
            <w:vAlign w:val="center"/>
          </w:tcPr>
          <w:p w14:paraId="4A121433">
            <w:pPr>
              <w:rPr>
                <w:rFonts w:hint="default" w:ascii="Times New Roman" w:hAnsi="Times New Roman" w:eastAsia="宋体" w:cs="Times New Roman"/>
                <w:i w:val="0"/>
                <w:iCs w:val="0"/>
                <w:color w:val="000000"/>
                <w:sz w:val="20"/>
                <w:szCs w:val="20"/>
                <w:u w:val="none"/>
              </w:rPr>
            </w:pPr>
          </w:p>
        </w:tc>
        <w:tc>
          <w:tcPr>
            <w:tcW w:w="1515" w:type="dxa"/>
            <w:tcBorders>
              <w:top w:val="nil"/>
              <w:left w:val="nil"/>
              <w:bottom w:val="nil"/>
              <w:right w:val="nil"/>
            </w:tcBorders>
            <w:shd w:val="clear" w:color="auto" w:fill="FFFFFF"/>
            <w:noWrap w:val="0"/>
            <w:vAlign w:val="center"/>
          </w:tcPr>
          <w:p w14:paraId="31E51F8D">
            <w:pPr>
              <w:rPr>
                <w:rFonts w:hint="default" w:ascii="Times New Roman" w:hAnsi="Times New Roman" w:eastAsia="宋体" w:cs="Times New Roman"/>
                <w:i w:val="0"/>
                <w:iCs w:val="0"/>
                <w:color w:val="000000"/>
                <w:sz w:val="20"/>
                <w:szCs w:val="20"/>
                <w:u w:val="none"/>
              </w:rPr>
            </w:pPr>
          </w:p>
        </w:tc>
        <w:tc>
          <w:tcPr>
            <w:tcW w:w="1822" w:type="dxa"/>
            <w:tcBorders>
              <w:top w:val="nil"/>
              <w:left w:val="nil"/>
              <w:bottom w:val="nil"/>
              <w:right w:val="nil"/>
            </w:tcBorders>
            <w:shd w:val="clear" w:color="auto" w:fill="FFFFFF"/>
            <w:noWrap w:val="0"/>
            <w:vAlign w:val="center"/>
          </w:tcPr>
          <w:p w14:paraId="43F8ADF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公开07表</w:t>
            </w:r>
          </w:p>
        </w:tc>
      </w:tr>
      <w:tr w14:paraId="0E8F9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3586" w:type="dxa"/>
            <w:gridSpan w:val="3"/>
            <w:tcBorders>
              <w:top w:val="nil"/>
              <w:left w:val="nil"/>
              <w:bottom w:val="nil"/>
              <w:right w:val="nil"/>
            </w:tcBorders>
            <w:shd w:val="clear" w:color="auto" w:fill="FFFFFF"/>
            <w:noWrap w:val="0"/>
            <w:vAlign w:val="center"/>
          </w:tcPr>
          <w:p w14:paraId="460E8C38">
            <w:pPr>
              <w:jc w:val="lef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1793" w:type="dxa"/>
            <w:tcBorders>
              <w:top w:val="nil"/>
              <w:left w:val="nil"/>
              <w:bottom w:val="nil"/>
              <w:right w:val="nil"/>
            </w:tcBorders>
            <w:shd w:val="clear" w:color="auto" w:fill="FFFFFF"/>
            <w:noWrap w:val="0"/>
            <w:vAlign w:val="center"/>
          </w:tcPr>
          <w:p w14:paraId="3C8563B9">
            <w:pPr>
              <w:rPr>
                <w:rFonts w:hint="default" w:ascii="Times New Roman" w:hAnsi="Times New Roman" w:eastAsia="宋体" w:cs="Times New Roman"/>
                <w:i w:val="0"/>
                <w:iCs w:val="0"/>
                <w:color w:val="000000"/>
                <w:sz w:val="20"/>
                <w:szCs w:val="20"/>
                <w:u w:val="none"/>
              </w:rPr>
            </w:pPr>
          </w:p>
        </w:tc>
        <w:tc>
          <w:tcPr>
            <w:tcW w:w="1365" w:type="dxa"/>
            <w:tcBorders>
              <w:top w:val="nil"/>
              <w:left w:val="nil"/>
              <w:bottom w:val="nil"/>
              <w:right w:val="nil"/>
            </w:tcBorders>
            <w:shd w:val="clear" w:color="auto" w:fill="FFFFFF"/>
            <w:noWrap w:val="0"/>
            <w:vAlign w:val="center"/>
          </w:tcPr>
          <w:p w14:paraId="558999F4">
            <w:pPr>
              <w:rPr>
                <w:rFonts w:hint="default" w:ascii="Times New Roman" w:hAnsi="Times New Roman" w:eastAsia="宋体" w:cs="Times New Roman"/>
                <w:i w:val="0"/>
                <w:iCs w:val="0"/>
                <w:color w:val="000000"/>
                <w:sz w:val="20"/>
                <w:szCs w:val="20"/>
                <w:u w:val="none"/>
              </w:rPr>
            </w:pPr>
          </w:p>
        </w:tc>
        <w:tc>
          <w:tcPr>
            <w:tcW w:w="1575" w:type="dxa"/>
            <w:tcBorders>
              <w:top w:val="nil"/>
              <w:left w:val="nil"/>
              <w:bottom w:val="nil"/>
              <w:right w:val="nil"/>
            </w:tcBorders>
            <w:shd w:val="clear" w:color="auto" w:fill="FFFFFF"/>
            <w:noWrap w:val="0"/>
            <w:vAlign w:val="center"/>
          </w:tcPr>
          <w:p w14:paraId="10978BB4">
            <w:pPr>
              <w:rPr>
                <w:rFonts w:hint="default" w:ascii="Times New Roman" w:hAnsi="Times New Roman" w:eastAsia="宋体" w:cs="Times New Roman"/>
                <w:i w:val="0"/>
                <w:iCs w:val="0"/>
                <w:color w:val="000000"/>
                <w:sz w:val="20"/>
                <w:szCs w:val="20"/>
                <w:u w:val="none"/>
              </w:rPr>
            </w:pPr>
          </w:p>
        </w:tc>
        <w:tc>
          <w:tcPr>
            <w:tcW w:w="1545" w:type="dxa"/>
            <w:tcBorders>
              <w:top w:val="nil"/>
              <w:left w:val="nil"/>
              <w:bottom w:val="nil"/>
              <w:right w:val="nil"/>
            </w:tcBorders>
            <w:shd w:val="clear" w:color="auto" w:fill="FFFFFF"/>
            <w:noWrap w:val="0"/>
            <w:vAlign w:val="center"/>
          </w:tcPr>
          <w:p w14:paraId="3A7E53C3">
            <w:pPr>
              <w:rPr>
                <w:rFonts w:hint="default" w:ascii="Times New Roman" w:hAnsi="Times New Roman" w:eastAsia="宋体" w:cs="Times New Roman"/>
                <w:i w:val="0"/>
                <w:iCs w:val="0"/>
                <w:color w:val="000000"/>
                <w:sz w:val="20"/>
                <w:szCs w:val="20"/>
                <w:u w:val="none"/>
              </w:rPr>
            </w:pPr>
          </w:p>
        </w:tc>
        <w:tc>
          <w:tcPr>
            <w:tcW w:w="1515" w:type="dxa"/>
            <w:tcBorders>
              <w:top w:val="nil"/>
              <w:left w:val="nil"/>
              <w:bottom w:val="nil"/>
              <w:right w:val="nil"/>
            </w:tcBorders>
            <w:shd w:val="clear" w:color="auto" w:fill="FFFFFF"/>
            <w:noWrap w:val="0"/>
            <w:vAlign w:val="center"/>
          </w:tcPr>
          <w:p w14:paraId="7FE398DB">
            <w:pPr>
              <w:rPr>
                <w:rFonts w:hint="default" w:ascii="Times New Roman" w:hAnsi="Times New Roman" w:eastAsia="宋体" w:cs="Times New Roman"/>
                <w:i w:val="0"/>
                <w:iCs w:val="0"/>
                <w:color w:val="000000"/>
                <w:sz w:val="20"/>
                <w:szCs w:val="20"/>
                <w:u w:val="none"/>
              </w:rPr>
            </w:pPr>
          </w:p>
        </w:tc>
        <w:tc>
          <w:tcPr>
            <w:tcW w:w="1822" w:type="dxa"/>
            <w:tcBorders>
              <w:top w:val="nil"/>
              <w:left w:val="nil"/>
              <w:bottom w:val="nil"/>
              <w:right w:val="nil"/>
            </w:tcBorders>
            <w:shd w:val="clear" w:color="auto" w:fill="FFFFFF"/>
            <w:noWrap w:val="0"/>
            <w:vAlign w:val="center"/>
          </w:tcPr>
          <w:p w14:paraId="08E5EC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6E988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3586" w:type="dxa"/>
            <w:gridSpan w:val="3"/>
            <w:tcBorders>
              <w:top w:val="single" w:color="000000" w:sz="4" w:space="0"/>
              <w:left w:val="single" w:color="000000" w:sz="4" w:space="0"/>
              <w:bottom w:val="single" w:color="000000" w:sz="4" w:space="0"/>
              <w:right w:val="single" w:color="000000" w:sz="4" w:space="0"/>
            </w:tcBorders>
            <w:noWrap w:val="0"/>
            <w:vAlign w:val="center"/>
          </w:tcPr>
          <w:p w14:paraId="703FDD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项    </w:t>
            </w:r>
            <w:r>
              <w:rPr>
                <w:rStyle w:val="19"/>
                <w:rFonts w:hint="default" w:ascii="Times New Roman" w:hAnsi="Times New Roman" w:cs="Times New Roman"/>
                <w:sz w:val="20"/>
                <w:szCs w:val="20"/>
                <w:lang w:val="en-US" w:eastAsia="zh-CN" w:bidi="ar"/>
              </w:rPr>
              <w:t>目</w:t>
            </w:r>
          </w:p>
        </w:tc>
        <w:tc>
          <w:tcPr>
            <w:tcW w:w="1793" w:type="dxa"/>
            <w:vMerge w:val="restart"/>
            <w:tcBorders>
              <w:top w:val="single" w:color="000000" w:sz="4" w:space="0"/>
              <w:left w:val="single" w:color="000000" w:sz="4" w:space="0"/>
              <w:bottom w:val="single" w:color="000000" w:sz="4" w:space="0"/>
              <w:right w:val="single" w:color="000000" w:sz="4" w:space="0"/>
            </w:tcBorders>
            <w:noWrap w:val="0"/>
            <w:vAlign w:val="center"/>
          </w:tcPr>
          <w:p w14:paraId="5DB848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年初结转和结余</w:t>
            </w:r>
          </w:p>
        </w:tc>
        <w:tc>
          <w:tcPr>
            <w:tcW w:w="136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2352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本年收入</w:t>
            </w:r>
          </w:p>
        </w:tc>
        <w:tc>
          <w:tcPr>
            <w:tcW w:w="4635" w:type="dxa"/>
            <w:gridSpan w:val="3"/>
            <w:tcBorders>
              <w:top w:val="single" w:color="000000" w:sz="4" w:space="0"/>
              <w:left w:val="single" w:color="000000" w:sz="4" w:space="0"/>
              <w:bottom w:val="single" w:color="000000" w:sz="4" w:space="0"/>
              <w:right w:val="single" w:color="000000" w:sz="4" w:space="0"/>
            </w:tcBorders>
            <w:noWrap w:val="0"/>
            <w:vAlign w:val="center"/>
          </w:tcPr>
          <w:p w14:paraId="28AE72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本年支出</w:t>
            </w:r>
          </w:p>
        </w:tc>
        <w:tc>
          <w:tcPr>
            <w:tcW w:w="18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03136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年末结转和结余</w:t>
            </w:r>
          </w:p>
        </w:tc>
      </w:tr>
      <w:tr w14:paraId="7CBE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09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60B4D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1494" w:type="dxa"/>
            <w:vMerge w:val="restart"/>
            <w:tcBorders>
              <w:top w:val="single" w:color="000000" w:sz="4" w:space="0"/>
              <w:left w:val="single" w:color="000000" w:sz="4" w:space="0"/>
              <w:bottom w:val="single" w:color="000000" w:sz="4" w:space="0"/>
              <w:right w:val="single" w:color="000000" w:sz="4" w:space="0"/>
            </w:tcBorders>
            <w:noWrap w:val="0"/>
            <w:vAlign w:val="center"/>
          </w:tcPr>
          <w:p w14:paraId="41A893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17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3ED49">
            <w:pPr>
              <w:jc w:val="center"/>
              <w:rPr>
                <w:rFonts w:hint="default" w:ascii="Times New Roman" w:hAnsi="Times New Roman" w:eastAsia="宋体" w:cs="Times New Roman"/>
                <w:i w:val="0"/>
                <w:iCs w:val="0"/>
                <w:color w:val="000000"/>
                <w:sz w:val="20"/>
                <w:szCs w:val="20"/>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93A9A">
            <w:pPr>
              <w:jc w:val="center"/>
              <w:rPr>
                <w:rFonts w:hint="default" w:ascii="Times New Roman" w:hAnsi="Times New Roman" w:eastAsia="宋体" w:cs="Times New Roman"/>
                <w:i w:val="0"/>
                <w:iCs w:val="0"/>
                <w:color w:val="000000"/>
                <w:sz w:val="20"/>
                <w:szCs w:val="20"/>
                <w:u w:val="none"/>
              </w:rPr>
            </w:pP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14:paraId="290985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小计</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1E6EDB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基本支出  </w:t>
            </w:r>
          </w:p>
        </w:tc>
        <w:tc>
          <w:tcPr>
            <w:tcW w:w="1515" w:type="dxa"/>
            <w:vMerge w:val="restart"/>
            <w:tcBorders>
              <w:top w:val="single" w:color="000000" w:sz="4" w:space="0"/>
              <w:left w:val="single" w:color="000000" w:sz="4" w:space="0"/>
              <w:bottom w:val="single" w:color="000000" w:sz="4" w:space="0"/>
              <w:right w:val="single" w:color="000000" w:sz="4" w:space="0"/>
            </w:tcBorders>
            <w:noWrap w:val="0"/>
            <w:vAlign w:val="center"/>
          </w:tcPr>
          <w:p w14:paraId="1221F6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项目支出</w:t>
            </w:r>
          </w:p>
        </w:tc>
        <w:tc>
          <w:tcPr>
            <w:tcW w:w="18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938332">
            <w:pPr>
              <w:jc w:val="center"/>
              <w:rPr>
                <w:rFonts w:hint="default" w:ascii="Times New Roman" w:hAnsi="Times New Roman" w:eastAsia="宋体" w:cs="Times New Roman"/>
                <w:i w:val="0"/>
                <w:iCs w:val="0"/>
                <w:color w:val="000000"/>
                <w:sz w:val="20"/>
                <w:szCs w:val="20"/>
                <w:u w:val="none"/>
              </w:rPr>
            </w:pPr>
          </w:p>
        </w:tc>
      </w:tr>
      <w:tr w14:paraId="72C3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09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A2A42B">
            <w:pPr>
              <w:jc w:val="center"/>
              <w:rPr>
                <w:rFonts w:hint="default" w:ascii="Times New Roman" w:hAnsi="Times New Roman" w:eastAsia="宋体" w:cs="Times New Roman"/>
                <w:i w:val="0"/>
                <w:iCs w:val="0"/>
                <w:color w:val="000000"/>
                <w:sz w:val="20"/>
                <w:szCs w:val="20"/>
                <w:u w:val="none"/>
              </w:rPr>
            </w:pPr>
          </w:p>
        </w:tc>
        <w:tc>
          <w:tcPr>
            <w:tcW w:w="14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9D14D">
            <w:pPr>
              <w:jc w:val="center"/>
              <w:rPr>
                <w:rFonts w:hint="default" w:ascii="Times New Roman" w:hAnsi="Times New Roman" w:eastAsia="宋体" w:cs="Times New Roman"/>
                <w:i w:val="0"/>
                <w:iCs w:val="0"/>
                <w:color w:val="000000"/>
                <w:sz w:val="20"/>
                <w:szCs w:val="20"/>
                <w:u w:val="none"/>
              </w:rPr>
            </w:pPr>
          </w:p>
        </w:tc>
        <w:tc>
          <w:tcPr>
            <w:tcW w:w="17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62508">
            <w:pPr>
              <w:jc w:val="center"/>
              <w:rPr>
                <w:rFonts w:hint="default" w:ascii="Times New Roman" w:hAnsi="Times New Roman" w:eastAsia="宋体" w:cs="Times New Roman"/>
                <w:i w:val="0"/>
                <w:iCs w:val="0"/>
                <w:color w:val="000000"/>
                <w:sz w:val="20"/>
                <w:szCs w:val="20"/>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293DFB">
            <w:pPr>
              <w:jc w:val="center"/>
              <w:rPr>
                <w:rFonts w:hint="default" w:ascii="Times New Roman" w:hAnsi="Times New Roman" w:eastAsia="宋体" w:cs="Times New Roman"/>
                <w:i w:val="0"/>
                <w:iCs w:val="0"/>
                <w:color w:val="000000"/>
                <w:sz w:val="20"/>
                <w:szCs w:val="20"/>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9017C0">
            <w:pPr>
              <w:jc w:val="center"/>
              <w:rPr>
                <w:rFonts w:hint="default" w:ascii="Times New Roman" w:hAnsi="Times New Roman" w:eastAsia="宋体" w:cs="Times New Roman"/>
                <w:i w:val="0"/>
                <w:iCs w:val="0"/>
                <w:color w:val="000000"/>
                <w:sz w:val="20"/>
                <w:szCs w:val="20"/>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9BE323">
            <w:pPr>
              <w:jc w:val="center"/>
              <w:rPr>
                <w:rFonts w:hint="default" w:ascii="Times New Roman" w:hAnsi="Times New Roman" w:eastAsia="宋体" w:cs="Times New Roman"/>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97E6B">
            <w:pPr>
              <w:jc w:val="center"/>
              <w:rPr>
                <w:rFonts w:hint="default" w:ascii="Times New Roman" w:hAnsi="Times New Roman" w:eastAsia="宋体" w:cs="Times New Roman"/>
                <w:i w:val="0"/>
                <w:iCs w:val="0"/>
                <w:color w:val="000000"/>
                <w:sz w:val="20"/>
                <w:szCs w:val="20"/>
                <w:u w:val="none"/>
              </w:rPr>
            </w:pPr>
          </w:p>
        </w:tc>
        <w:tc>
          <w:tcPr>
            <w:tcW w:w="18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B4E785">
            <w:pPr>
              <w:jc w:val="center"/>
              <w:rPr>
                <w:rFonts w:hint="default" w:ascii="Times New Roman" w:hAnsi="Times New Roman" w:eastAsia="宋体" w:cs="Times New Roman"/>
                <w:i w:val="0"/>
                <w:iCs w:val="0"/>
                <w:color w:val="000000"/>
                <w:sz w:val="20"/>
                <w:szCs w:val="20"/>
                <w:u w:val="none"/>
              </w:rPr>
            </w:pPr>
          </w:p>
        </w:tc>
      </w:tr>
      <w:tr w14:paraId="335A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9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23D6FC">
            <w:pPr>
              <w:jc w:val="center"/>
              <w:rPr>
                <w:rFonts w:hint="default" w:ascii="Times New Roman" w:hAnsi="Times New Roman" w:eastAsia="宋体" w:cs="Times New Roman"/>
                <w:i w:val="0"/>
                <w:iCs w:val="0"/>
                <w:color w:val="000000"/>
                <w:sz w:val="20"/>
                <w:szCs w:val="20"/>
                <w:u w:val="none"/>
              </w:rPr>
            </w:pPr>
          </w:p>
        </w:tc>
        <w:tc>
          <w:tcPr>
            <w:tcW w:w="14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8E4B94">
            <w:pPr>
              <w:jc w:val="center"/>
              <w:rPr>
                <w:rFonts w:hint="default" w:ascii="Times New Roman" w:hAnsi="Times New Roman" w:eastAsia="宋体" w:cs="Times New Roman"/>
                <w:i w:val="0"/>
                <w:iCs w:val="0"/>
                <w:color w:val="000000"/>
                <w:sz w:val="20"/>
                <w:szCs w:val="20"/>
                <w:u w:val="none"/>
              </w:rPr>
            </w:pPr>
          </w:p>
        </w:tc>
        <w:tc>
          <w:tcPr>
            <w:tcW w:w="17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CA3B8">
            <w:pPr>
              <w:jc w:val="center"/>
              <w:rPr>
                <w:rFonts w:hint="default" w:ascii="Times New Roman" w:hAnsi="Times New Roman" w:eastAsia="宋体" w:cs="Times New Roman"/>
                <w:i w:val="0"/>
                <w:iCs w:val="0"/>
                <w:color w:val="000000"/>
                <w:sz w:val="20"/>
                <w:szCs w:val="20"/>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2747A">
            <w:pPr>
              <w:jc w:val="center"/>
              <w:rPr>
                <w:rFonts w:hint="default" w:ascii="Times New Roman" w:hAnsi="Times New Roman" w:eastAsia="宋体" w:cs="Times New Roman"/>
                <w:i w:val="0"/>
                <w:iCs w:val="0"/>
                <w:color w:val="000000"/>
                <w:sz w:val="20"/>
                <w:szCs w:val="20"/>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B1AC8">
            <w:pPr>
              <w:jc w:val="center"/>
              <w:rPr>
                <w:rFonts w:hint="default" w:ascii="Times New Roman" w:hAnsi="Times New Roman" w:eastAsia="宋体" w:cs="Times New Roman"/>
                <w:i w:val="0"/>
                <w:iCs w:val="0"/>
                <w:color w:val="000000"/>
                <w:sz w:val="20"/>
                <w:szCs w:val="20"/>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2F69C">
            <w:pPr>
              <w:jc w:val="center"/>
              <w:rPr>
                <w:rFonts w:hint="default" w:ascii="Times New Roman" w:hAnsi="Times New Roman" w:eastAsia="宋体" w:cs="Times New Roman"/>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891BA">
            <w:pPr>
              <w:jc w:val="center"/>
              <w:rPr>
                <w:rFonts w:hint="default" w:ascii="Times New Roman" w:hAnsi="Times New Roman" w:eastAsia="宋体" w:cs="Times New Roman"/>
                <w:i w:val="0"/>
                <w:iCs w:val="0"/>
                <w:color w:val="000000"/>
                <w:sz w:val="20"/>
                <w:szCs w:val="20"/>
                <w:u w:val="none"/>
              </w:rPr>
            </w:pPr>
          </w:p>
        </w:tc>
        <w:tc>
          <w:tcPr>
            <w:tcW w:w="18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64B8B">
            <w:pPr>
              <w:jc w:val="center"/>
              <w:rPr>
                <w:rFonts w:hint="default" w:ascii="Times New Roman" w:hAnsi="Times New Roman" w:eastAsia="宋体" w:cs="Times New Roman"/>
                <w:i w:val="0"/>
                <w:iCs w:val="0"/>
                <w:color w:val="000000"/>
                <w:sz w:val="20"/>
                <w:szCs w:val="20"/>
                <w:u w:val="none"/>
              </w:rPr>
            </w:pPr>
          </w:p>
        </w:tc>
      </w:tr>
      <w:tr w14:paraId="58EE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586" w:type="dxa"/>
            <w:gridSpan w:val="3"/>
            <w:tcBorders>
              <w:top w:val="single" w:color="000000" w:sz="4" w:space="0"/>
              <w:left w:val="single" w:color="000000" w:sz="4" w:space="0"/>
              <w:bottom w:val="single" w:color="000000" w:sz="4" w:space="0"/>
              <w:right w:val="single" w:color="000000" w:sz="4" w:space="0"/>
            </w:tcBorders>
            <w:noWrap w:val="0"/>
            <w:vAlign w:val="center"/>
          </w:tcPr>
          <w:p w14:paraId="628539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栏次</w:t>
            </w: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10C225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EDEEA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3469F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EB8A8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779D74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3FCC2D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r>
      <w:tr w14:paraId="7E03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3586" w:type="dxa"/>
            <w:gridSpan w:val="3"/>
            <w:tcBorders>
              <w:top w:val="single" w:color="000000" w:sz="4" w:space="0"/>
              <w:left w:val="single" w:color="000000" w:sz="4" w:space="0"/>
              <w:bottom w:val="single" w:color="000000" w:sz="4" w:space="0"/>
              <w:right w:val="single" w:color="000000" w:sz="4" w:space="0"/>
            </w:tcBorders>
            <w:noWrap w:val="0"/>
            <w:vAlign w:val="center"/>
          </w:tcPr>
          <w:p w14:paraId="76D310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3C88A6E8">
            <w:pPr>
              <w:jc w:val="center"/>
              <w:rPr>
                <w:rFonts w:hint="default" w:ascii="Times New Roman" w:hAnsi="Times New Roman" w:eastAsia="宋体" w:cs="Times New Roman"/>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07B52CF">
            <w:pPr>
              <w:jc w:val="center"/>
              <w:rPr>
                <w:rFonts w:hint="default" w:ascii="Times New Roman" w:hAnsi="Times New Roman" w:eastAsia="宋体" w:cs="Times New Roman"/>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B48C3EA">
            <w:pPr>
              <w:jc w:val="center"/>
              <w:rPr>
                <w:rFonts w:hint="default" w:ascii="Times New Roman" w:hAnsi="Times New Roman" w:eastAsia="宋体" w:cs="Times New Roman"/>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852EF60">
            <w:pPr>
              <w:jc w:val="center"/>
              <w:rPr>
                <w:rFonts w:hint="default" w:ascii="Times New Roman" w:hAnsi="Times New Roman" w:eastAsia="宋体" w:cs="Times New Roman"/>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37407638">
            <w:pPr>
              <w:jc w:val="center"/>
              <w:rPr>
                <w:rFonts w:hint="default" w:ascii="Times New Roman" w:hAnsi="Times New Roman" w:eastAsia="宋体" w:cs="Times New Roman"/>
                <w:i w:val="0"/>
                <w:iCs w:val="0"/>
                <w:color w:val="000000"/>
                <w:sz w:val="20"/>
                <w:szCs w:val="20"/>
                <w:u w:val="none"/>
              </w:rPr>
            </w:pP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4824CDEC">
            <w:pPr>
              <w:jc w:val="center"/>
              <w:rPr>
                <w:rFonts w:hint="default" w:ascii="Times New Roman" w:hAnsi="Times New Roman" w:eastAsia="宋体" w:cs="Times New Roman"/>
                <w:i w:val="0"/>
                <w:iCs w:val="0"/>
                <w:color w:val="000000"/>
                <w:sz w:val="20"/>
                <w:szCs w:val="20"/>
                <w:u w:val="none"/>
              </w:rPr>
            </w:pPr>
          </w:p>
        </w:tc>
      </w:tr>
      <w:tr w14:paraId="1074C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92" w:type="dxa"/>
            <w:gridSpan w:val="2"/>
            <w:tcBorders>
              <w:top w:val="single" w:color="000000" w:sz="4" w:space="0"/>
              <w:left w:val="single" w:color="000000" w:sz="4" w:space="0"/>
              <w:bottom w:val="single" w:color="000000" w:sz="4" w:space="0"/>
              <w:right w:val="single" w:color="000000" w:sz="4" w:space="0"/>
            </w:tcBorders>
            <w:noWrap w:val="0"/>
            <w:vAlign w:val="center"/>
          </w:tcPr>
          <w:p w14:paraId="18124DCF">
            <w:pPr>
              <w:jc w:val="center"/>
              <w:rPr>
                <w:rFonts w:hint="default" w:ascii="Times New Roman" w:hAnsi="Times New Roman" w:eastAsia="宋体" w:cs="Times New Roman"/>
                <w:i w:val="0"/>
                <w:iCs w:val="0"/>
                <w:color w:val="000000"/>
                <w:sz w:val="20"/>
                <w:szCs w:val="20"/>
                <w:u w:val="none"/>
              </w:rPr>
            </w:pP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3EC2C305">
            <w:pPr>
              <w:rPr>
                <w:rFonts w:hint="default" w:ascii="Times New Roman" w:hAnsi="Times New Roman" w:eastAsia="宋体" w:cs="Times New Roman"/>
                <w:i w:val="0"/>
                <w:iCs w:val="0"/>
                <w:color w:val="000000"/>
                <w:sz w:val="20"/>
                <w:szCs w:val="20"/>
                <w:u w:val="none"/>
              </w:rPr>
            </w:pP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17631CC7">
            <w:pPr>
              <w:rPr>
                <w:rFonts w:hint="default" w:ascii="Times New Roman" w:hAnsi="Times New Roman" w:eastAsia="宋体" w:cs="Times New Roman"/>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AC8988F">
            <w:pPr>
              <w:rPr>
                <w:rFonts w:hint="default" w:ascii="Times New Roman" w:hAnsi="Times New Roman" w:eastAsia="宋体" w:cs="Times New Roman"/>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60B1548">
            <w:pPr>
              <w:rPr>
                <w:rFonts w:hint="default" w:ascii="Times New Roman" w:hAnsi="Times New Roman" w:eastAsia="宋体" w:cs="Times New Roman"/>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92BA273">
            <w:pPr>
              <w:rPr>
                <w:rFonts w:hint="default" w:ascii="Times New Roman" w:hAnsi="Times New Roman" w:eastAsia="宋体" w:cs="Times New Roman"/>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A361BCA">
            <w:pPr>
              <w:rPr>
                <w:rFonts w:hint="default" w:ascii="Times New Roman" w:hAnsi="Times New Roman" w:eastAsia="宋体" w:cs="Times New Roman"/>
                <w:i w:val="0"/>
                <w:iCs w:val="0"/>
                <w:color w:val="000000"/>
                <w:sz w:val="20"/>
                <w:szCs w:val="20"/>
                <w:u w:val="none"/>
              </w:rPr>
            </w:pP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0AA16928">
            <w:pPr>
              <w:rPr>
                <w:rFonts w:hint="default" w:ascii="Times New Roman" w:hAnsi="Times New Roman" w:eastAsia="宋体" w:cs="Times New Roman"/>
                <w:i w:val="0"/>
                <w:iCs w:val="0"/>
                <w:color w:val="000000"/>
                <w:sz w:val="20"/>
                <w:szCs w:val="20"/>
                <w:u w:val="none"/>
              </w:rPr>
            </w:pPr>
          </w:p>
        </w:tc>
      </w:tr>
      <w:tr w14:paraId="055EA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92" w:type="dxa"/>
            <w:gridSpan w:val="2"/>
            <w:tcBorders>
              <w:top w:val="single" w:color="000000" w:sz="4" w:space="0"/>
              <w:left w:val="single" w:color="000000" w:sz="4" w:space="0"/>
              <w:bottom w:val="single" w:color="000000" w:sz="4" w:space="0"/>
              <w:right w:val="single" w:color="000000" w:sz="4" w:space="0"/>
            </w:tcBorders>
            <w:noWrap w:val="0"/>
            <w:vAlign w:val="center"/>
          </w:tcPr>
          <w:p w14:paraId="35F6DD72">
            <w:pPr>
              <w:jc w:val="center"/>
              <w:rPr>
                <w:rFonts w:hint="default" w:ascii="Times New Roman" w:hAnsi="Times New Roman" w:eastAsia="宋体" w:cs="Times New Roman"/>
                <w:i w:val="0"/>
                <w:iCs w:val="0"/>
                <w:color w:val="000000"/>
                <w:sz w:val="20"/>
                <w:szCs w:val="20"/>
                <w:u w:val="none"/>
              </w:rPr>
            </w:pP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228DC277">
            <w:pPr>
              <w:rPr>
                <w:rFonts w:hint="default" w:ascii="Times New Roman" w:hAnsi="Times New Roman" w:eastAsia="宋体" w:cs="Times New Roman"/>
                <w:i w:val="0"/>
                <w:iCs w:val="0"/>
                <w:color w:val="000000"/>
                <w:sz w:val="20"/>
                <w:szCs w:val="20"/>
                <w:u w:val="none"/>
              </w:rPr>
            </w:pP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368C4080">
            <w:pPr>
              <w:rPr>
                <w:rFonts w:hint="default" w:ascii="Times New Roman" w:hAnsi="Times New Roman" w:eastAsia="宋体" w:cs="Times New Roman"/>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1705030">
            <w:pPr>
              <w:rPr>
                <w:rFonts w:hint="default" w:ascii="Times New Roman" w:hAnsi="Times New Roman" w:eastAsia="宋体" w:cs="Times New Roman"/>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55DE0C0">
            <w:pPr>
              <w:rPr>
                <w:rFonts w:hint="default" w:ascii="Times New Roman" w:hAnsi="Times New Roman" w:eastAsia="宋体" w:cs="Times New Roman"/>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8CC9D8C">
            <w:pPr>
              <w:rPr>
                <w:rFonts w:hint="default" w:ascii="Times New Roman" w:hAnsi="Times New Roman" w:eastAsia="宋体" w:cs="Times New Roman"/>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6F2D8950">
            <w:pPr>
              <w:rPr>
                <w:rFonts w:hint="default" w:ascii="Times New Roman" w:hAnsi="Times New Roman" w:eastAsia="宋体" w:cs="Times New Roman"/>
                <w:i w:val="0"/>
                <w:iCs w:val="0"/>
                <w:color w:val="000000"/>
                <w:sz w:val="20"/>
                <w:szCs w:val="20"/>
                <w:u w:val="none"/>
              </w:rPr>
            </w:pP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5BA3889E">
            <w:pPr>
              <w:rPr>
                <w:rFonts w:hint="default" w:ascii="Times New Roman" w:hAnsi="Times New Roman" w:eastAsia="宋体" w:cs="Times New Roman"/>
                <w:i w:val="0"/>
                <w:iCs w:val="0"/>
                <w:color w:val="000000"/>
                <w:sz w:val="20"/>
                <w:szCs w:val="20"/>
                <w:u w:val="none"/>
              </w:rPr>
            </w:pPr>
          </w:p>
        </w:tc>
      </w:tr>
      <w:tr w14:paraId="1BCF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92" w:type="dxa"/>
            <w:gridSpan w:val="2"/>
            <w:tcBorders>
              <w:top w:val="single" w:color="000000" w:sz="4" w:space="0"/>
              <w:left w:val="single" w:color="000000" w:sz="4" w:space="0"/>
              <w:bottom w:val="single" w:color="000000" w:sz="4" w:space="0"/>
              <w:right w:val="single" w:color="000000" w:sz="4" w:space="0"/>
            </w:tcBorders>
            <w:noWrap w:val="0"/>
            <w:vAlign w:val="center"/>
          </w:tcPr>
          <w:p w14:paraId="5627CB09">
            <w:pPr>
              <w:jc w:val="center"/>
              <w:rPr>
                <w:rFonts w:hint="default" w:ascii="Times New Roman" w:hAnsi="Times New Roman" w:eastAsia="宋体" w:cs="Times New Roman"/>
                <w:i w:val="0"/>
                <w:iCs w:val="0"/>
                <w:color w:val="000000"/>
                <w:sz w:val="20"/>
                <w:szCs w:val="20"/>
                <w:u w:val="none"/>
              </w:rPr>
            </w:pP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49F16A23">
            <w:pPr>
              <w:rPr>
                <w:rFonts w:hint="default" w:ascii="Times New Roman" w:hAnsi="Times New Roman" w:eastAsia="宋体" w:cs="Times New Roman"/>
                <w:i w:val="0"/>
                <w:iCs w:val="0"/>
                <w:color w:val="000000"/>
                <w:sz w:val="20"/>
                <w:szCs w:val="20"/>
                <w:u w:val="none"/>
              </w:rPr>
            </w:pP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62C19D2A">
            <w:pPr>
              <w:rPr>
                <w:rFonts w:hint="default" w:ascii="Times New Roman" w:hAnsi="Times New Roman" w:eastAsia="宋体" w:cs="Times New Roman"/>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156D09E">
            <w:pPr>
              <w:rPr>
                <w:rFonts w:hint="default" w:ascii="Times New Roman" w:hAnsi="Times New Roman" w:eastAsia="宋体" w:cs="Times New Roman"/>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141A309">
            <w:pPr>
              <w:rPr>
                <w:rFonts w:hint="default" w:ascii="Times New Roman" w:hAnsi="Times New Roman" w:eastAsia="宋体" w:cs="Times New Roman"/>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3A455A4">
            <w:pPr>
              <w:rPr>
                <w:rFonts w:hint="default" w:ascii="Times New Roman" w:hAnsi="Times New Roman" w:eastAsia="宋体" w:cs="Times New Roman"/>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472360E">
            <w:pPr>
              <w:rPr>
                <w:rFonts w:hint="default" w:ascii="Times New Roman" w:hAnsi="Times New Roman" w:eastAsia="宋体" w:cs="Times New Roman"/>
                <w:i w:val="0"/>
                <w:iCs w:val="0"/>
                <w:color w:val="000000"/>
                <w:sz w:val="20"/>
                <w:szCs w:val="20"/>
                <w:u w:val="none"/>
              </w:rPr>
            </w:pP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18CDE78B">
            <w:pPr>
              <w:rPr>
                <w:rFonts w:hint="default" w:ascii="Times New Roman" w:hAnsi="Times New Roman" w:eastAsia="宋体" w:cs="Times New Roman"/>
                <w:i w:val="0"/>
                <w:iCs w:val="0"/>
                <w:color w:val="000000"/>
                <w:sz w:val="20"/>
                <w:szCs w:val="20"/>
                <w:u w:val="none"/>
              </w:rPr>
            </w:pPr>
          </w:p>
        </w:tc>
      </w:tr>
      <w:tr w14:paraId="301D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92" w:type="dxa"/>
            <w:gridSpan w:val="2"/>
            <w:tcBorders>
              <w:top w:val="single" w:color="000000" w:sz="4" w:space="0"/>
              <w:left w:val="single" w:color="000000" w:sz="4" w:space="0"/>
              <w:bottom w:val="single" w:color="000000" w:sz="4" w:space="0"/>
              <w:right w:val="single" w:color="000000" w:sz="4" w:space="0"/>
            </w:tcBorders>
            <w:noWrap w:val="0"/>
            <w:vAlign w:val="center"/>
          </w:tcPr>
          <w:p w14:paraId="3BCD3CFF">
            <w:pPr>
              <w:jc w:val="center"/>
              <w:rPr>
                <w:rFonts w:hint="default" w:ascii="Times New Roman" w:hAnsi="Times New Roman" w:eastAsia="宋体" w:cs="Times New Roman"/>
                <w:i w:val="0"/>
                <w:iCs w:val="0"/>
                <w:color w:val="000000"/>
                <w:sz w:val="20"/>
                <w:szCs w:val="20"/>
                <w:u w:val="none"/>
              </w:rPr>
            </w:pP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05657932">
            <w:pPr>
              <w:rPr>
                <w:rFonts w:hint="default" w:ascii="Times New Roman" w:hAnsi="Times New Roman" w:eastAsia="宋体" w:cs="Times New Roman"/>
                <w:i w:val="0"/>
                <w:iCs w:val="0"/>
                <w:color w:val="000000"/>
                <w:sz w:val="20"/>
                <w:szCs w:val="20"/>
                <w:u w:val="none"/>
              </w:rPr>
            </w:pP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2CF4BC28">
            <w:pPr>
              <w:rPr>
                <w:rFonts w:hint="default" w:ascii="Times New Roman" w:hAnsi="Times New Roman" w:eastAsia="宋体" w:cs="Times New Roman"/>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776CB1C">
            <w:pPr>
              <w:rPr>
                <w:rFonts w:hint="default" w:ascii="Times New Roman" w:hAnsi="Times New Roman" w:eastAsia="宋体" w:cs="Times New Roman"/>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838D693">
            <w:pPr>
              <w:rPr>
                <w:rFonts w:hint="default" w:ascii="Times New Roman" w:hAnsi="Times New Roman" w:eastAsia="宋体" w:cs="Times New Roman"/>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A2619E2">
            <w:pPr>
              <w:rPr>
                <w:rFonts w:hint="default" w:ascii="Times New Roman" w:hAnsi="Times New Roman" w:eastAsia="宋体" w:cs="Times New Roman"/>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B8464BC">
            <w:pPr>
              <w:rPr>
                <w:rFonts w:hint="default" w:ascii="Times New Roman" w:hAnsi="Times New Roman" w:eastAsia="宋体" w:cs="Times New Roman"/>
                <w:i w:val="0"/>
                <w:iCs w:val="0"/>
                <w:color w:val="000000"/>
                <w:sz w:val="20"/>
                <w:szCs w:val="20"/>
                <w:u w:val="none"/>
              </w:rPr>
            </w:pP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4182A9F9">
            <w:pPr>
              <w:rPr>
                <w:rFonts w:hint="default" w:ascii="Times New Roman" w:hAnsi="Times New Roman" w:eastAsia="宋体" w:cs="Times New Roman"/>
                <w:i w:val="0"/>
                <w:iCs w:val="0"/>
                <w:color w:val="000000"/>
                <w:sz w:val="20"/>
                <w:szCs w:val="20"/>
                <w:u w:val="none"/>
              </w:rPr>
            </w:pPr>
          </w:p>
        </w:tc>
      </w:tr>
      <w:tr w14:paraId="57C3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92" w:type="dxa"/>
            <w:gridSpan w:val="2"/>
            <w:tcBorders>
              <w:top w:val="single" w:color="000000" w:sz="4" w:space="0"/>
              <w:left w:val="single" w:color="000000" w:sz="4" w:space="0"/>
              <w:bottom w:val="single" w:color="000000" w:sz="4" w:space="0"/>
              <w:right w:val="single" w:color="000000" w:sz="4" w:space="0"/>
            </w:tcBorders>
            <w:noWrap w:val="0"/>
            <w:vAlign w:val="center"/>
          </w:tcPr>
          <w:p w14:paraId="3EBB9F14">
            <w:pPr>
              <w:jc w:val="center"/>
              <w:rPr>
                <w:rFonts w:hint="default" w:ascii="Times New Roman" w:hAnsi="Times New Roman" w:eastAsia="宋体" w:cs="Times New Roman"/>
                <w:i w:val="0"/>
                <w:iCs w:val="0"/>
                <w:color w:val="000000"/>
                <w:sz w:val="20"/>
                <w:szCs w:val="20"/>
                <w:u w:val="none"/>
              </w:rPr>
            </w:pP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21F2BA36">
            <w:pPr>
              <w:rPr>
                <w:rFonts w:hint="default" w:ascii="Times New Roman" w:hAnsi="Times New Roman" w:eastAsia="宋体" w:cs="Times New Roman"/>
                <w:i w:val="0"/>
                <w:iCs w:val="0"/>
                <w:color w:val="000000"/>
                <w:sz w:val="20"/>
                <w:szCs w:val="20"/>
                <w:u w:val="none"/>
              </w:rPr>
            </w:pP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5DFCB628">
            <w:pPr>
              <w:rPr>
                <w:rFonts w:hint="default" w:ascii="Times New Roman" w:hAnsi="Times New Roman" w:eastAsia="宋体" w:cs="Times New Roman"/>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2D466C7">
            <w:pPr>
              <w:rPr>
                <w:rFonts w:hint="default" w:ascii="Times New Roman" w:hAnsi="Times New Roman" w:eastAsia="宋体" w:cs="Times New Roman"/>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62294BB">
            <w:pPr>
              <w:rPr>
                <w:rFonts w:hint="default" w:ascii="Times New Roman" w:hAnsi="Times New Roman" w:eastAsia="宋体" w:cs="Times New Roman"/>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77FF4C7">
            <w:pPr>
              <w:rPr>
                <w:rFonts w:hint="default" w:ascii="Times New Roman" w:hAnsi="Times New Roman" w:eastAsia="宋体" w:cs="Times New Roman"/>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0056B4F">
            <w:pPr>
              <w:rPr>
                <w:rFonts w:hint="default" w:ascii="Times New Roman" w:hAnsi="Times New Roman" w:eastAsia="宋体" w:cs="Times New Roman"/>
                <w:i w:val="0"/>
                <w:iCs w:val="0"/>
                <w:color w:val="000000"/>
                <w:sz w:val="20"/>
                <w:szCs w:val="20"/>
                <w:u w:val="none"/>
              </w:rPr>
            </w:pP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6DEF1134">
            <w:pPr>
              <w:rPr>
                <w:rFonts w:hint="default" w:ascii="Times New Roman" w:hAnsi="Times New Roman" w:eastAsia="宋体" w:cs="Times New Roman"/>
                <w:i w:val="0"/>
                <w:iCs w:val="0"/>
                <w:color w:val="000000"/>
                <w:sz w:val="20"/>
                <w:szCs w:val="20"/>
                <w:u w:val="none"/>
              </w:rPr>
            </w:pPr>
          </w:p>
        </w:tc>
      </w:tr>
      <w:tr w14:paraId="1D85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92" w:type="dxa"/>
            <w:gridSpan w:val="2"/>
            <w:tcBorders>
              <w:top w:val="single" w:color="000000" w:sz="4" w:space="0"/>
              <w:left w:val="single" w:color="000000" w:sz="4" w:space="0"/>
              <w:bottom w:val="single" w:color="000000" w:sz="4" w:space="0"/>
              <w:right w:val="single" w:color="000000" w:sz="4" w:space="0"/>
            </w:tcBorders>
            <w:noWrap w:val="0"/>
            <w:vAlign w:val="center"/>
          </w:tcPr>
          <w:p w14:paraId="5B5C293B">
            <w:pPr>
              <w:jc w:val="center"/>
              <w:rPr>
                <w:rFonts w:hint="default" w:ascii="Times New Roman" w:hAnsi="Times New Roman" w:eastAsia="宋体" w:cs="Times New Roman"/>
                <w:i w:val="0"/>
                <w:iCs w:val="0"/>
                <w:color w:val="000000"/>
                <w:sz w:val="20"/>
                <w:szCs w:val="20"/>
                <w:u w:val="none"/>
              </w:rPr>
            </w:pPr>
          </w:p>
        </w:tc>
        <w:tc>
          <w:tcPr>
            <w:tcW w:w="1494" w:type="dxa"/>
            <w:tcBorders>
              <w:top w:val="single" w:color="000000" w:sz="4" w:space="0"/>
              <w:left w:val="single" w:color="000000" w:sz="4" w:space="0"/>
              <w:bottom w:val="single" w:color="000000" w:sz="4" w:space="0"/>
              <w:right w:val="single" w:color="000000" w:sz="4" w:space="0"/>
            </w:tcBorders>
            <w:noWrap w:val="0"/>
            <w:vAlign w:val="center"/>
          </w:tcPr>
          <w:p w14:paraId="249954B0">
            <w:pPr>
              <w:rPr>
                <w:rFonts w:hint="default" w:ascii="Times New Roman" w:hAnsi="Times New Roman" w:eastAsia="宋体" w:cs="Times New Roman"/>
                <w:i w:val="0"/>
                <w:iCs w:val="0"/>
                <w:color w:val="000000"/>
                <w:sz w:val="20"/>
                <w:szCs w:val="20"/>
                <w:u w:val="none"/>
              </w:rPr>
            </w:pPr>
          </w:p>
        </w:tc>
        <w:tc>
          <w:tcPr>
            <w:tcW w:w="1793" w:type="dxa"/>
            <w:tcBorders>
              <w:top w:val="single" w:color="000000" w:sz="4" w:space="0"/>
              <w:left w:val="single" w:color="000000" w:sz="4" w:space="0"/>
              <w:bottom w:val="single" w:color="000000" w:sz="4" w:space="0"/>
              <w:right w:val="single" w:color="000000" w:sz="4" w:space="0"/>
            </w:tcBorders>
            <w:noWrap w:val="0"/>
            <w:vAlign w:val="center"/>
          </w:tcPr>
          <w:p w14:paraId="20F483AF">
            <w:pPr>
              <w:rPr>
                <w:rFonts w:hint="default" w:ascii="Times New Roman" w:hAnsi="Times New Roman" w:eastAsia="宋体" w:cs="Times New Roman"/>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FB9711C">
            <w:pPr>
              <w:rPr>
                <w:rFonts w:hint="default" w:ascii="Times New Roman" w:hAnsi="Times New Roman" w:eastAsia="宋体" w:cs="Times New Roman"/>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E3B75BA">
            <w:pPr>
              <w:rPr>
                <w:rFonts w:hint="default" w:ascii="Times New Roman" w:hAnsi="Times New Roman" w:eastAsia="宋体" w:cs="Times New Roman"/>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F2B72F5">
            <w:pPr>
              <w:rPr>
                <w:rFonts w:hint="default" w:ascii="Times New Roman" w:hAnsi="Times New Roman" w:eastAsia="宋体" w:cs="Times New Roman"/>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5116077">
            <w:pPr>
              <w:rPr>
                <w:rFonts w:hint="default" w:ascii="Times New Roman" w:hAnsi="Times New Roman" w:eastAsia="宋体" w:cs="Times New Roman"/>
                <w:i w:val="0"/>
                <w:iCs w:val="0"/>
                <w:color w:val="000000"/>
                <w:sz w:val="20"/>
                <w:szCs w:val="20"/>
                <w:u w:val="none"/>
              </w:rPr>
            </w:pP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0A668297">
            <w:pPr>
              <w:rPr>
                <w:rFonts w:hint="default" w:ascii="Times New Roman" w:hAnsi="Times New Roman" w:eastAsia="宋体" w:cs="Times New Roman"/>
                <w:i w:val="0"/>
                <w:iCs w:val="0"/>
                <w:color w:val="000000"/>
                <w:sz w:val="20"/>
                <w:szCs w:val="20"/>
                <w:u w:val="none"/>
              </w:rPr>
            </w:pPr>
          </w:p>
        </w:tc>
      </w:tr>
      <w:tr w14:paraId="78F0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3201" w:type="dxa"/>
            <w:gridSpan w:val="9"/>
            <w:tcBorders>
              <w:top w:val="nil"/>
              <w:left w:val="nil"/>
              <w:bottom w:val="nil"/>
              <w:right w:val="nil"/>
            </w:tcBorders>
            <w:noWrap w:val="0"/>
            <w:vAlign w:val="center"/>
          </w:tcPr>
          <w:p w14:paraId="1ED0792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注：本表反映单位本年度政府性基金预算财政拨款收入、支出及结转和结余情况。</w:t>
            </w:r>
          </w:p>
        </w:tc>
      </w:tr>
      <w:tr w14:paraId="26586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3201" w:type="dxa"/>
            <w:gridSpan w:val="9"/>
            <w:tcBorders>
              <w:top w:val="nil"/>
              <w:left w:val="nil"/>
              <w:bottom w:val="nil"/>
              <w:right w:val="nil"/>
            </w:tcBorders>
            <w:noWrap w:val="0"/>
            <w:vAlign w:val="center"/>
          </w:tcPr>
          <w:p w14:paraId="3A4D026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说明：本单位无政府性基金预算财政拨款。</w:t>
            </w:r>
          </w:p>
        </w:tc>
      </w:tr>
    </w:tbl>
    <w:p w14:paraId="7A042FC1">
      <w:pPr>
        <w:jc w:val="center"/>
        <w:rPr>
          <w:rFonts w:hint="default" w:ascii="Times New Roman" w:hAnsi="Times New Roman" w:eastAsia="仿宋" w:cs="Times New Roman"/>
          <w:sz w:val="44"/>
        </w:rPr>
      </w:pPr>
    </w:p>
    <w:p w14:paraId="2F7ACDBF">
      <w:pPr>
        <w:jc w:val="both"/>
        <w:rPr>
          <w:rFonts w:hint="default" w:ascii="Times New Roman" w:hAnsi="Times New Roman" w:eastAsia="仿宋" w:cs="Times New Roman"/>
          <w:sz w:val="44"/>
        </w:rPr>
      </w:pPr>
    </w:p>
    <w:p w14:paraId="13E1C473">
      <w:pPr>
        <w:ind w:firstLine="640" w:firstLineChars="200"/>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八、国有资本经营预算财政拨款支出决算表</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46"/>
        <w:gridCol w:w="240"/>
        <w:gridCol w:w="1896"/>
        <w:gridCol w:w="2845"/>
        <w:gridCol w:w="2685"/>
        <w:gridCol w:w="2782"/>
      </w:tblGrid>
      <w:tr w14:paraId="566A7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2494" w:type="dxa"/>
            <w:gridSpan w:val="6"/>
            <w:tcBorders>
              <w:top w:val="nil"/>
              <w:left w:val="nil"/>
              <w:bottom w:val="nil"/>
              <w:right w:val="nil"/>
            </w:tcBorders>
            <w:shd w:val="clear" w:color="auto" w:fill="FFFFFF"/>
            <w:noWrap w:val="0"/>
            <w:vAlign w:val="center"/>
          </w:tcPr>
          <w:p w14:paraId="7FD5E120">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国有资本经营预算财政拨款支出决算表</w:t>
            </w:r>
          </w:p>
        </w:tc>
      </w:tr>
      <w:tr w14:paraId="60E75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46" w:type="dxa"/>
            <w:tcBorders>
              <w:top w:val="nil"/>
              <w:left w:val="nil"/>
              <w:bottom w:val="nil"/>
              <w:right w:val="nil"/>
            </w:tcBorders>
            <w:shd w:val="clear" w:color="auto" w:fill="FFFFFF"/>
            <w:noWrap w:val="0"/>
            <w:vAlign w:val="center"/>
          </w:tcPr>
          <w:p w14:paraId="3F4A9DD6">
            <w:pPr>
              <w:jc w:val="center"/>
              <w:rPr>
                <w:rFonts w:hint="default" w:ascii="Times New Roman" w:hAnsi="Times New Roman" w:eastAsia="宋体" w:cs="Times New Roman"/>
                <w:i w:val="0"/>
                <w:iCs w:val="0"/>
                <w:color w:val="000000"/>
                <w:sz w:val="20"/>
                <w:szCs w:val="20"/>
                <w:u w:val="none"/>
              </w:rPr>
            </w:pPr>
          </w:p>
        </w:tc>
        <w:tc>
          <w:tcPr>
            <w:tcW w:w="240" w:type="dxa"/>
            <w:tcBorders>
              <w:top w:val="nil"/>
              <w:left w:val="nil"/>
              <w:bottom w:val="nil"/>
              <w:right w:val="nil"/>
            </w:tcBorders>
            <w:shd w:val="clear" w:color="auto" w:fill="FFFFFF"/>
            <w:noWrap w:val="0"/>
            <w:vAlign w:val="center"/>
          </w:tcPr>
          <w:p w14:paraId="428E3703">
            <w:pPr>
              <w:jc w:val="center"/>
              <w:rPr>
                <w:rFonts w:hint="default" w:ascii="Times New Roman" w:hAnsi="Times New Roman" w:eastAsia="宋体" w:cs="Times New Roman"/>
                <w:i w:val="0"/>
                <w:iCs w:val="0"/>
                <w:color w:val="000000"/>
                <w:sz w:val="20"/>
                <w:szCs w:val="20"/>
                <w:u w:val="none"/>
              </w:rPr>
            </w:pPr>
          </w:p>
        </w:tc>
        <w:tc>
          <w:tcPr>
            <w:tcW w:w="1896" w:type="dxa"/>
            <w:tcBorders>
              <w:top w:val="nil"/>
              <w:left w:val="nil"/>
              <w:bottom w:val="nil"/>
              <w:right w:val="nil"/>
            </w:tcBorders>
            <w:shd w:val="clear" w:color="auto" w:fill="FFFFFF"/>
            <w:noWrap w:val="0"/>
            <w:vAlign w:val="center"/>
          </w:tcPr>
          <w:p w14:paraId="71544A44">
            <w:pPr>
              <w:jc w:val="center"/>
              <w:rPr>
                <w:rFonts w:hint="default" w:ascii="Times New Roman" w:hAnsi="Times New Roman" w:eastAsia="宋体" w:cs="Times New Roman"/>
                <w:i w:val="0"/>
                <w:iCs w:val="0"/>
                <w:color w:val="000000"/>
                <w:sz w:val="20"/>
                <w:szCs w:val="20"/>
                <w:u w:val="none"/>
              </w:rPr>
            </w:pPr>
          </w:p>
        </w:tc>
        <w:tc>
          <w:tcPr>
            <w:tcW w:w="2845" w:type="dxa"/>
            <w:tcBorders>
              <w:top w:val="nil"/>
              <w:left w:val="nil"/>
              <w:bottom w:val="nil"/>
              <w:right w:val="nil"/>
            </w:tcBorders>
            <w:shd w:val="clear" w:color="auto" w:fill="FFFFFF"/>
            <w:noWrap w:val="0"/>
            <w:vAlign w:val="center"/>
          </w:tcPr>
          <w:p w14:paraId="4FFE9172">
            <w:pPr>
              <w:rPr>
                <w:rFonts w:hint="default" w:ascii="Times New Roman" w:hAnsi="Times New Roman" w:eastAsia="宋体" w:cs="Times New Roman"/>
                <w:i w:val="0"/>
                <w:iCs w:val="0"/>
                <w:color w:val="000000"/>
                <w:sz w:val="20"/>
                <w:szCs w:val="20"/>
                <w:u w:val="none"/>
              </w:rPr>
            </w:pPr>
          </w:p>
        </w:tc>
        <w:tc>
          <w:tcPr>
            <w:tcW w:w="2685" w:type="dxa"/>
            <w:tcBorders>
              <w:top w:val="nil"/>
              <w:left w:val="nil"/>
              <w:bottom w:val="nil"/>
              <w:right w:val="nil"/>
            </w:tcBorders>
            <w:shd w:val="clear" w:color="auto" w:fill="FFFFFF"/>
            <w:noWrap w:val="0"/>
            <w:vAlign w:val="center"/>
          </w:tcPr>
          <w:p w14:paraId="54E502C5">
            <w:pPr>
              <w:rPr>
                <w:rFonts w:hint="default" w:ascii="Times New Roman" w:hAnsi="Times New Roman" w:eastAsia="宋体" w:cs="Times New Roman"/>
                <w:i w:val="0"/>
                <w:iCs w:val="0"/>
                <w:color w:val="000000"/>
                <w:sz w:val="20"/>
                <w:szCs w:val="20"/>
                <w:u w:val="none"/>
              </w:rPr>
            </w:pPr>
          </w:p>
        </w:tc>
        <w:tc>
          <w:tcPr>
            <w:tcW w:w="2782" w:type="dxa"/>
            <w:tcBorders>
              <w:top w:val="nil"/>
              <w:left w:val="nil"/>
              <w:bottom w:val="nil"/>
              <w:right w:val="nil"/>
            </w:tcBorders>
            <w:shd w:val="clear" w:color="auto" w:fill="FFFFFF"/>
            <w:noWrap w:val="0"/>
            <w:vAlign w:val="center"/>
          </w:tcPr>
          <w:p w14:paraId="0F236D9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公开08表</w:t>
            </w:r>
          </w:p>
        </w:tc>
      </w:tr>
      <w:tr w14:paraId="647C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182" w:type="dxa"/>
            <w:gridSpan w:val="3"/>
            <w:tcBorders>
              <w:top w:val="nil"/>
              <w:left w:val="nil"/>
              <w:bottom w:val="nil"/>
              <w:right w:val="nil"/>
            </w:tcBorders>
            <w:shd w:val="clear" w:color="auto" w:fill="FFFFFF"/>
            <w:noWrap w:val="0"/>
            <w:vAlign w:val="center"/>
          </w:tcPr>
          <w:p w14:paraId="2BABCA2F">
            <w:pPr>
              <w:jc w:val="lef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2845" w:type="dxa"/>
            <w:tcBorders>
              <w:top w:val="nil"/>
              <w:left w:val="nil"/>
              <w:bottom w:val="single" w:color="000000" w:sz="8" w:space="0"/>
              <w:right w:val="nil"/>
            </w:tcBorders>
            <w:shd w:val="clear" w:color="auto" w:fill="FFFFFF"/>
            <w:noWrap w:val="0"/>
            <w:vAlign w:val="center"/>
          </w:tcPr>
          <w:p w14:paraId="7F3BC484">
            <w:pPr>
              <w:rPr>
                <w:rFonts w:hint="default" w:ascii="Times New Roman" w:hAnsi="Times New Roman" w:eastAsia="宋体" w:cs="Times New Roman"/>
                <w:i w:val="0"/>
                <w:iCs w:val="0"/>
                <w:color w:val="000000"/>
                <w:sz w:val="20"/>
                <w:szCs w:val="20"/>
                <w:u w:val="none"/>
              </w:rPr>
            </w:pPr>
          </w:p>
        </w:tc>
        <w:tc>
          <w:tcPr>
            <w:tcW w:w="2685" w:type="dxa"/>
            <w:tcBorders>
              <w:top w:val="nil"/>
              <w:left w:val="nil"/>
              <w:bottom w:val="single" w:color="000000" w:sz="8" w:space="0"/>
              <w:right w:val="nil"/>
            </w:tcBorders>
            <w:shd w:val="clear" w:color="auto" w:fill="FFFFFF"/>
            <w:noWrap w:val="0"/>
            <w:vAlign w:val="center"/>
          </w:tcPr>
          <w:p w14:paraId="3EEAE818">
            <w:pPr>
              <w:rPr>
                <w:rFonts w:hint="default" w:ascii="Times New Roman" w:hAnsi="Times New Roman" w:eastAsia="宋体" w:cs="Times New Roman"/>
                <w:i w:val="0"/>
                <w:iCs w:val="0"/>
                <w:color w:val="000000"/>
                <w:sz w:val="20"/>
                <w:szCs w:val="20"/>
                <w:u w:val="none"/>
              </w:rPr>
            </w:pPr>
          </w:p>
        </w:tc>
        <w:tc>
          <w:tcPr>
            <w:tcW w:w="2782" w:type="dxa"/>
            <w:tcBorders>
              <w:top w:val="nil"/>
              <w:left w:val="nil"/>
              <w:bottom w:val="nil"/>
              <w:right w:val="nil"/>
            </w:tcBorders>
            <w:shd w:val="clear" w:color="auto" w:fill="FFFFFF"/>
            <w:noWrap w:val="0"/>
            <w:vAlign w:val="center"/>
          </w:tcPr>
          <w:p w14:paraId="773C053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34815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82" w:type="dxa"/>
            <w:gridSpan w:val="3"/>
            <w:tcBorders>
              <w:top w:val="single" w:color="000000" w:sz="8" w:space="0"/>
              <w:left w:val="single" w:color="000000" w:sz="8" w:space="0"/>
              <w:bottom w:val="single" w:color="000000" w:sz="4" w:space="0"/>
              <w:right w:val="single" w:color="000000" w:sz="4" w:space="0"/>
            </w:tcBorders>
            <w:noWrap w:val="0"/>
            <w:vAlign w:val="center"/>
          </w:tcPr>
          <w:p w14:paraId="0128D1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8312" w:type="dxa"/>
            <w:gridSpan w:val="3"/>
            <w:tcBorders>
              <w:top w:val="single" w:color="000000" w:sz="8" w:space="0"/>
              <w:left w:val="single" w:color="000000" w:sz="4" w:space="0"/>
              <w:bottom w:val="single" w:color="000000" w:sz="4" w:space="0"/>
              <w:right w:val="single" w:color="000000" w:sz="4" w:space="0"/>
            </w:tcBorders>
            <w:noWrap w:val="0"/>
            <w:vAlign w:val="center"/>
          </w:tcPr>
          <w:p w14:paraId="2FDDBA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本年支出</w:t>
            </w:r>
          </w:p>
        </w:tc>
      </w:tr>
      <w:tr w14:paraId="658A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vMerge w:val="restart"/>
            <w:tcBorders>
              <w:top w:val="single" w:color="000000" w:sz="4" w:space="0"/>
              <w:left w:val="single" w:color="000000" w:sz="8" w:space="0"/>
              <w:bottom w:val="single" w:color="000000" w:sz="4" w:space="0"/>
              <w:right w:val="single" w:color="000000" w:sz="4" w:space="0"/>
            </w:tcBorders>
            <w:noWrap w:val="0"/>
            <w:vAlign w:val="center"/>
          </w:tcPr>
          <w:p w14:paraId="164DC6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科目代码</w:t>
            </w:r>
          </w:p>
        </w:tc>
        <w:tc>
          <w:tcPr>
            <w:tcW w:w="18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C7206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科目名称</w:t>
            </w:r>
          </w:p>
        </w:tc>
        <w:tc>
          <w:tcPr>
            <w:tcW w:w="2845" w:type="dxa"/>
            <w:vMerge w:val="restart"/>
            <w:tcBorders>
              <w:top w:val="nil"/>
              <w:left w:val="single" w:color="000000" w:sz="4" w:space="0"/>
              <w:bottom w:val="single" w:color="000000" w:sz="4" w:space="0"/>
              <w:right w:val="single" w:color="000000" w:sz="4" w:space="0"/>
            </w:tcBorders>
            <w:noWrap w:val="0"/>
            <w:vAlign w:val="center"/>
          </w:tcPr>
          <w:p w14:paraId="745E55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2685" w:type="dxa"/>
            <w:vMerge w:val="restart"/>
            <w:tcBorders>
              <w:top w:val="nil"/>
              <w:left w:val="single" w:color="000000" w:sz="4" w:space="0"/>
              <w:bottom w:val="single" w:color="000000" w:sz="4" w:space="0"/>
              <w:right w:val="single" w:color="000000" w:sz="4" w:space="0"/>
            </w:tcBorders>
            <w:noWrap w:val="0"/>
            <w:vAlign w:val="center"/>
          </w:tcPr>
          <w:p w14:paraId="507585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基本支出  </w:t>
            </w:r>
          </w:p>
        </w:tc>
        <w:tc>
          <w:tcPr>
            <w:tcW w:w="2782" w:type="dxa"/>
            <w:vMerge w:val="restart"/>
            <w:tcBorders>
              <w:top w:val="single" w:color="000000" w:sz="4" w:space="0"/>
              <w:left w:val="single" w:color="000000" w:sz="4" w:space="0"/>
              <w:bottom w:val="single" w:color="000000" w:sz="4" w:space="0"/>
              <w:right w:val="single" w:color="000000" w:sz="4" w:space="0"/>
            </w:tcBorders>
            <w:noWrap w:val="0"/>
            <w:vAlign w:val="center"/>
          </w:tcPr>
          <w:p w14:paraId="4D7DC6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项目支出</w:t>
            </w:r>
          </w:p>
        </w:tc>
      </w:tr>
      <w:tr w14:paraId="4329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0CB21E35">
            <w:pPr>
              <w:jc w:val="center"/>
              <w:rPr>
                <w:rFonts w:hint="default" w:ascii="Times New Roman" w:hAnsi="Times New Roman" w:eastAsia="宋体" w:cs="Times New Roman"/>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3B99DD">
            <w:pPr>
              <w:jc w:val="center"/>
              <w:rPr>
                <w:rFonts w:hint="default" w:ascii="Times New Roman" w:hAnsi="Times New Roman" w:eastAsia="宋体" w:cs="Times New Roman"/>
                <w:i w:val="0"/>
                <w:iCs w:val="0"/>
                <w:color w:val="000000"/>
                <w:sz w:val="20"/>
                <w:szCs w:val="20"/>
                <w:u w:val="none"/>
              </w:rPr>
            </w:pPr>
          </w:p>
        </w:tc>
        <w:tc>
          <w:tcPr>
            <w:tcW w:w="2845" w:type="dxa"/>
            <w:vMerge w:val="continue"/>
            <w:tcBorders>
              <w:top w:val="nil"/>
              <w:left w:val="single" w:color="000000" w:sz="4" w:space="0"/>
              <w:bottom w:val="single" w:color="000000" w:sz="4" w:space="0"/>
              <w:right w:val="single" w:color="000000" w:sz="4" w:space="0"/>
            </w:tcBorders>
            <w:noWrap w:val="0"/>
            <w:vAlign w:val="center"/>
          </w:tcPr>
          <w:p w14:paraId="54366F1C">
            <w:pPr>
              <w:jc w:val="center"/>
              <w:rPr>
                <w:rFonts w:hint="default" w:ascii="Times New Roman" w:hAnsi="Times New Roman" w:eastAsia="宋体" w:cs="Times New Roman"/>
                <w:i w:val="0"/>
                <w:iCs w:val="0"/>
                <w:color w:val="000000"/>
                <w:sz w:val="20"/>
                <w:szCs w:val="20"/>
                <w:u w:val="none"/>
              </w:rPr>
            </w:pPr>
          </w:p>
        </w:tc>
        <w:tc>
          <w:tcPr>
            <w:tcW w:w="2685" w:type="dxa"/>
            <w:vMerge w:val="continue"/>
            <w:tcBorders>
              <w:top w:val="nil"/>
              <w:left w:val="single" w:color="000000" w:sz="4" w:space="0"/>
              <w:bottom w:val="single" w:color="000000" w:sz="4" w:space="0"/>
              <w:right w:val="single" w:color="000000" w:sz="4" w:space="0"/>
            </w:tcBorders>
            <w:noWrap w:val="0"/>
            <w:vAlign w:val="center"/>
          </w:tcPr>
          <w:p w14:paraId="7E51DAD9">
            <w:pPr>
              <w:jc w:val="center"/>
              <w:rPr>
                <w:rFonts w:hint="default" w:ascii="Times New Roman" w:hAnsi="Times New Roman" w:eastAsia="宋体" w:cs="Times New Roman"/>
                <w:i w:val="0"/>
                <w:iCs w:val="0"/>
                <w:color w:val="000000"/>
                <w:sz w:val="20"/>
                <w:szCs w:val="20"/>
                <w:u w:val="none"/>
              </w:rPr>
            </w:pPr>
          </w:p>
        </w:tc>
        <w:tc>
          <w:tcPr>
            <w:tcW w:w="2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750C1">
            <w:pPr>
              <w:jc w:val="center"/>
              <w:rPr>
                <w:rFonts w:hint="default" w:ascii="Times New Roman" w:hAnsi="Times New Roman" w:eastAsia="宋体" w:cs="Times New Roman"/>
                <w:i w:val="0"/>
                <w:iCs w:val="0"/>
                <w:color w:val="000000"/>
                <w:sz w:val="20"/>
                <w:szCs w:val="20"/>
                <w:u w:val="none"/>
              </w:rPr>
            </w:pPr>
          </w:p>
        </w:tc>
      </w:tr>
      <w:tr w14:paraId="5544D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45D362B4">
            <w:pPr>
              <w:jc w:val="center"/>
              <w:rPr>
                <w:rFonts w:hint="default" w:ascii="Times New Roman" w:hAnsi="Times New Roman" w:eastAsia="宋体" w:cs="Times New Roman"/>
                <w:i w:val="0"/>
                <w:iCs w:val="0"/>
                <w:color w:val="000000"/>
                <w:sz w:val="20"/>
                <w:szCs w:val="20"/>
                <w:u w:val="none"/>
              </w:rPr>
            </w:pPr>
          </w:p>
        </w:tc>
        <w:tc>
          <w:tcPr>
            <w:tcW w:w="1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7AF9BA">
            <w:pPr>
              <w:jc w:val="center"/>
              <w:rPr>
                <w:rFonts w:hint="default" w:ascii="Times New Roman" w:hAnsi="Times New Roman" w:eastAsia="宋体" w:cs="Times New Roman"/>
                <w:i w:val="0"/>
                <w:iCs w:val="0"/>
                <w:color w:val="000000"/>
                <w:sz w:val="20"/>
                <w:szCs w:val="20"/>
                <w:u w:val="none"/>
              </w:rPr>
            </w:pPr>
          </w:p>
        </w:tc>
        <w:tc>
          <w:tcPr>
            <w:tcW w:w="2845" w:type="dxa"/>
            <w:vMerge w:val="continue"/>
            <w:tcBorders>
              <w:top w:val="nil"/>
              <w:left w:val="single" w:color="000000" w:sz="4" w:space="0"/>
              <w:bottom w:val="single" w:color="000000" w:sz="4" w:space="0"/>
              <w:right w:val="single" w:color="000000" w:sz="4" w:space="0"/>
            </w:tcBorders>
            <w:noWrap w:val="0"/>
            <w:vAlign w:val="center"/>
          </w:tcPr>
          <w:p w14:paraId="3EE311A9">
            <w:pPr>
              <w:jc w:val="center"/>
              <w:rPr>
                <w:rFonts w:hint="default" w:ascii="Times New Roman" w:hAnsi="Times New Roman" w:eastAsia="宋体" w:cs="Times New Roman"/>
                <w:i w:val="0"/>
                <w:iCs w:val="0"/>
                <w:color w:val="000000"/>
                <w:sz w:val="20"/>
                <w:szCs w:val="20"/>
                <w:u w:val="none"/>
              </w:rPr>
            </w:pPr>
          </w:p>
        </w:tc>
        <w:tc>
          <w:tcPr>
            <w:tcW w:w="2685" w:type="dxa"/>
            <w:vMerge w:val="continue"/>
            <w:tcBorders>
              <w:top w:val="nil"/>
              <w:left w:val="single" w:color="000000" w:sz="4" w:space="0"/>
              <w:bottom w:val="single" w:color="000000" w:sz="4" w:space="0"/>
              <w:right w:val="single" w:color="000000" w:sz="4" w:space="0"/>
            </w:tcBorders>
            <w:noWrap w:val="0"/>
            <w:vAlign w:val="center"/>
          </w:tcPr>
          <w:p w14:paraId="78A02443">
            <w:pPr>
              <w:jc w:val="center"/>
              <w:rPr>
                <w:rFonts w:hint="default" w:ascii="Times New Roman" w:hAnsi="Times New Roman" w:eastAsia="宋体" w:cs="Times New Roman"/>
                <w:i w:val="0"/>
                <w:iCs w:val="0"/>
                <w:color w:val="000000"/>
                <w:sz w:val="20"/>
                <w:szCs w:val="20"/>
                <w:u w:val="none"/>
              </w:rPr>
            </w:pPr>
          </w:p>
        </w:tc>
        <w:tc>
          <w:tcPr>
            <w:tcW w:w="2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CAEBB3">
            <w:pPr>
              <w:jc w:val="center"/>
              <w:rPr>
                <w:rFonts w:hint="default" w:ascii="Times New Roman" w:hAnsi="Times New Roman" w:eastAsia="宋体" w:cs="Times New Roman"/>
                <w:i w:val="0"/>
                <w:iCs w:val="0"/>
                <w:color w:val="000000"/>
                <w:sz w:val="20"/>
                <w:szCs w:val="20"/>
                <w:u w:val="none"/>
              </w:rPr>
            </w:pPr>
          </w:p>
        </w:tc>
      </w:tr>
      <w:tr w14:paraId="3EA71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82" w:type="dxa"/>
            <w:gridSpan w:val="3"/>
            <w:tcBorders>
              <w:top w:val="single" w:color="000000" w:sz="4" w:space="0"/>
              <w:left w:val="single" w:color="000000" w:sz="8" w:space="0"/>
              <w:bottom w:val="single" w:color="000000" w:sz="4" w:space="0"/>
              <w:right w:val="single" w:color="000000" w:sz="4" w:space="0"/>
            </w:tcBorders>
            <w:noWrap w:val="0"/>
            <w:vAlign w:val="center"/>
          </w:tcPr>
          <w:p w14:paraId="64F766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栏次</w:t>
            </w:r>
          </w:p>
        </w:tc>
        <w:tc>
          <w:tcPr>
            <w:tcW w:w="2845" w:type="dxa"/>
            <w:tcBorders>
              <w:top w:val="single" w:color="000000" w:sz="4" w:space="0"/>
              <w:left w:val="single" w:color="000000" w:sz="4" w:space="0"/>
              <w:bottom w:val="single" w:color="000000" w:sz="4" w:space="0"/>
              <w:right w:val="single" w:color="000000" w:sz="4" w:space="0"/>
            </w:tcBorders>
            <w:noWrap w:val="0"/>
            <w:vAlign w:val="center"/>
          </w:tcPr>
          <w:p w14:paraId="1450FF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noWrap w:val="0"/>
            <w:vAlign w:val="center"/>
          </w:tcPr>
          <w:p w14:paraId="259012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82" w:type="dxa"/>
            <w:tcBorders>
              <w:top w:val="single" w:color="000000" w:sz="4" w:space="0"/>
              <w:left w:val="single" w:color="000000" w:sz="4" w:space="0"/>
              <w:bottom w:val="single" w:color="000000" w:sz="4" w:space="0"/>
              <w:right w:val="single" w:color="000000" w:sz="4" w:space="0"/>
            </w:tcBorders>
            <w:noWrap w:val="0"/>
            <w:vAlign w:val="center"/>
          </w:tcPr>
          <w:p w14:paraId="22646E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r>
      <w:tr w14:paraId="14857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82" w:type="dxa"/>
            <w:gridSpan w:val="3"/>
            <w:tcBorders>
              <w:top w:val="nil"/>
              <w:left w:val="single" w:color="000000" w:sz="8" w:space="0"/>
              <w:bottom w:val="single" w:color="000000" w:sz="4" w:space="0"/>
              <w:right w:val="single" w:color="000000" w:sz="4" w:space="0"/>
            </w:tcBorders>
            <w:noWrap w:val="0"/>
            <w:vAlign w:val="center"/>
          </w:tcPr>
          <w:p w14:paraId="48739C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2845" w:type="dxa"/>
            <w:tcBorders>
              <w:top w:val="single" w:color="000000" w:sz="4" w:space="0"/>
              <w:left w:val="single" w:color="000000" w:sz="4" w:space="0"/>
              <w:bottom w:val="single" w:color="000000" w:sz="4" w:space="0"/>
              <w:right w:val="single" w:color="000000" w:sz="4" w:space="0"/>
            </w:tcBorders>
            <w:noWrap w:val="0"/>
            <w:vAlign w:val="center"/>
          </w:tcPr>
          <w:p w14:paraId="1681F796">
            <w:pPr>
              <w:jc w:val="center"/>
              <w:rPr>
                <w:rFonts w:hint="default" w:ascii="Times New Roman" w:hAnsi="Times New Roman" w:eastAsia="宋体" w:cs="Times New Roman"/>
                <w:i w:val="0"/>
                <w:iCs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noWrap w:val="0"/>
            <w:vAlign w:val="center"/>
          </w:tcPr>
          <w:p w14:paraId="4E4BEBFB">
            <w:pPr>
              <w:jc w:val="center"/>
              <w:rPr>
                <w:rFonts w:hint="default" w:ascii="Times New Roman" w:hAnsi="Times New Roman" w:eastAsia="宋体" w:cs="Times New Roman"/>
                <w:i w:val="0"/>
                <w:iCs w:val="0"/>
                <w:color w:val="000000"/>
                <w:sz w:val="20"/>
                <w:szCs w:val="20"/>
                <w:u w:val="none"/>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14:paraId="32150068">
            <w:pPr>
              <w:jc w:val="center"/>
              <w:rPr>
                <w:rFonts w:hint="default" w:ascii="Times New Roman" w:hAnsi="Times New Roman" w:eastAsia="宋体" w:cs="Times New Roman"/>
                <w:i w:val="0"/>
                <w:iCs w:val="0"/>
                <w:color w:val="000000"/>
                <w:sz w:val="20"/>
                <w:szCs w:val="20"/>
                <w:u w:val="none"/>
              </w:rPr>
            </w:pPr>
          </w:p>
        </w:tc>
      </w:tr>
      <w:tr w14:paraId="4BC84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tcBorders>
              <w:top w:val="single" w:color="000000" w:sz="4" w:space="0"/>
              <w:left w:val="single" w:color="000000" w:sz="8" w:space="0"/>
              <w:bottom w:val="single" w:color="000000" w:sz="4" w:space="0"/>
              <w:right w:val="single" w:color="000000" w:sz="4" w:space="0"/>
            </w:tcBorders>
            <w:noWrap w:val="0"/>
            <w:vAlign w:val="center"/>
          </w:tcPr>
          <w:p w14:paraId="72F99368">
            <w:pPr>
              <w:jc w:val="center"/>
              <w:rPr>
                <w:rFonts w:hint="default" w:ascii="Times New Roman" w:hAnsi="Times New Roman" w:eastAsia="宋体" w:cs="Times New Roman"/>
                <w:i w:val="0"/>
                <w:iCs w:val="0"/>
                <w:color w:val="000000"/>
                <w:sz w:val="20"/>
                <w:szCs w:val="20"/>
                <w:u w:val="none"/>
              </w:rPr>
            </w:pP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3F0430A8">
            <w:pPr>
              <w:rPr>
                <w:rFonts w:hint="default" w:ascii="Times New Roman" w:hAnsi="Times New Roman" w:eastAsia="宋体" w:cs="Times New Roman"/>
                <w:i w:val="0"/>
                <w:iCs w:val="0"/>
                <w:color w:val="000000"/>
                <w:sz w:val="20"/>
                <w:szCs w:val="20"/>
                <w:u w:val="none"/>
              </w:rPr>
            </w:pPr>
          </w:p>
        </w:tc>
        <w:tc>
          <w:tcPr>
            <w:tcW w:w="2845" w:type="dxa"/>
            <w:tcBorders>
              <w:top w:val="single" w:color="000000" w:sz="4" w:space="0"/>
              <w:left w:val="single" w:color="000000" w:sz="4" w:space="0"/>
              <w:bottom w:val="single" w:color="000000" w:sz="4" w:space="0"/>
              <w:right w:val="single" w:color="000000" w:sz="4" w:space="0"/>
            </w:tcBorders>
            <w:noWrap w:val="0"/>
            <w:vAlign w:val="center"/>
          </w:tcPr>
          <w:p w14:paraId="0D4F29A1">
            <w:pPr>
              <w:rPr>
                <w:rFonts w:hint="default" w:ascii="Times New Roman" w:hAnsi="Times New Roman" w:eastAsia="宋体" w:cs="Times New Roman"/>
                <w:i w:val="0"/>
                <w:iCs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noWrap w:val="0"/>
            <w:vAlign w:val="center"/>
          </w:tcPr>
          <w:p w14:paraId="7DD121F3">
            <w:pPr>
              <w:rPr>
                <w:rFonts w:hint="default" w:ascii="Times New Roman" w:hAnsi="Times New Roman" w:eastAsia="宋体" w:cs="Times New Roman"/>
                <w:i w:val="0"/>
                <w:iCs w:val="0"/>
                <w:color w:val="000000"/>
                <w:sz w:val="20"/>
                <w:szCs w:val="20"/>
                <w:u w:val="none"/>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14:paraId="2872956F">
            <w:pPr>
              <w:rPr>
                <w:rFonts w:hint="default" w:ascii="Times New Roman" w:hAnsi="Times New Roman" w:eastAsia="宋体" w:cs="Times New Roman"/>
                <w:i w:val="0"/>
                <w:iCs w:val="0"/>
                <w:color w:val="000000"/>
                <w:sz w:val="20"/>
                <w:szCs w:val="20"/>
                <w:u w:val="none"/>
              </w:rPr>
            </w:pPr>
          </w:p>
        </w:tc>
      </w:tr>
      <w:tr w14:paraId="0FADA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tcBorders>
              <w:top w:val="single" w:color="000000" w:sz="4" w:space="0"/>
              <w:left w:val="single" w:color="000000" w:sz="8" w:space="0"/>
              <w:bottom w:val="single" w:color="000000" w:sz="4" w:space="0"/>
              <w:right w:val="single" w:color="000000" w:sz="4" w:space="0"/>
            </w:tcBorders>
            <w:noWrap w:val="0"/>
            <w:vAlign w:val="center"/>
          </w:tcPr>
          <w:p w14:paraId="797D3B29">
            <w:pPr>
              <w:jc w:val="center"/>
              <w:rPr>
                <w:rFonts w:hint="default" w:ascii="Times New Roman" w:hAnsi="Times New Roman" w:eastAsia="宋体" w:cs="Times New Roman"/>
                <w:i w:val="0"/>
                <w:iCs w:val="0"/>
                <w:color w:val="000000"/>
                <w:sz w:val="20"/>
                <w:szCs w:val="20"/>
                <w:u w:val="none"/>
              </w:rPr>
            </w:pP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306806C1">
            <w:pPr>
              <w:rPr>
                <w:rFonts w:hint="default" w:ascii="Times New Roman" w:hAnsi="Times New Roman" w:eastAsia="宋体" w:cs="Times New Roman"/>
                <w:i w:val="0"/>
                <w:iCs w:val="0"/>
                <w:color w:val="000000"/>
                <w:sz w:val="20"/>
                <w:szCs w:val="20"/>
                <w:u w:val="none"/>
              </w:rPr>
            </w:pPr>
          </w:p>
        </w:tc>
        <w:tc>
          <w:tcPr>
            <w:tcW w:w="2845" w:type="dxa"/>
            <w:tcBorders>
              <w:top w:val="single" w:color="000000" w:sz="4" w:space="0"/>
              <w:left w:val="single" w:color="000000" w:sz="4" w:space="0"/>
              <w:bottom w:val="single" w:color="000000" w:sz="4" w:space="0"/>
              <w:right w:val="single" w:color="000000" w:sz="4" w:space="0"/>
            </w:tcBorders>
            <w:noWrap w:val="0"/>
            <w:vAlign w:val="center"/>
          </w:tcPr>
          <w:p w14:paraId="07683BD1">
            <w:pPr>
              <w:rPr>
                <w:rFonts w:hint="default" w:ascii="Times New Roman" w:hAnsi="Times New Roman" w:eastAsia="宋体" w:cs="Times New Roman"/>
                <w:i w:val="0"/>
                <w:iCs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noWrap w:val="0"/>
            <w:vAlign w:val="center"/>
          </w:tcPr>
          <w:p w14:paraId="675C930C">
            <w:pPr>
              <w:rPr>
                <w:rFonts w:hint="default" w:ascii="Times New Roman" w:hAnsi="Times New Roman" w:eastAsia="宋体" w:cs="Times New Roman"/>
                <w:i w:val="0"/>
                <w:iCs w:val="0"/>
                <w:color w:val="000000"/>
                <w:sz w:val="20"/>
                <w:szCs w:val="20"/>
                <w:u w:val="none"/>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14:paraId="68737385">
            <w:pPr>
              <w:rPr>
                <w:rFonts w:hint="default" w:ascii="Times New Roman" w:hAnsi="Times New Roman" w:eastAsia="宋体" w:cs="Times New Roman"/>
                <w:i w:val="0"/>
                <w:iCs w:val="0"/>
                <w:color w:val="000000"/>
                <w:sz w:val="20"/>
                <w:szCs w:val="20"/>
                <w:u w:val="none"/>
              </w:rPr>
            </w:pPr>
          </w:p>
        </w:tc>
      </w:tr>
      <w:tr w14:paraId="3BE5F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tcBorders>
              <w:top w:val="single" w:color="000000" w:sz="4" w:space="0"/>
              <w:left w:val="single" w:color="000000" w:sz="8" w:space="0"/>
              <w:bottom w:val="single" w:color="000000" w:sz="4" w:space="0"/>
              <w:right w:val="single" w:color="000000" w:sz="4" w:space="0"/>
            </w:tcBorders>
            <w:noWrap w:val="0"/>
            <w:vAlign w:val="center"/>
          </w:tcPr>
          <w:p w14:paraId="1A0C6293">
            <w:pPr>
              <w:jc w:val="center"/>
              <w:rPr>
                <w:rFonts w:hint="default" w:ascii="Times New Roman" w:hAnsi="Times New Roman" w:eastAsia="宋体" w:cs="Times New Roman"/>
                <w:i w:val="0"/>
                <w:iCs w:val="0"/>
                <w:color w:val="000000"/>
                <w:sz w:val="20"/>
                <w:szCs w:val="20"/>
                <w:u w:val="none"/>
              </w:rPr>
            </w:pP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02D64040">
            <w:pPr>
              <w:rPr>
                <w:rFonts w:hint="default" w:ascii="Times New Roman" w:hAnsi="Times New Roman" w:eastAsia="宋体" w:cs="Times New Roman"/>
                <w:i w:val="0"/>
                <w:iCs w:val="0"/>
                <w:color w:val="000000"/>
                <w:sz w:val="20"/>
                <w:szCs w:val="20"/>
                <w:u w:val="none"/>
              </w:rPr>
            </w:pPr>
          </w:p>
        </w:tc>
        <w:tc>
          <w:tcPr>
            <w:tcW w:w="2845" w:type="dxa"/>
            <w:tcBorders>
              <w:top w:val="single" w:color="000000" w:sz="4" w:space="0"/>
              <w:left w:val="single" w:color="000000" w:sz="4" w:space="0"/>
              <w:bottom w:val="single" w:color="000000" w:sz="4" w:space="0"/>
              <w:right w:val="single" w:color="000000" w:sz="4" w:space="0"/>
            </w:tcBorders>
            <w:noWrap w:val="0"/>
            <w:vAlign w:val="center"/>
          </w:tcPr>
          <w:p w14:paraId="56196411">
            <w:pPr>
              <w:rPr>
                <w:rFonts w:hint="default" w:ascii="Times New Roman" w:hAnsi="Times New Roman" w:eastAsia="宋体" w:cs="Times New Roman"/>
                <w:i w:val="0"/>
                <w:iCs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noWrap w:val="0"/>
            <w:vAlign w:val="center"/>
          </w:tcPr>
          <w:p w14:paraId="73F39795">
            <w:pPr>
              <w:rPr>
                <w:rFonts w:hint="default" w:ascii="Times New Roman" w:hAnsi="Times New Roman" w:eastAsia="宋体" w:cs="Times New Roman"/>
                <w:i w:val="0"/>
                <w:iCs w:val="0"/>
                <w:color w:val="000000"/>
                <w:sz w:val="20"/>
                <w:szCs w:val="20"/>
                <w:u w:val="none"/>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14:paraId="64E96279">
            <w:pPr>
              <w:rPr>
                <w:rFonts w:hint="default" w:ascii="Times New Roman" w:hAnsi="Times New Roman" w:eastAsia="宋体" w:cs="Times New Roman"/>
                <w:i w:val="0"/>
                <w:iCs w:val="0"/>
                <w:color w:val="000000"/>
                <w:sz w:val="20"/>
                <w:szCs w:val="20"/>
                <w:u w:val="none"/>
              </w:rPr>
            </w:pPr>
          </w:p>
        </w:tc>
      </w:tr>
      <w:tr w14:paraId="4BD44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tcBorders>
              <w:top w:val="single" w:color="000000" w:sz="4" w:space="0"/>
              <w:left w:val="single" w:color="000000" w:sz="8" w:space="0"/>
              <w:bottom w:val="single" w:color="000000" w:sz="4" w:space="0"/>
              <w:right w:val="single" w:color="000000" w:sz="4" w:space="0"/>
            </w:tcBorders>
            <w:noWrap w:val="0"/>
            <w:vAlign w:val="center"/>
          </w:tcPr>
          <w:p w14:paraId="04178AB0">
            <w:pPr>
              <w:jc w:val="center"/>
              <w:rPr>
                <w:rFonts w:hint="default" w:ascii="Times New Roman" w:hAnsi="Times New Roman" w:eastAsia="宋体" w:cs="Times New Roman"/>
                <w:i w:val="0"/>
                <w:iCs w:val="0"/>
                <w:color w:val="000000"/>
                <w:sz w:val="20"/>
                <w:szCs w:val="20"/>
                <w:u w:val="none"/>
              </w:rPr>
            </w:pP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2C0667F2">
            <w:pPr>
              <w:rPr>
                <w:rFonts w:hint="default" w:ascii="Times New Roman" w:hAnsi="Times New Roman" w:eastAsia="宋体" w:cs="Times New Roman"/>
                <w:i w:val="0"/>
                <w:iCs w:val="0"/>
                <w:color w:val="000000"/>
                <w:sz w:val="20"/>
                <w:szCs w:val="20"/>
                <w:u w:val="none"/>
              </w:rPr>
            </w:pPr>
          </w:p>
        </w:tc>
        <w:tc>
          <w:tcPr>
            <w:tcW w:w="2845" w:type="dxa"/>
            <w:tcBorders>
              <w:top w:val="single" w:color="000000" w:sz="4" w:space="0"/>
              <w:left w:val="single" w:color="000000" w:sz="4" w:space="0"/>
              <w:bottom w:val="single" w:color="000000" w:sz="4" w:space="0"/>
              <w:right w:val="single" w:color="000000" w:sz="4" w:space="0"/>
            </w:tcBorders>
            <w:noWrap w:val="0"/>
            <w:vAlign w:val="center"/>
          </w:tcPr>
          <w:p w14:paraId="0004BA77">
            <w:pPr>
              <w:rPr>
                <w:rFonts w:hint="default" w:ascii="Times New Roman" w:hAnsi="Times New Roman" w:eastAsia="宋体" w:cs="Times New Roman"/>
                <w:i w:val="0"/>
                <w:iCs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noWrap w:val="0"/>
            <w:vAlign w:val="center"/>
          </w:tcPr>
          <w:p w14:paraId="387D4525">
            <w:pPr>
              <w:rPr>
                <w:rFonts w:hint="default" w:ascii="Times New Roman" w:hAnsi="Times New Roman" w:eastAsia="宋体" w:cs="Times New Roman"/>
                <w:i w:val="0"/>
                <w:iCs w:val="0"/>
                <w:color w:val="000000"/>
                <w:sz w:val="20"/>
                <w:szCs w:val="20"/>
                <w:u w:val="none"/>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14:paraId="7CB06ECD">
            <w:pPr>
              <w:rPr>
                <w:rFonts w:hint="default" w:ascii="Times New Roman" w:hAnsi="Times New Roman" w:eastAsia="宋体" w:cs="Times New Roman"/>
                <w:i w:val="0"/>
                <w:iCs w:val="0"/>
                <w:color w:val="000000"/>
                <w:sz w:val="20"/>
                <w:szCs w:val="20"/>
                <w:u w:val="none"/>
              </w:rPr>
            </w:pPr>
          </w:p>
        </w:tc>
      </w:tr>
      <w:tr w14:paraId="0E4A5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tcBorders>
              <w:top w:val="single" w:color="000000" w:sz="4" w:space="0"/>
              <w:left w:val="single" w:color="000000" w:sz="8" w:space="0"/>
              <w:bottom w:val="single" w:color="000000" w:sz="4" w:space="0"/>
              <w:right w:val="single" w:color="000000" w:sz="4" w:space="0"/>
            </w:tcBorders>
            <w:noWrap w:val="0"/>
            <w:vAlign w:val="center"/>
          </w:tcPr>
          <w:p w14:paraId="43B83875">
            <w:pPr>
              <w:jc w:val="center"/>
              <w:rPr>
                <w:rFonts w:hint="default" w:ascii="Times New Roman" w:hAnsi="Times New Roman" w:eastAsia="宋体" w:cs="Times New Roman"/>
                <w:i w:val="0"/>
                <w:iCs w:val="0"/>
                <w:color w:val="000000"/>
                <w:sz w:val="20"/>
                <w:szCs w:val="20"/>
                <w:u w:val="none"/>
              </w:rPr>
            </w:pP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3FD1C194">
            <w:pPr>
              <w:rPr>
                <w:rFonts w:hint="default" w:ascii="Times New Roman" w:hAnsi="Times New Roman" w:eastAsia="宋体" w:cs="Times New Roman"/>
                <w:i w:val="0"/>
                <w:iCs w:val="0"/>
                <w:color w:val="000000"/>
                <w:sz w:val="20"/>
                <w:szCs w:val="20"/>
                <w:u w:val="none"/>
              </w:rPr>
            </w:pPr>
          </w:p>
        </w:tc>
        <w:tc>
          <w:tcPr>
            <w:tcW w:w="2845" w:type="dxa"/>
            <w:tcBorders>
              <w:top w:val="single" w:color="000000" w:sz="4" w:space="0"/>
              <w:left w:val="single" w:color="000000" w:sz="4" w:space="0"/>
              <w:bottom w:val="single" w:color="000000" w:sz="4" w:space="0"/>
              <w:right w:val="single" w:color="000000" w:sz="4" w:space="0"/>
            </w:tcBorders>
            <w:noWrap w:val="0"/>
            <w:vAlign w:val="center"/>
          </w:tcPr>
          <w:p w14:paraId="5B1246BD">
            <w:pPr>
              <w:rPr>
                <w:rFonts w:hint="default" w:ascii="Times New Roman" w:hAnsi="Times New Roman" w:eastAsia="宋体" w:cs="Times New Roman"/>
                <w:i w:val="0"/>
                <w:iCs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noWrap w:val="0"/>
            <w:vAlign w:val="center"/>
          </w:tcPr>
          <w:p w14:paraId="22CB70DF">
            <w:pPr>
              <w:rPr>
                <w:rFonts w:hint="default" w:ascii="Times New Roman" w:hAnsi="Times New Roman" w:eastAsia="宋体" w:cs="Times New Roman"/>
                <w:i w:val="0"/>
                <w:iCs w:val="0"/>
                <w:color w:val="000000"/>
                <w:sz w:val="20"/>
                <w:szCs w:val="20"/>
                <w:u w:val="none"/>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14:paraId="5E5B33FF">
            <w:pPr>
              <w:rPr>
                <w:rFonts w:hint="default" w:ascii="Times New Roman" w:hAnsi="Times New Roman" w:eastAsia="宋体" w:cs="Times New Roman"/>
                <w:i w:val="0"/>
                <w:iCs w:val="0"/>
                <w:color w:val="000000"/>
                <w:sz w:val="20"/>
                <w:szCs w:val="20"/>
                <w:u w:val="none"/>
              </w:rPr>
            </w:pPr>
          </w:p>
        </w:tc>
      </w:tr>
      <w:tr w14:paraId="471C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86" w:type="dxa"/>
            <w:gridSpan w:val="2"/>
            <w:tcBorders>
              <w:top w:val="single" w:color="000000" w:sz="4" w:space="0"/>
              <w:left w:val="single" w:color="000000" w:sz="8" w:space="0"/>
              <w:bottom w:val="single" w:color="auto" w:sz="4" w:space="0"/>
              <w:right w:val="single" w:color="000000" w:sz="4" w:space="0"/>
            </w:tcBorders>
            <w:noWrap w:val="0"/>
            <w:vAlign w:val="center"/>
          </w:tcPr>
          <w:p w14:paraId="35C3133D">
            <w:pPr>
              <w:jc w:val="center"/>
              <w:rPr>
                <w:rFonts w:hint="default" w:ascii="Times New Roman" w:hAnsi="Times New Roman" w:eastAsia="宋体" w:cs="Times New Roman"/>
                <w:i w:val="0"/>
                <w:iCs w:val="0"/>
                <w:color w:val="000000"/>
                <w:sz w:val="20"/>
                <w:szCs w:val="20"/>
                <w:u w:val="none"/>
              </w:rPr>
            </w:pPr>
          </w:p>
        </w:tc>
        <w:tc>
          <w:tcPr>
            <w:tcW w:w="1896" w:type="dxa"/>
            <w:tcBorders>
              <w:top w:val="single" w:color="000000" w:sz="4" w:space="0"/>
              <w:left w:val="single" w:color="000000" w:sz="4" w:space="0"/>
              <w:bottom w:val="single" w:color="auto" w:sz="4" w:space="0"/>
              <w:right w:val="single" w:color="000000" w:sz="4" w:space="0"/>
            </w:tcBorders>
            <w:noWrap w:val="0"/>
            <w:vAlign w:val="center"/>
          </w:tcPr>
          <w:p w14:paraId="347D36C1">
            <w:pPr>
              <w:rPr>
                <w:rFonts w:hint="default" w:ascii="Times New Roman" w:hAnsi="Times New Roman" w:eastAsia="宋体" w:cs="Times New Roman"/>
                <w:i w:val="0"/>
                <w:iCs w:val="0"/>
                <w:color w:val="000000"/>
                <w:sz w:val="20"/>
                <w:szCs w:val="20"/>
                <w:u w:val="none"/>
              </w:rPr>
            </w:pPr>
          </w:p>
        </w:tc>
        <w:tc>
          <w:tcPr>
            <w:tcW w:w="2845" w:type="dxa"/>
            <w:tcBorders>
              <w:top w:val="single" w:color="000000" w:sz="4" w:space="0"/>
              <w:left w:val="single" w:color="000000" w:sz="4" w:space="0"/>
              <w:bottom w:val="single" w:color="auto" w:sz="4" w:space="0"/>
              <w:right w:val="single" w:color="000000" w:sz="4" w:space="0"/>
            </w:tcBorders>
            <w:noWrap w:val="0"/>
            <w:vAlign w:val="center"/>
          </w:tcPr>
          <w:p w14:paraId="64E1E44E">
            <w:pPr>
              <w:rPr>
                <w:rFonts w:hint="default" w:ascii="Times New Roman" w:hAnsi="Times New Roman" w:eastAsia="宋体" w:cs="Times New Roman"/>
                <w:i w:val="0"/>
                <w:iCs w:val="0"/>
                <w:color w:val="000000"/>
                <w:sz w:val="20"/>
                <w:szCs w:val="20"/>
                <w:u w:val="none"/>
              </w:rPr>
            </w:pPr>
          </w:p>
        </w:tc>
        <w:tc>
          <w:tcPr>
            <w:tcW w:w="2685" w:type="dxa"/>
            <w:tcBorders>
              <w:top w:val="single" w:color="000000" w:sz="4" w:space="0"/>
              <w:left w:val="single" w:color="000000" w:sz="4" w:space="0"/>
              <w:bottom w:val="single" w:color="auto" w:sz="4" w:space="0"/>
              <w:right w:val="single" w:color="000000" w:sz="4" w:space="0"/>
            </w:tcBorders>
            <w:noWrap w:val="0"/>
            <w:vAlign w:val="center"/>
          </w:tcPr>
          <w:p w14:paraId="2A266B0A">
            <w:pPr>
              <w:rPr>
                <w:rFonts w:hint="default" w:ascii="Times New Roman" w:hAnsi="Times New Roman" w:eastAsia="宋体" w:cs="Times New Roman"/>
                <w:i w:val="0"/>
                <w:iCs w:val="0"/>
                <w:color w:val="000000"/>
                <w:sz w:val="20"/>
                <w:szCs w:val="20"/>
                <w:u w:val="none"/>
              </w:rPr>
            </w:pPr>
          </w:p>
        </w:tc>
        <w:tc>
          <w:tcPr>
            <w:tcW w:w="2782" w:type="dxa"/>
            <w:tcBorders>
              <w:top w:val="single" w:color="000000" w:sz="4" w:space="0"/>
              <w:left w:val="single" w:color="000000" w:sz="4" w:space="0"/>
              <w:bottom w:val="single" w:color="auto" w:sz="4" w:space="0"/>
              <w:right w:val="single" w:color="000000" w:sz="4" w:space="0"/>
            </w:tcBorders>
            <w:noWrap w:val="0"/>
            <w:vAlign w:val="center"/>
          </w:tcPr>
          <w:p w14:paraId="74E543C4">
            <w:pPr>
              <w:rPr>
                <w:rFonts w:hint="default" w:ascii="Times New Roman" w:hAnsi="Times New Roman" w:eastAsia="宋体" w:cs="Times New Roman"/>
                <w:i w:val="0"/>
                <w:iCs w:val="0"/>
                <w:color w:val="000000"/>
                <w:sz w:val="20"/>
                <w:szCs w:val="20"/>
                <w:u w:val="none"/>
              </w:rPr>
            </w:pPr>
          </w:p>
        </w:tc>
      </w:tr>
      <w:tr w14:paraId="7AE32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2494" w:type="dxa"/>
            <w:gridSpan w:val="6"/>
            <w:tcBorders>
              <w:top w:val="single" w:color="auto" w:sz="4" w:space="0"/>
              <w:left w:val="nil"/>
              <w:bottom w:val="nil"/>
              <w:right w:val="nil"/>
            </w:tcBorders>
            <w:noWrap w:val="0"/>
            <w:vAlign w:val="center"/>
          </w:tcPr>
          <w:p w14:paraId="60A194C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2"/>
                <w:szCs w:val="22"/>
                <w:u w:val="none"/>
                <w:lang w:val="en-US" w:eastAsia="zh-CN" w:bidi="ar"/>
              </w:rPr>
              <w:t>注：本表反映单位本年度国有资本经营预算财政拨款支出情况。</w:t>
            </w:r>
          </w:p>
        </w:tc>
      </w:tr>
      <w:tr w14:paraId="18949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2494" w:type="dxa"/>
            <w:gridSpan w:val="6"/>
            <w:tcBorders>
              <w:top w:val="nil"/>
              <w:left w:val="nil"/>
              <w:bottom w:val="nil"/>
              <w:right w:val="nil"/>
            </w:tcBorders>
            <w:noWrap w:val="0"/>
            <w:vAlign w:val="center"/>
          </w:tcPr>
          <w:p w14:paraId="361D6E5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说明:本单位无国有资本经营预算财政拨款。</w:t>
            </w:r>
          </w:p>
        </w:tc>
      </w:tr>
    </w:tbl>
    <w:p w14:paraId="55874164">
      <w:pPr>
        <w:jc w:val="center"/>
        <w:rPr>
          <w:rFonts w:hint="default" w:ascii="Times New Roman" w:hAnsi="Times New Roman" w:eastAsia="仿宋" w:cs="Times New Roman"/>
          <w:sz w:val="44"/>
        </w:rPr>
      </w:pPr>
    </w:p>
    <w:p w14:paraId="4281FA91">
      <w:pPr>
        <w:jc w:val="both"/>
        <w:rPr>
          <w:rFonts w:hint="default" w:ascii="Times New Roman" w:hAnsi="Times New Roman" w:eastAsia="仿宋" w:cs="Times New Roman"/>
          <w:sz w:val="44"/>
        </w:rPr>
      </w:pPr>
    </w:p>
    <w:p w14:paraId="38813A41">
      <w:pPr>
        <w:ind w:firstLine="640" w:firstLineChars="200"/>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九、财政拨款“三公”经费支出决算表</w:t>
      </w: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5"/>
        <w:gridCol w:w="1167"/>
        <w:gridCol w:w="1165"/>
        <w:gridCol w:w="360"/>
        <w:gridCol w:w="805"/>
        <w:gridCol w:w="404"/>
        <w:gridCol w:w="761"/>
        <w:gridCol w:w="1350"/>
        <w:gridCol w:w="990"/>
        <w:gridCol w:w="1365"/>
        <w:gridCol w:w="1100"/>
        <w:gridCol w:w="585"/>
        <w:gridCol w:w="515"/>
        <w:gridCol w:w="370"/>
        <w:gridCol w:w="730"/>
        <w:gridCol w:w="1328"/>
      </w:tblGrid>
      <w:tr w14:paraId="5B8F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4000" w:type="dxa"/>
            <w:gridSpan w:val="16"/>
            <w:tcBorders>
              <w:top w:val="nil"/>
              <w:left w:val="nil"/>
              <w:bottom w:val="nil"/>
              <w:right w:val="nil"/>
            </w:tcBorders>
            <w:shd w:val="clear" w:color="auto" w:fill="FFFFFF"/>
            <w:noWrap w:val="0"/>
            <w:vAlign w:val="center"/>
          </w:tcPr>
          <w:p w14:paraId="6B3878C3">
            <w:pPr>
              <w:keepNext w:val="0"/>
              <w:keepLines w:val="0"/>
              <w:widowControl/>
              <w:suppressLineNumbers w:val="0"/>
              <w:jc w:val="center"/>
              <w:textAlignment w:val="center"/>
              <w:rPr>
                <w:rFonts w:hint="default" w:ascii="Times New Roman" w:hAnsi="Times New Roman" w:eastAsia="华文中宋" w:cs="Times New Roman"/>
                <w:i w:val="0"/>
                <w:iCs w:val="0"/>
                <w:color w:val="000000"/>
                <w:sz w:val="32"/>
                <w:szCs w:val="32"/>
                <w:u w:val="none"/>
              </w:rPr>
            </w:pPr>
            <w:r>
              <w:rPr>
                <w:rFonts w:hint="default" w:ascii="Times New Roman" w:hAnsi="Times New Roman" w:eastAsia="华文中宋" w:cs="Times New Roman"/>
                <w:i w:val="0"/>
                <w:iCs w:val="0"/>
                <w:color w:val="000000"/>
                <w:kern w:val="0"/>
                <w:sz w:val="24"/>
                <w:szCs w:val="24"/>
                <w:u w:val="none"/>
                <w:lang w:val="en-US" w:eastAsia="zh-CN" w:bidi="ar"/>
              </w:rPr>
              <w:t>财政拨款“三公”经费支出决算表</w:t>
            </w:r>
          </w:p>
        </w:tc>
      </w:tr>
      <w:tr w14:paraId="0AC2D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05" w:type="dxa"/>
            <w:tcBorders>
              <w:top w:val="nil"/>
              <w:left w:val="nil"/>
              <w:bottom w:val="nil"/>
              <w:right w:val="nil"/>
            </w:tcBorders>
            <w:shd w:val="clear" w:color="auto" w:fill="FFFFFF"/>
            <w:noWrap w:val="0"/>
            <w:vAlign w:val="center"/>
          </w:tcPr>
          <w:p w14:paraId="647F8888">
            <w:pPr>
              <w:rPr>
                <w:rFonts w:hint="default" w:ascii="Times New Roman" w:hAnsi="Times New Roman" w:eastAsia="宋体" w:cs="Times New Roman"/>
                <w:i w:val="0"/>
                <w:iCs w:val="0"/>
                <w:color w:val="000000"/>
                <w:sz w:val="20"/>
                <w:szCs w:val="20"/>
                <w:u w:val="none"/>
              </w:rPr>
            </w:pPr>
          </w:p>
        </w:tc>
        <w:tc>
          <w:tcPr>
            <w:tcW w:w="1167" w:type="dxa"/>
            <w:tcBorders>
              <w:top w:val="nil"/>
              <w:left w:val="nil"/>
              <w:bottom w:val="nil"/>
              <w:right w:val="nil"/>
            </w:tcBorders>
            <w:shd w:val="clear" w:color="auto" w:fill="FFFFFF"/>
            <w:noWrap w:val="0"/>
            <w:vAlign w:val="center"/>
          </w:tcPr>
          <w:p w14:paraId="38E0C4A3">
            <w:pPr>
              <w:rPr>
                <w:rFonts w:hint="default" w:ascii="Times New Roman" w:hAnsi="Times New Roman" w:eastAsia="宋体" w:cs="Times New Roman"/>
                <w:i w:val="0"/>
                <w:iCs w:val="0"/>
                <w:color w:val="000000"/>
                <w:sz w:val="20"/>
                <w:szCs w:val="20"/>
                <w:u w:val="none"/>
              </w:rPr>
            </w:pPr>
          </w:p>
        </w:tc>
        <w:tc>
          <w:tcPr>
            <w:tcW w:w="1525" w:type="dxa"/>
            <w:gridSpan w:val="2"/>
            <w:tcBorders>
              <w:top w:val="nil"/>
              <w:left w:val="nil"/>
              <w:bottom w:val="nil"/>
              <w:right w:val="nil"/>
            </w:tcBorders>
            <w:shd w:val="clear" w:color="auto" w:fill="FFFFFF"/>
            <w:noWrap w:val="0"/>
            <w:vAlign w:val="center"/>
          </w:tcPr>
          <w:p w14:paraId="16F8CCA7">
            <w:pPr>
              <w:rPr>
                <w:rFonts w:hint="default" w:ascii="Times New Roman" w:hAnsi="Times New Roman" w:eastAsia="宋体" w:cs="Times New Roman"/>
                <w:i w:val="0"/>
                <w:iCs w:val="0"/>
                <w:color w:val="000000"/>
                <w:sz w:val="20"/>
                <w:szCs w:val="20"/>
                <w:u w:val="none"/>
              </w:rPr>
            </w:pPr>
          </w:p>
        </w:tc>
        <w:tc>
          <w:tcPr>
            <w:tcW w:w="1209" w:type="dxa"/>
            <w:gridSpan w:val="2"/>
            <w:tcBorders>
              <w:top w:val="nil"/>
              <w:left w:val="nil"/>
              <w:bottom w:val="nil"/>
              <w:right w:val="nil"/>
            </w:tcBorders>
            <w:shd w:val="clear" w:color="auto" w:fill="FFFFFF"/>
            <w:noWrap w:val="0"/>
            <w:vAlign w:val="center"/>
          </w:tcPr>
          <w:p w14:paraId="779827A2">
            <w:pPr>
              <w:rPr>
                <w:rFonts w:hint="default" w:ascii="Times New Roman" w:hAnsi="Times New Roman" w:eastAsia="宋体" w:cs="Times New Roman"/>
                <w:i w:val="0"/>
                <w:iCs w:val="0"/>
                <w:color w:val="000000"/>
                <w:sz w:val="20"/>
                <w:szCs w:val="20"/>
                <w:u w:val="none"/>
              </w:rPr>
            </w:pPr>
          </w:p>
        </w:tc>
        <w:tc>
          <w:tcPr>
            <w:tcW w:w="761" w:type="dxa"/>
            <w:tcBorders>
              <w:top w:val="nil"/>
              <w:left w:val="nil"/>
              <w:bottom w:val="nil"/>
              <w:right w:val="nil"/>
            </w:tcBorders>
            <w:shd w:val="clear" w:color="auto" w:fill="FFFFFF"/>
            <w:noWrap w:val="0"/>
            <w:vAlign w:val="center"/>
          </w:tcPr>
          <w:p w14:paraId="0CB75194">
            <w:pPr>
              <w:rPr>
                <w:rFonts w:hint="default" w:ascii="Times New Roman" w:hAnsi="Times New Roman" w:eastAsia="宋体" w:cs="Times New Roman"/>
                <w:i w:val="0"/>
                <w:iCs w:val="0"/>
                <w:color w:val="000000"/>
                <w:sz w:val="20"/>
                <w:szCs w:val="20"/>
                <w:u w:val="none"/>
              </w:rPr>
            </w:pPr>
          </w:p>
        </w:tc>
        <w:tc>
          <w:tcPr>
            <w:tcW w:w="1350" w:type="dxa"/>
            <w:tcBorders>
              <w:top w:val="nil"/>
              <w:left w:val="nil"/>
              <w:bottom w:val="nil"/>
              <w:right w:val="nil"/>
            </w:tcBorders>
            <w:shd w:val="clear" w:color="auto" w:fill="FFFFFF"/>
            <w:noWrap w:val="0"/>
            <w:vAlign w:val="center"/>
          </w:tcPr>
          <w:p w14:paraId="74063B66">
            <w:pPr>
              <w:rPr>
                <w:rFonts w:hint="default" w:ascii="Times New Roman" w:hAnsi="Times New Roman" w:eastAsia="宋体" w:cs="Times New Roman"/>
                <w:i w:val="0"/>
                <w:iCs w:val="0"/>
                <w:color w:val="000000"/>
                <w:sz w:val="20"/>
                <w:szCs w:val="20"/>
                <w:u w:val="none"/>
              </w:rPr>
            </w:pPr>
          </w:p>
        </w:tc>
        <w:tc>
          <w:tcPr>
            <w:tcW w:w="990" w:type="dxa"/>
            <w:tcBorders>
              <w:top w:val="nil"/>
              <w:left w:val="nil"/>
              <w:bottom w:val="nil"/>
              <w:right w:val="nil"/>
            </w:tcBorders>
            <w:shd w:val="clear" w:color="auto" w:fill="FFFFFF"/>
            <w:noWrap w:val="0"/>
            <w:vAlign w:val="center"/>
          </w:tcPr>
          <w:p w14:paraId="56A4D822">
            <w:pPr>
              <w:rPr>
                <w:rFonts w:hint="default" w:ascii="Times New Roman" w:hAnsi="Times New Roman" w:eastAsia="宋体" w:cs="Times New Roman"/>
                <w:i w:val="0"/>
                <w:iCs w:val="0"/>
                <w:color w:val="000000"/>
                <w:sz w:val="20"/>
                <w:szCs w:val="20"/>
                <w:u w:val="none"/>
              </w:rPr>
            </w:pPr>
          </w:p>
        </w:tc>
        <w:tc>
          <w:tcPr>
            <w:tcW w:w="1365" w:type="dxa"/>
            <w:tcBorders>
              <w:top w:val="nil"/>
              <w:left w:val="nil"/>
              <w:bottom w:val="nil"/>
              <w:right w:val="nil"/>
            </w:tcBorders>
            <w:shd w:val="clear" w:color="auto" w:fill="FFFFFF"/>
            <w:noWrap w:val="0"/>
            <w:vAlign w:val="center"/>
          </w:tcPr>
          <w:p w14:paraId="686D2D4F">
            <w:pPr>
              <w:rPr>
                <w:rFonts w:hint="default" w:ascii="Times New Roman" w:hAnsi="Times New Roman" w:eastAsia="宋体" w:cs="Times New Roman"/>
                <w:i w:val="0"/>
                <w:iCs w:val="0"/>
                <w:color w:val="000000"/>
                <w:sz w:val="20"/>
                <w:szCs w:val="20"/>
                <w:u w:val="none"/>
              </w:rPr>
            </w:pPr>
          </w:p>
        </w:tc>
        <w:tc>
          <w:tcPr>
            <w:tcW w:w="1685" w:type="dxa"/>
            <w:gridSpan w:val="2"/>
            <w:tcBorders>
              <w:top w:val="nil"/>
              <w:left w:val="nil"/>
              <w:bottom w:val="nil"/>
              <w:right w:val="nil"/>
            </w:tcBorders>
            <w:shd w:val="clear" w:color="auto" w:fill="FFFFFF"/>
            <w:noWrap w:val="0"/>
            <w:vAlign w:val="center"/>
          </w:tcPr>
          <w:p w14:paraId="3DA0B8B4">
            <w:pPr>
              <w:rPr>
                <w:rFonts w:hint="default" w:ascii="Times New Roman" w:hAnsi="Times New Roman" w:eastAsia="宋体" w:cs="Times New Roman"/>
                <w:i w:val="0"/>
                <w:iCs w:val="0"/>
                <w:color w:val="000000"/>
                <w:sz w:val="20"/>
                <w:szCs w:val="20"/>
                <w:u w:val="none"/>
              </w:rPr>
            </w:pPr>
          </w:p>
        </w:tc>
        <w:tc>
          <w:tcPr>
            <w:tcW w:w="885" w:type="dxa"/>
            <w:gridSpan w:val="2"/>
            <w:tcBorders>
              <w:top w:val="nil"/>
              <w:left w:val="nil"/>
              <w:bottom w:val="nil"/>
              <w:right w:val="nil"/>
            </w:tcBorders>
            <w:shd w:val="clear" w:color="auto" w:fill="FFFFFF"/>
            <w:noWrap w:val="0"/>
            <w:vAlign w:val="center"/>
          </w:tcPr>
          <w:p w14:paraId="3DD5A361">
            <w:pPr>
              <w:rPr>
                <w:rFonts w:hint="default" w:ascii="Times New Roman" w:hAnsi="Times New Roman" w:eastAsia="宋体" w:cs="Times New Roman"/>
                <w:i w:val="0"/>
                <w:iCs w:val="0"/>
                <w:color w:val="000000"/>
                <w:sz w:val="20"/>
                <w:szCs w:val="20"/>
                <w:u w:val="none"/>
              </w:rPr>
            </w:pPr>
          </w:p>
        </w:tc>
        <w:tc>
          <w:tcPr>
            <w:tcW w:w="730" w:type="dxa"/>
            <w:tcBorders>
              <w:top w:val="nil"/>
              <w:left w:val="nil"/>
              <w:bottom w:val="nil"/>
              <w:right w:val="nil"/>
            </w:tcBorders>
            <w:shd w:val="clear" w:color="auto" w:fill="FFFFFF"/>
            <w:noWrap w:val="0"/>
            <w:vAlign w:val="center"/>
          </w:tcPr>
          <w:p w14:paraId="78032FB2">
            <w:pPr>
              <w:rPr>
                <w:rFonts w:hint="default" w:ascii="Times New Roman" w:hAnsi="Times New Roman" w:eastAsia="宋体" w:cs="Times New Roman"/>
                <w:i w:val="0"/>
                <w:iCs w:val="0"/>
                <w:color w:val="000000"/>
                <w:sz w:val="20"/>
                <w:szCs w:val="20"/>
                <w:u w:val="none"/>
              </w:rPr>
            </w:pPr>
          </w:p>
        </w:tc>
        <w:tc>
          <w:tcPr>
            <w:tcW w:w="1328" w:type="dxa"/>
            <w:tcBorders>
              <w:top w:val="nil"/>
              <w:left w:val="nil"/>
              <w:bottom w:val="nil"/>
              <w:right w:val="nil"/>
            </w:tcBorders>
            <w:shd w:val="clear" w:color="auto" w:fill="FFFFFF"/>
            <w:noWrap w:val="0"/>
            <w:vAlign w:val="center"/>
          </w:tcPr>
          <w:p w14:paraId="5086972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公开09表</w:t>
            </w:r>
          </w:p>
        </w:tc>
      </w:tr>
      <w:tr w14:paraId="456FE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3697" w:type="dxa"/>
            <w:gridSpan w:val="4"/>
            <w:tcBorders>
              <w:top w:val="nil"/>
              <w:left w:val="nil"/>
              <w:bottom w:val="nil"/>
              <w:right w:val="nil"/>
            </w:tcBorders>
            <w:shd w:val="clear" w:color="auto" w:fill="FFFFFF"/>
            <w:noWrap w:val="0"/>
            <w:vAlign w:val="center"/>
          </w:tcPr>
          <w:p w14:paraId="3595D004">
            <w:pP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单位：和龙市统计局</w:t>
            </w:r>
          </w:p>
        </w:tc>
        <w:tc>
          <w:tcPr>
            <w:tcW w:w="1209" w:type="dxa"/>
            <w:gridSpan w:val="2"/>
            <w:tcBorders>
              <w:top w:val="nil"/>
              <w:left w:val="nil"/>
              <w:bottom w:val="nil"/>
              <w:right w:val="nil"/>
            </w:tcBorders>
            <w:shd w:val="clear" w:color="auto" w:fill="FFFFFF"/>
            <w:noWrap w:val="0"/>
            <w:vAlign w:val="center"/>
          </w:tcPr>
          <w:p w14:paraId="31F73748">
            <w:pPr>
              <w:rPr>
                <w:rFonts w:hint="default" w:ascii="Times New Roman" w:hAnsi="Times New Roman" w:eastAsia="宋体" w:cs="Times New Roman"/>
                <w:i w:val="0"/>
                <w:iCs w:val="0"/>
                <w:color w:val="000000"/>
                <w:sz w:val="20"/>
                <w:szCs w:val="20"/>
                <w:u w:val="none"/>
              </w:rPr>
            </w:pPr>
          </w:p>
        </w:tc>
        <w:tc>
          <w:tcPr>
            <w:tcW w:w="761" w:type="dxa"/>
            <w:tcBorders>
              <w:top w:val="nil"/>
              <w:left w:val="nil"/>
              <w:bottom w:val="nil"/>
              <w:right w:val="nil"/>
            </w:tcBorders>
            <w:shd w:val="clear" w:color="auto" w:fill="FFFFFF"/>
            <w:noWrap w:val="0"/>
            <w:vAlign w:val="center"/>
          </w:tcPr>
          <w:p w14:paraId="11F8EDB2">
            <w:pPr>
              <w:rPr>
                <w:rFonts w:hint="default" w:ascii="Times New Roman" w:hAnsi="Times New Roman" w:eastAsia="宋体" w:cs="Times New Roman"/>
                <w:i w:val="0"/>
                <w:iCs w:val="0"/>
                <w:color w:val="000000"/>
                <w:sz w:val="20"/>
                <w:szCs w:val="20"/>
                <w:u w:val="none"/>
              </w:rPr>
            </w:pPr>
          </w:p>
        </w:tc>
        <w:tc>
          <w:tcPr>
            <w:tcW w:w="1350" w:type="dxa"/>
            <w:tcBorders>
              <w:top w:val="nil"/>
              <w:left w:val="nil"/>
              <w:bottom w:val="nil"/>
              <w:right w:val="nil"/>
            </w:tcBorders>
            <w:shd w:val="clear" w:color="auto" w:fill="FFFFFF"/>
            <w:noWrap w:val="0"/>
            <w:vAlign w:val="center"/>
          </w:tcPr>
          <w:p w14:paraId="2E1AB82A">
            <w:pPr>
              <w:rPr>
                <w:rFonts w:hint="default" w:ascii="Times New Roman" w:hAnsi="Times New Roman" w:eastAsia="宋体" w:cs="Times New Roman"/>
                <w:i w:val="0"/>
                <w:iCs w:val="0"/>
                <w:color w:val="000000"/>
                <w:sz w:val="20"/>
                <w:szCs w:val="20"/>
                <w:u w:val="none"/>
              </w:rPr>
            </w:pPr>
          </w:p>
        </w:tc>
        <w:tc>
          <w:tcPr>
            <w:tcW w:w="990" w:type="dxa"/>
            <w:tcBorders>
              <w:top w:val="nil"/>
              <w:left w:val="nil"/>
              <w:bottom w:val="nil"/>
              <w:right w:val="nil"/>
            </w:tcBorders>
            <w:shd w:val="clear" w:color="auto" w:fill="FFFFFF"/>
            <w:noWrap w:val="0"/>
            <w:vAlign w:val="center"/>
          </w:tcPr>
          <w:p w14:paraId="39D4FB6B">
            <w:pPr>
              <w:rPr>
                <w:rFonts w:hint="default" w:ascii="Times New Roman" w:hAnsi="Times New Roman" w:eastAsia="宋体" w:cs="Times New Roman"/>
                <w:i w:val="0"/>
                <w:iCs w:val="0"/>
                <w:color w:val="000000"/>
                <w:sz w:val="20"/>
                <w:szCs w:val="20"/>
                <w:u w:val="none"/>
              </w:rPr>
            </w:pPr>
          </w:p>
        </w:tc>
        <w:tc>
          <w:tcPr>
            <w:tcW w:w="1365" w:type="dxa"/>
            <w:tcBorders>
              <w:top w:val="nil"/>
              <w:left w:val="nil"/>
              <w:bottom w:val="nil"/>
              <w:right w:val="nil"/>
            </w:tcBorders>
            <w:shd w:val="clear" w:color="auto" w:fill="FFFFFF"/>
            <w:noWrap w:val="0"/>
            <w:vAlign w:val="center"/>
          </w:tcPr>
          <w:p w14:paraId="677BE83A">
            <w:pPr>
              <w:rPr>
                <w:rFonts w:hint="default" w:ascii="Times New Roman" w:hAnsi="Times New Roman" w:eastAsia="宋体" w:cs="Times New Roman"/>
                <w:i w:val="0"/>
                <w:iCs w:val="0"/>
                <w:color w:val="000000"/>
                <w:sz w:val="20"/>
                <w:szCs w:val="20"/>
                <w:u w:val="none"/>
              </w:rPr>
            </w:pPr>
          </w:p>
        </w:tc>
        <w:tc>
          <w:tcPr>
            <w:tcW w:w="1685" w:type="dxa"/>
            <w:gridSpan w:val="2"/>
            <w:tcBorders>
              <w:top w:val="nil"/>
              <w:left w:val="nil"/>
              <w:bottom w:val="nil"/>
              <w:right w:val="nil"/>
            </w:tcBorders>
            <w:shd w:val="clear" w:color="auto" w:fill="FFFFFF"/>
            <w:noWrap w:val="0"/>
            <w:vAlign w:val="center"/>
          </w:tcPr>
          <w:p w14:paraId="6D2CCA61">
            <w:pPr>
              <w:rPr>
                <w:rFonts w:hint="default" w:ascii="Times New Roman" w:hAnsi="Times New Roman" w:eastAsia="宋体" w:cs="Times New Roman"/>
                <w:i w:val="0"/>
                <w:iCs w:val="0"/>
                <w:color w:val="000000"/>
                <w:sz w:val="20"/>
                <w:szCs w:val="20"/>
                <w:u w:val="none"/>
              </w:rPr>
            </w:pPr>
          </w:p>
        </w:tc>
        <w:tc>
          <w:tcPr>
            <w:tcW w:w="885" w:type="dxa"/>
            <w:gridSpan w:val="2"/>
            <w:tcBorders>
              <w:top w:val="nil"/>
              <w:left w:val="nil"/>
              <w:bottom w:val="nil"/>
              <w:right w:val="nil"/>
            </w:tcBorders>
            <w:shd w:val="clear" w:color="auto" w:fill="FFFFFF"/>
            <w:noWrap w:val="0"/>
            <w:vAlign w:val="center"/>
          </w:tcPr>
          <w:p w14:paraId="7F4F65C8">
            <w:pPr>
              <w:rPr>
                <w:rFonts w:hint="default" w:ascii="Times New Roman" w:hAnsi="Times New Roman" w:eastAsia="宋体" w:cs="Times New Roman"/>
                <w:i w:val="0"/>
                <w:iCs w:val="0"/>
                <w:color w:val="000000"/>
                <w:sz w:val="20"/>
                <w:szCs w:val="20"/>
                <w:u w:val="none"/>
              </w:rPr>
            </w:pPr>
          </w:p>
        </w:tc>
        <w:tc>
          <w:tcPr>
            <w:tcW w:w="730" w:type="dxa"/>
            <w:tcBorders>
              <w:top w:val="nil"/>
              <w:left w:val="nil"/>
              <w:bottom w:val="nil"/>
              <w:right w:val="nil"/>
            </w:tcBorders>
            <w:shd w:val="clear" w:color="auto" w:fill="FFFFFF"/>
            <w:noWrap w:val="0"/>
            <w:vAlign w:val="center"/>
          </w:tcPr>
          <w:p w14:paraId="45F988D5">
            <w:pPr>
              <w:rPr>
                <w:rFonts w:hint="default" w:ascii="Times New Roman" w:hAnsi="Times New Roman" w:eastAsia="宋体" w:cs="Times New Roman"/>
                <w:i w:val="0"/>
                <w:iCs w:val="0"/>
                <w:color w:val="000000"/>
                <w:sz w:val="20"/>
                <w:szCs w:val="20"/>
                <w:u w:val="none"/>
              </w:rPr>
            </w:pPr>
          </w:p>
        </w:tc>
        <w:tc>
          <w:tcPr>
            <w:tcW w:w="1328" w:type="dxa"/>
            <w:tcBorders>
              <w:top w:val="nil"/>
              <w:left w:val="nil"/>
              <w:bottom w:val="nil"/>
              <w:right w:val="nil"/>
            </w:tcBorders>
            <w:shd w:val="clear" w:color="auto" w:fill="FFFFFF"/>
            <w:noWrap w:val="0"/>
            <w:vAlign w:val="center"/>
          </w:tcPr>
          <w:p w14:paraId="4A66FEB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单位：万元</w:t>
            </w:r>
          </w:p>
        </w:tc>
      </w:tr>
      <w:tr w14:paraId="36D9F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7017" w:type="dxa"/>
            <w:gridSpan w:val="8"/>
            <w:tcBorders>
              <w:top w:val="single" w:color="000000" w:sz="4" w:space="0"/>
              <w:left w:val="single" w:color="000000" w:sz="4" w:space="0"/>
              <w:bottom w:val="single" w:color="000000" w:sz="4" w:space="0"/>
              <w:right w:val="single" w:color="000000" w:sz="4" w:space="0"/>
            </w:tcBorders>
            <w:noWrap w:val="0"/>
            <w:vAlign w:val="center"/>
          </w:tcPr>
          <w:p w14:paraId="5C170A6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预算数</w:t>
            </w:r>
          </w:p>
        </w:tc>
        <w:tc>
          <w:tcPr>
            <w:tcW w:w="6983" w:type="dxa"/>
            <w:gridSpan w:val="8"/>
            <w:tcBorders>
              <w:top w:val="single" w:color="000000" w:sz="4" w:space="0"/>
              <w:left w:val="single" w:color="000000" w:sz="4" w:space="0"/>
              <w:bottom w:val="single" w:color="000000" w:sz="4" w:space="0"/>
              <w:right w:val="single" w:color="000000" w:sz="4" w:space="0"/>
            </w:tcBorders>
            <w:noWrap w:val="0"/>
            <w:vAlign w:val="center"/>
          </w:tcPr>
          <w:p w14:paraId="79B59C1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决算数</w:t>
            </w:r>
          </w:p>
        </w:tc>
      </w:tr>
      <w:tr w14:paraId="5557A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005" w:type="dxa"/>
            <w:vMerge w:val="restart"/>
            <w:tcBorders>
              <w:top w:val="single" w:color="000000" w:sz="4" w:space="0"/>
              <w:left w:val="single" w:color="000000" w:sz="4" w:space="0"/>
              <w:bottom w:val="single" w:color="000000" w:sz="4" w:space="0"/>
              <w:right w:val="single" w:color="000000" w:sz="4" w:space="0"/>
            </w:tcBorders>
            <w:noWrap w:val="0"/>
            <w:vAlign w:val="center"/>
          </w:tcPr>
          <w:p w14:paraId="32675D8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合计</w:t>
            </w:r>
          </w:p>
        </w:tc>
        <w:tc>
          <w:tcPr>
            <w:tcW w:w="1167" w:type="dxa"/>
            <w:vMerge w:val="restart"/>
            <w:tcBorders>
              <w:top w:val="single" w:color="000000" w:sz="4" w:space="0"/>
              <w:left w:val="single" w:color="000000" w:sz="4" w:space="0"/>
              <w:bottom w:val="single" w:color="000000" w:sz="4" w:space="0"/>
              <w:right w:val="single" w:color="000000" w:sz="4" w:space="0"/>
            </w:tcBorders>
            <w:noWrap w:val="0"/>
            <w:vAlign w:val="center"/>
          </w:tcPr>
          <w:p w14:paraId="3121CE2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因公出国（境）费</w:t>
            </w:r>
          </w:p>
        </w:tc>
        <w:tc>
          <w:tcPr>
            <w:tcW w:w="3495" w:type="dxa"/>
            <w:gridSpan w:val="5"/>
            <w:tcBorders>
              <w:top w:val="single" w:color="000000" w:sz="4" w:space="0"/>
              <w:left w:val="single" w:color="000000" w:sz="4" w:space="0"/>
              <w:bottom w:val="single" w:color="000000" w:sz="4" w:space="0"/>
              <w:right w:val="single" w:color="000000" w:sz="4" w:space="0"/>
            </w:tcBorders>
            <w:noWrap w:val="0"/>
            <w:vAlign w:val="center"/>
          </w:tcPr>
          <w:p w14:paraId="13CA8DA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公务用车购置及运行费</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36E873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公务接待费</w:t>
            </w:r>
          </w:p>
        </w:tc>
        <w:tc>
          <w:tcPr>
            <w:tcW w:w="99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C23B3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合计</w:t>
            </w:r>
          </w:p>
        </w:tc>
        <w:tc>
          <w:tcPr>
            <w:tcW w:w="1365" w:type="dxa"/>
            <w:vMerge w:val="restart"/>
            <w:tcBorders>
              <w:top w:val="single" w:color="000000" w:sz="4" w:space="0"/>
              <w:left w:val="single" w:color="000000" w:sz="4" w:space="0"/>
              <w:bottom w:val="single" w:color="000000" w:sz="4" w:space="0"/>
              <w:right w:val="single" w:color="000000" w:sz="4" w:space="0"/>
            </w:tcBorders>
            <w:noWrap w:val="0"/>
            <w:vAlign w:val="center"/>
          </w:tcPr>
          <w:p w14:paraId="42ED3F7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因公出国（境）费</w:t>
            </w:r>
          </w:p>
        </w:tc>
        <w:tc>
          <w:tcPr>
            <w:tcW w:w="3300" w:type="dxa"/>
            <w:gridSpan w:val="5"/>
            <w:tcBorders>
              <w:top w:val="single" w:color="000000" w:sz="4" w:space="0"/>
              <w:left w:val="single" w:color="000000" w:sz="4" w:space="0"/>
              <w:bottom w:val="single" w:color="000000" w:sz="4" w:space="0"/>
              <w:right w:val="single" w:color="000000" w:sz="4" w:space="0"/>
            </w:tcBorders>
            <w:noWrap w:val="0"/>
            <w:vAlign w:val="center"/>
          </w:tcPr>
          <w:p w14:paraId="404CDDE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公务用车购置及运行维护费</w:t>
            </w:r>
          </w:p>
        </w:tc>
        <w:tc>
          <w:tcPr>
            <w:tcW w:w="1328" w:type="dxa"/>
            <w:vMerge w:val="restart"/>
            <w:tcBorders>
              <w:top w:val="single" w:color="000000" w:sz="4" w:space="0"/>
              <w:left w:val="single" w:color="000000" w:sz="4" w:space="0"/>
              <w:bottom w:val="single" w:color="000000" w:sz="4" w:space="0"/>
              <w:right w:val="single" w:color="000000" w:sz="4" w:space="0"/>
            </w:tcBorders>
            <w:noWrap w:val="0"/>
            <w:vAlign w:val="center"/>
          </w:tcPr>
          <w:p w14:paraId="23A4169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公务接待费</w:t>
            </w:r>
          </w:p>
        </w:tc>
      </w:tr>
      <w:tr w14:paraId="5EF16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10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8965F">
            <w:pPr>
              <w:jc w:val="center"/>
              <w:rPr>
                <w:rFonts w:hint="default" w:ascii="Times New Roman" w:hAnsi="Times New Roman" w:eastAsia="宋体" w:cs="Times New Roman"/>
                <w:i w:val="0"/>
                <w:iCs w:val="0"/>
                <w:color w:val="auto"/>
                <w:sz w:val="20"/>
                <w:szCs w:val="20"/>
                <w:u w:val="none"/>
              </w:rPr>
            </w:pPr>
          </w:p>
        </w:tc>
        <w:tc>
          <w:tcPr>
            <w:tcW w:w="11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31088F">
            <w:pPr>
              <w:jc w:val="center"/>
              <w:rPr>
                <w:rFonts w:hint="default" w:ascii="Times New Roman" w:hAnsi="Times New Roman" w:eastAsia="宋体" w:cs="Times New Roman"/>
                <w:i w:val="0"/>
                <w:iCs w:val="0"/>
                <w:color w:val="auto"/>
                <w:sz w:val="20"/>
                <w:szCs w:val="20"/>
                <w:u w:val="none"/>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14:paraId="328109D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小计</w:t>
            </w:r>
          </w:p>
        </w:tc>
        <w:tc>
          <w:tcPr>
            <w:tcW w:w="1165" w:type="dxa"/>
            <w:gridSpan w:val="2"/>
            <w:tcBorders>
              <w:top w:val="single" w:color="000000" w:sz="4" w:space="0"/>
              <w:left w:val="single" w:color="000000" w:sz="4" w:space="0"/>
              <w:bottom w:val="single" w:color="000000" w:sz="4" w:space="0"/>
              <w:right w:val="single" w:color="000000" w:sz="4" w:space="0"/>
            </w:tcBorders>
            <w:noWrap w:val="0"/>
            <w:vAlign w:val="center"/>
          </w:tcPr>
          <w:p w14:paraId="426252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公务用车</w:t>
            </w:r>
          </w:p>
          <w:p w14:paraId="75A7FD9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购置费</w:t>
            </w:r>
          </w:p>
        </w:tc>
        <w:tc>
          <w:tcPr>
            <w:tcW w:w="1165" w:type="dxa"/>
            <w:gridSpan w:val="2"/>
            <w:tcBorders>
              <w:top w:val="single" w:color="000000" w:sz="4" w:space="0"/>
              <w:left w:val="single" w:color="000000" w:sz="4" w:space="0"/>
              <w:bottom w:val="single" w:color="000000" w:sz="4" w:space="0"/>
              <w:right w:val="single" w:color="000000" w:sz="4" w:space="0"/>
            </w:tcBorders>
            <w:noWrap w:val="0"/>
            <w:vAlign w:val="center"/>
          </w:tcPr>
          <w:p w14:paraId="662B3D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公务用车</w:t>
            </w:r>
          </w:p>
          <w:p w14:paraId="6426ED6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运行维护费</w:t>
            </w: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2E926">
            <w:pPr>
              <w:jc w:val="center"/>
              <w:rPr>
                <w:rFonts w:hint="default" w:ascii="Times New Roman" w:hAnsi="Times New Roman" w:eastAsia="宋体" w:cs="Times New Roman"/>
                <w:i w:val="0"/>
                <w:iCs w:val="0"/>
                <w:color w:val="auto"/>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78F6D">
            <w:pPr>
              <w:jc w:val="center"/>
              <w:rPr>
                <w:rFonts w:hint="default" w:ascii="Times New Roman" w:hAnsi="Times New Roman" w:eastAsia="宋体" w:cs="Times New Roman"/>
                <w:i w:val="0"/>
                <w:iCs w:val="0"/>
                <w:color w:val="auto"/>
                <w:sz w:val="20"/>
                <w:szCs w:val="20"/>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7CA2F2">
            <w:pPr>
              <w:jc w:val="center"/>
              <w:rPr>
                <w:rFonts w:hint="default" w:ascii="Times New Roman" w:hAnsi="Times New Roman" w:eastAsia="宋体" w:cs="Times New Roman"/>
                <w:i w:val="0"/>
                <w:iCs w:val="0"/>
                <w:color w:val="auto"/>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D7F193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小计</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59203F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公务用车</w:t>
            </w:r>
          </w:p>
          <w:p w14:paraId="1CF59D5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购置费</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070775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公务用车</w:t>
            </w:r>
          </w:p>
          <w:p w14:paraId="0BB8687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运行维护费</w:t>
            </w:r>
          </w:p>
        </w:tc>
        <w:tc>
          <w:tcPr>
            <w:tcW w:w="13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4356C">
            <w:pPr>
              <w:jc w:val="center"/>
              <w:rPr>
                <w:rFonts w:hint="default" w:ascii="Times New Roman" w:hAnsi="Times New Roman" w:eastAsia="宋体" w:cs="Times New Roman"/>
                <w:i w:val="0"/>
                <w:iCs w:val="0"/>
                <w:color w:val="auto"/>
                <w:sz w:val="20"/>
                <w:szCs w:val="20"/>
                <w:u w:val="none"/>
              </w:rPr>
            </w:pPr>
          </w:p>
        </w:tc>
      </w:tr>
      <w:tr w14:paraId="4A3EC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00180B4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w:t>
            </w:r>
          </w:p>
        </w:tc>
        <w:tc>
          <w:tcPr>
            <w:tcW w:w="1167" w:type="dxa"/>
            <w:tcBorders>
              <w:top w:val="single" w:color="000000" w:sz="4" w:space="0"/>
              <w:left w:val="single" w:color="000000" w:sz="4" w:space="0"/>
              <w:bottom w:val="single" w:color="000000" w:sz="4" w:space="0"/>
              <w:right w:val="single" w:color="000000" w:sz="4" w:space="0"/>
            </w:tcBorders>
            <w:noWrap w:val="0"/>
            <w:vAlign w:val="center"/>
          </w:tcPr>
          <w:p w14:paraId="0B609CC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14:paraId="3EDC6A1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w:t>
            </w:r>
          </w:p>
        </w:tc>
        <w:tc>
          <w:tcPr>
            <w:tcW w:w="1165" w:type="dxa"/>
            <w:gridSpan w:val="2"/>
            <w:tcBorders>
              <w:top w:val="single" w:color="000000" w:sz="4" w:space="0"/>
              <w:left w:val="single" w:color="000000" w:sz="4" w:space="0"/>
              <w:bottom w:val="single" w:color="000000" w:sz="4" w:space="0"/>
              <w:right w:val="single" w:color="000000" w:sz="4" w:space="0"/>
            </w:tcBorders>
            <w:noWrap w:val="0"/>
            <w:vAlign w:val="center"/>
          </w:tcPr>
          <w:p w14:paraId="79B701B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w:t>
            </w:r>
          </w:p>
        </w:tc>
        <w:tc>
          <w:tcPr>
            <w:tcW w:w="1165" w:type="dxa"/>
            <w:gridSpan w:val="2"/>
            <w:tcBorders>
              <w:top w:val="single" w:color="000000" w:sz="4" w:space="0"/>
              <w:left w:val="single" w:color="000000" w:sz="4" w:space="0"/>
              <w:bottom w:val="single" w:color="000000" w:sz="4" w:space="0"/>
              <w:right w:val="single" w:color="000000" w:sz="4" w:space="0"/>
            </w:tcBorders>
            <w:noWrap w:val="0"/>
            <w:vAlign w:val="center"/>
          </w:tcPr>
          <w:p w14:paraId="1DFF01E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02D0F3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CA0C9C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6BA1CE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DD7E6C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9</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7EF26BD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053A974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11</w:t>
            </w: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509F12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12</w:t>
            </w:r>
          </w:p>
        </w:tc>
      </w:tr>
      <w:tr w14:paraId="7BCBC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62A0D93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0.07 </w:t>
            </w:r>
          </w:p>
        </w:tc>
        <w:tc>
          <w:tcPr>
            <w:tcW w:w="1167" w:type="dxa"/>
            <w:tcBorders>
              <w:top w:val="single" w:color="000000" w:sz="4" w:space="0"/>
              <w:left w:val="single" w:color="000000" w:sz="4" w:space="0"/>
              <w:bottom w:val="single" w:color="000000" w:sz="4" w:space="0"/>
              <w:right w:val="single" w:color="000000" w:sz="4" w:space="0"/>
            </w:tcBorders>
            <w:noWrap w:val="0"/>
            <w:vAlign w:val="center"/>
          </w:tcPr>
          <w:p w14:paraId="19D5A0D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14:paraId="46BAB6C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165" w:type="dxa"/>
            <w:gridSpan w:val="2"/>
            <w:tcBorders>
              <w:top w:val="single" w:color="000000" w:sz="4" w:space="0"/>
              <w:left w:val="single" w:color="000000" w:sz="4" w:space="0"/>
              <w:bottom w:val="single" w:color="000000" w:sz="4" w:space="0"/>
              <w:right w:val="single" w:color="000000" w:sz="4" w:space="0"/>
            </w:tcBorders>
            <w:noWrap w:val="0"/>
            <w:vAlign w:val="center"/>
          </w:tcPr>
          <w:p w14:paraId="1B71A2A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165" w:type="dxa"/>
            <w:gridSpan w:val="2"/>
            <w:tcBorders>
              <w:top w:val="single" w:color="000000" w:sz="4" w:space="0"/>
              <w:left w:val="single" w:color="000000" w:sz="4" w:space="0"/>
              <w:bottom w:val="single" w:color="000000" w:sz="4" w:space="0"/>
              <w:right w:val="single" w:color="000000" w:sz="4" w:space="0"/>
            </w:tcBorders>
            <w:noWrap w:val="0"/>
            <w:vAlign w:val="center"/>
          </w:tcPr>
          <w:p w14:paraId="7D0C5A4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07AC25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0.07 </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2A568A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0.07 </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6952B4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ECD5DE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3952CC5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33043BF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2FC57E1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0.07 </w:t>
            </w:r>
          </w:p>
        </w:tc>
      </w:tr>
      <w:tr w14:paraId="4667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4000" w:type="dxa"/>
            <w:gridSpan w:val="16"/>
            <w:tcBorders>
              <w:top w:val="nil"/>
              <w:left w:val="nil"/>
              <w:bottom w:val="nil"/>
              <w:right w:val="nil"/>
            </w:tcBorders>
            <w:noWrap w:val="0"/>
            <w:vAlign w:val="center"/>
          </w:tcPr>
          <w:p w14:paraId="41FAA1C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注：本表反映单位本年度财政拨款“三公”经费支出预决算情况。其中，</w:t>
            </w:r>
            <w:r>
              <w:rPr>
                <w:rFonts w:hint="default" w:ascii="Times New Roman" w:hAnsi="Times New Roman" w:eastAsia="宋体" w:cs="Times New Roman"/>
                <w:i w:val="0"/>
                <w:iCs w:val="0"/>
                <w:color w:val="auto"/>
                <w:kern w:val="0"/>
                <w:sz w:val="22"/>
                <w:szCs w:val="22"/>
                <w:u w:val="none"/>
                <w:lang w:val="en-US" w:eastAsia="zh-CN" w:bidi="ar"/>
              </w:rPr>
              <w:t>预算数为“三公”经费全年预算数，反</w:t>
            </w:r>
            <w:r>
              <w:rPr>
                <w:rFonts w:hint="default" w:ascii="Times New Roman" w:hAnsi="Times New Roman" w:eastAsia="宋体" w:cs="Times New Roman"/>
                <w:i w:val="0"/>
                <w:iCs w:val="0"/>
                <w:color w:val="000000"/>
                <w:kern w:val="0"/>
                <w:sz w:val="22"/>
                <w:szCs w:val="22"/>
                <w:u w:val="none"/>
                <w:lang w:val="en-US" w:eastAsia="zh-CN" w:bidi="ar"/>
              </w:rPr>
              <w:t>映按规定程序调整后的预算数；决算数是包括当年财政拨款和以前年度结转资金安排的实际支出。</w:t>
            </w:r>
          </w:p>
          <w:p w14:paraId="18754B6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bl>
    <w:p w14:paraId="219255E6">
      <w:pPr>
        <w:jc w:val="center"/>
        <w:rPr>
          <w:rFonts w:hint="default" w:ascii="Times New Roman" w:hAnsi="Times New Roman" w:eastAsia="仿宋" w:cs="Times New Roman"/>
          <w:sz w:val="44"/>
          <w:lang w:val="en-US" w:eastAsia="zh-CN"/>
        </w:rPr>
        <w:sectPr>
          <w:pgSz w:w="16838" w:h="11906" w:orient="landscape"/>
          <w:pgMar w:top="669" w:right="1440" w:bottom="669" w:left="1440" w:header="851" w:footer="992" w:gutter="0"/>
          <w:pgBorders>
            <w:top w:val="none" w:sz="0" w:space="0"/>
            <w:left w:val="none" w:sz="0" w:space="0"/>
            <w:bottom w:val="none" w:sz="0" w:space="0"/>
            <w:right w:val="none" w:sz="0" w:space="0"/>
          </w:pgBorders>
          <w:cols w:space="720" w:num="1"/>
          <w:rtlGutter w:val="0"/>
          <w:docGrid w:type="lines" w:linePitch="312" w:charSpace="0"/>
        </w:sectPr>
      </w:pPr>
      <w:r>
        <w:rPr>
          <w:rFonts w:hint="default" w:ascii="Times New Roman" w:hAnsi="Times New Roman" w:eastAsia="仿宋" w:cs="Times New Roman"/>
          <w:sz w:val="44"/>
          <w:lang w:val="en-US" w:eastAsia="zh-CN"/>
        </w:rPr>
        <w:t xml:space="preserve"> </w:t>
      </w:r>
    </w:p>
    <w:p w14:paraId="2FD6F8DE">
      <w:pPr>
        <w:tabs>
          <w:tab w:val="left" w:pos="1260"/>
        </w:tabs>
        <w:ind w:firstLine="618" w:firstLineChars="200"/>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lang w:val="en-US" w:eastAsia="zh-CN"/>
        </w:rPr>
        <w:t>十、单位</w:t>
      </w:r>
      <w:r>
        <w:rPr>
          <w:rFonts w:hint="default" w:ascii="Times New Roman" w:hAnsi="Times New Roman" w:eastAsia="黑体" w:cs="Times New Roman"/>
          <w:b w:val="0"/>
          <w:bCs w:val="0"/>
          <w:sz w:val="32"/>
        </w:rPr>
        <w:t>预算项目支出绩效自评表</w:t>
      </w:r>
    </w:p>
    <w:tbl>
      <w:tblPr>
        <w:tblStyle w:val="106"/>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492"/>
        <w:gridCol w:w="703"/>
        <w:gridCol w:w="2916"/>
        <w:gridCol w:w="1245"/>
        <w:gridCol w:w="1000"/>
        <w:gridCol w:w="1692"/>
      </w:tblGrid>
      <w:tr w14:paraId="35F31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000" w:type="pct"/>
            <w:gridSpan w:val="7"/>
            <w:tcBorders>
              <w:top w:val="nil"/>
              <w:left w:val="nil"/>
              <w:bottom w:val="single" w:color="auto" w:sz="4" w:space="0"/>
              <w:right w:val="nil"/>
            </w:tcBorders>
            <w:noWrap w:val="0"/>
            <w:vAlign w:val="top"/>
          </w:tcPr>
          <w:p w14:paraId="031D4C3F">
            <w:pPr>
              <w:numPr>
                <w:ilvl w:val="0"/>
                <w:numId w:val="0"/>
              </w:numPr>
              <w:snapToGrid w:val="0"/>
              <w:spacing w:before="170" w:line="226" w:lineRule="auto"/>
              <w:jc w:val="center"/>
              <w:outlineLvl w:val="0"/>
              <w:rPr>
                <w:rFonts w:hint="default" w:ascii="Times New Roman" w:hAnsi="Times New Roman" w:cs="Times New Roman"/>
                <w:color w:val="auto"/>
              </w:rPr>
            </w:pPr>
            <w:r>
              <w:rPr>
                <w:rFonts w:hint="default" w:ascii="Times New Roman" w:hAnsi="Times New Roman" w:eastAsia="华文中宋" w:cs="Times New Roman"/>
                <w:color w:val="auto"/>
                <w:spacing w:val="-1"/>
                <w:sz w:val="24"/>
                <w:szCs w:val="24"/>
              </w:rPr>
              <w:t>项目支出绩效自评表</w:t>
            </w:r>
          </w:p>
        </w:tc>
      </w:tr>
      <w:tr w14:paraId="65FE5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3" w:type="pct"/>
            <w:tcBorders>
              <w:top w:val="single" w:color="auto" w:sz="4" w:space="0"/>
              <w:bottom w:val="single" w:color="000000" w:sz="2" w:space="0"/>
            </w:tcBorders>
            <w:noWrap w:val="0"/>
            <w:vAlign w:val="top"/>
          </w:tcPr>
          <w:p w14:paraId="5FCD95D5">
            <w:pPr>
              <w:pStyle w:val="88"/>
              <w:snapToGrid w:val="0"/>
              <w:spacing w:before="151" w:line="199" w:lineRule="auto"/>
              <w:ind w:left="145" w:leftChars="0"/>
              <w:rPr>
                <w:rFonts w:hint="default" w:ascii="Times New Roman" w:hAnsi="Times New Roman" w:cs="Times New Roman"/>
                <w:color w:val="auto"/>
                <w:spacing w:val="-2"/>
              </w:rPr>
            </w:pPr>
            <w:r>
              <w:rPr>
                <w:rFonts w:hint="default" w:ascii="Times New Roman" w:hAnsi="Times New Roman" w:cs="Times New Roman"/>
                <w:color w:val="auto"/>
                <w:spacing w:val="-2"/>
              </w:rPr>
              <w:t>项目名称</w:t>
            </w:r>
          </w:p>
        </w:tc>
        <w:tc>
          <w:tcPr>
            <w:tcW w:w="4086" w:type="pct"/>
            <w:gridSpan w:val="6"/>
            <w:tcBorders>
              <w:top w:val="single" w:color="auto" w:sz="4" w:space="0"/>
              <w:bottom w:val="single" w:color="000000" w:sz="2" w:space="0"/>
            </w:tcBorders>
            <w:noWrap w:val="0"/>
            <w:vAlign w:val="top"/>
          </w:tcPr>
          <w:p w14:paraId="0EC31272">
            <w:pPr>
              <w:pStyle w:val="88"/>
              <w:snapToGrid w:val="0"/>
              <w:spacing w:before="100" w:line="255" w:lineRule="exact"/>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综合统计业务费</w:t>
            </w:r>
          </w:p>
        </w:tc>
      </w:tr>
      <w:tr w14:paraId="474CD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3" w:type="pct"/>
            <w:tcBorders>
              <w:top w:val="single" w:color="000000" w:sz="2" w:space="0"/>
              <w:bottom w:val="single" w:color="000000" w:sz="2" w:space="0"/>
            </w:tcBorders>
            <w:noWrap w:val="0"/>
            <w:vAlign w:val="top"/>
          </w:tcPr>
          <w:p w14:paraId="0A89240F">
            <w:pPr>
              <w:pStyle w:val="88"/>
              <w:snapToGrid w:val="0"/>
              <w:spacing w:before="146" w:line="198" w:lineRule="auto"/>
              <w:ind w:left="152"/>
              <w:rPr>
                <w:rFonts w:hint="default" w:ascii="Times New Roman" w:hAnsi="Times New Roman" w:cs="Times New Roman"/>
                <w:color w:val="auto"/>
              </w:rPr>
            </w:pPr>
            <w:r>
              <w:rPr>
                <w:rFonts w:hint="default" w:ascii="Times New Roman" w:hAnsi="Times New Roman" w:cs="Times New Roman"/>
                <w:color w:val="auto"/>
                <w:spacing w:val="-4"/>
              </w:rPr>
              <w:t>实施单位</w:t>
            </w:r>
          </w:p>
        </w:tc>
        <w:tc>
          <w:tcPr>
            <w:tcW w:w="4086" w:type="pct"/>
            <w:gridSpan w:val="6"/>
            <w:tcBorders>
              <w:top w:val="single" w:color="000000" w:sz="2" w:space="0"/>
              <w:bottom w:val="single" w:color="000000" w:sz="2" w:space="0"/>
            </w:tcBorders>
            <w:noWrap w:val="0"/>
            <w:vAlign w:val="top"/>
          </w:tcPr>
          <w:p w14:paraId="42A4276E">
            <w:pPr>
              <w:pStyle w:val="88"/>
              <w:snapToGrid w:val="0"/>
              <w:spacing w:before="100" w:line="255" w:lineRule="exact"/>
              <w:jc w:val="center"/>
              <w:rPr>
                <w:rFonts w:hint="default" w:ascii="Times New Roman" w:hAnsi="Times New Roman" w:eastAsia="华文细黑" w:cs="Times New Roman"/>
                <w:color w:val="auto"/>
                <w:lang w:val="en-US" w:eastAsia="zh-CN"/>
              </w:rPr>
            </w:pPr>
            <w:r>
              <w:rPr>
                <w:rFonts w:hint="default" w:ascii="Times New Roman" w:hAnsi="Times New Roman" w:cs="Times New Roman"/>
                <w:color w:val="auto"/>
                <w:lang w:val="en-US" w:eastAsia="zh-CN"/>
              </w:rPr>
              <w:t>和龙市统计局</w:t>
            </w:r>
          </w:p>
        </w:tc>
      </w:tr>
      <w:tr w14:paraId="424E2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913" w:type="pct"/>
            <w:vMerge w:val="restart"/>
            <w:tcBorders>
              <w:top w:val="single" w:color="000000" w:sz="2" w:space="0"/>
              <w:bottom w:val="single" w:color="000000" w:sz="2" w:space="0"/>
            </w:tcBorders>
            <w:noWrap w:val="0"/>
            <w:vAlign w:val="top"/>
          </w:tcPr>
          <w:p w14:paraId="2BD665DC">
            <w:pPr>
              <w:snapToGrid w:val="0"/>
              <w:spacing w:line="255" w:lineRule="auto"/>
              <w:rPr>
                <w:rFonts w:hint="default" w:ascii="Times New Roman" w:hAnsi="Times New Roman" w:cs="Times New Roman"/>
                <w:color w:val="auto"/>
                <w:sz w:val="21"/>
              </w:rPr>
            </w:pPr>
          </w:p>
          <w:p w14:paraId="66159E3C">
            <w:pPr>
              <w:snapToGrid w:val="0"/>
              <w:spacing w:line="255" w:lineRule="auto"/>
              <w:rPr>
                <w:rFonts w:hint="default" w:ascii="Times New Roman" w:hAnsi="Times New Roman" w:cs="Times New Roman"/>
                <w:color w:val="auto"/>
                <w:sz w:val="21"/>
              </w:rPr>
            </w:pPr>
          </w:p>
          <w:p w14:paraId="1689F435">
            <w:pPr>
              <w:pStyle w:val="88"/>
              <w:snapToGrid w:val="0"/>
              <w:spacing w:before="56" w:line="328" w:lineRule="auto"/>
              <w:ind w:left="166" w:right="136" w:hanging="14"/>
              <w:rPr>
                <w:rFonts w:hint="default" w:ascii="Times New Roman" w:hAnsi="Times New Roman" w:cs="Times New Roman"/>
                <w:color w:val="auto"/>
              </w:rPr>
            </w:pPr>
            <w:r>
              <w:rPr>
                <w:rFonts w:hint="default" w:ascii="Times New Roman" w:hAnsi="Times New Roman" w:cs="Times New Roman"/>
                <w:color w:val="auto"/>
                <w:spacing w:val="-3"/>
              </w:rPr>
              <w:t>资金情况</w:t>
            </w:r>
            <w:r>
              <w:rPr>
                <w:rFonts w:hint="default" w:ascii="Times New Roman" w:hAnsi="Times New Roman" w:cs="Times New Roman"/>
                <w:color w:val="auto"/>
              </w:rPr>
              <w:t xml:space="preserve"> </w:t>
            </w:r>
            <w:r>
              <w:rPr>
                <w:rFonts w:hint="default" w:ascii="Times New Roman" w:hAnsi="Times New Roman" w:cs="Times New Roman"/>
                <w:color w:val="auto"/>
                <w:spacing w:val="-7"/>
              </w:rPr>
              <w:t>（万元）</w:t>
            </w:r>
          </w:p>
        </w:tc>
        <w:tc>
          <w:tcPr>
            <w:tcW w:w="607" w:type="pct"/>
            <w:gridSpan w:val="2"/>
            <w:tcBorders>
              <w:top w:val="single" w:color="000000" w:sz="2" w:space="0"/>
              <w:bottom w:val="single" w:color="000000" w:sz="2" w:space="0"/>
            </w:tcBorders>
            <w:noWrap w:val="0"/>
            <w:vAlign w:val="top"/>
          </w:tcPr>
          <w:p w14:paraId="73C513E1">
            <w:pPr>
              <w:pStyle w:val="88"/>
              <w:snapToGrid w:val="0"/>
              <w:spacing w:before="127" w:line="199" w:lineRule="auto"/>
              <w:jc w:val="center"/>
              <w:rPr>
                <w:rFonts w:hint="default" w:ascii="Times New Roman" w:hAnsi="Times New Roman" w:cs="Times New Roman"/>
                <w:color w:val="auto"/>
              </w:rPr>
            </w:pPr>
            <w:r>
              <w:rPr>
                <w:rFonts w:hint="default" w:ascii="Times New Roman" w:hAnsi="Times New Roman" w:cs="Times New Roman"/>
                <w:color w:val="auto"/>
                <w:spacing w:val="-2"/>
              </w:rPr>
              <w:t>项目资金</w:t>
            </w:r>
          </w:p>
        </w:tc>
        <w:tc>
          <w:tcPr>
            <w:tcW w:w="1481" w:type="pct"/>
            <w:tcBorders>
              <w:top w:val="single" w:color="000000" w:sz="2" w:space="0"/>
              <w:bottom w:val="single" w:color="000000" w:sz="2" w:space="0"/>
            </w:tcBorders>
            <w:noWrap w:val="0"/>
            <w:vAlign w:val="top"/>
          </w:tcPr>
          <w:p w14:paraId="4637EC41">
            <w:pPr>
              <w:pStyle w:val="88"/>
              <w:snapToGrid w:val="0"/>
              <w:spacing w:before="128" w:line="198" w:lineRule="auto"/>
              <w:jc w:val="center"/>
              <w:rPr>
                <w:rFonts w:hint="default" w:ascii="Times New Roman" w:hAnsi="Times New Roman" w:cs="Times New Roman"/>
                <w:color w:val="auto"/>
              </w:rPr>
            </w:pPr>
            <w:r>
              <w:rPr>
                <w:rFonts w:hint="default" w:ascii="Times New Roman" w:hAnsi="Times New Roman" w:cs="Times New Roman"/>
                <w:color w:val="auto"/>
                <w:spacing w:val="-2"/>
              </w:rPr>
              <w:t>年初预算数</w:t>
            </w:r>
          </w:p>
        </w:tc>
        <w:tc>
          <w:tcPr>
            <w:tcW w:w="632" w:type="pct"/>
            <w:tcBorders>
              <w:top w:val="single" w:color="000000" w:sz="2" w:space="0"/>
              <w:bottom w:val="single" w:color="000000" w:sz="2" w:space="0"/>
            </w:tcBorders>
            <w:noWrap w:val="0"/>
            <w:vAlign w:val="top"/>
          </w:tcPr>
          <w:p w14:paraId="6E1B2727">
            <w:pPr>
              <w:pStyle w:val="88"/>
              <w:snapToGrid w:val="0"/>
              <w:spacing w:before="128" w:line="198" w:lineRule="auto"/>
              <w:jc w:val="center"/>
              <w:rPr>
                <w:rFonts w:hint="default" w:ascii="Times New Roman" w:hAnsi="Times New Roman" w:cs="Times New Roman"/>
                <w:color w:val="auto"/>
              </w:rPr>
            </w:pPr>
            <w:r>
              <w:rPr>
                <w:rFonts w:hint="default" w:ascii="Times New Roman" w:hAnsi="Times New Roman" w:cs="Times New Roman"/>
                <w:color w:val="auto"/>
                <w:spacing w:val="-1"/>
              </w:rPr>
              <w:t>全年预算数</w:t>
            </w:r>
          </w:p>
        </w:tc>
        <w:tc>
          <w:tcPr>
            <w:tcW w:w="508" w:type="pct"/>
            <w:tcBorders>
              <w:top w:val="single" w:color="000000" w:sz="2" w:space="0"/>
              <w:bottom w:val="single" w:color="000000" w:sz="2" w:space="0"/>
            </w:tcBorders>
            <w:noWrap w:val="0"/>
            <w:vAlign w:val="top"/>
          </w:tcPr>
          <w:p w14:paraId="3C191223">
            <w:pPr>
              <w:pStyle w:val="88"/>
              <w:snapToGrid w:val="0"/>
              <w:spacing w:before="128" w:line="198" w:lineRule="auto"/>
              <w:jc w:val="center"/>
              <w:rPr>
                <w:rFonts w:hint="default" w:ascii="Times New Roman" w:hAnsi="Times New Roman" w:cs="Times New Roman"/>
                <w:color w:val="auto"/>
              </w:rPr>
            </w:pPr>
            <w:r>
              <w:rPr>
                <w:rFonts w:hint="default" w:ascii="Times New Roman" w:hAnsi="Times New Roman" w:cs="Times New Roman"/>
                <w:color w:val="auto"/>
                <w:spacing w:val="-1"/>
              </w:rPr>
              <w:t>全年执行数</w:t>
            </w:r>
          </w:p>
        </w:tc>
        <w:tc>
          <w:tcPr>
            <w:tcW w:w="856" w:type="pct"/>
            <w:tcBorders>
              <w:top w:val="single" w:color="000000" w:sz="2" w:space="0"/>
              <w:bottom w:val="single" w:color="000000" w:sz="2" w:space="0"/>
            </w:tcBorders>
            <w:noWrap w:val="0"/>
            <w:vAlign w:val="top"/>
          </w:tcPr>
          <w:p w14:paraId="793541C5">
            <w:pPr>
              <w:pStyle w:val="88"/>
              <w:snapToGrid w:val="0"/>
              <w:spacing w:before="128" w:line="198" w:lineRule="auto"/>
              <w:jc w:val="center"/>
              <w:rPr>
                <w:rFonts w:hint="default" w:ascii="Times New Roman" w:hAnsi="Times New Roman" w:cs="Times New Roman"/>
                <w:color w:val="auto"/>
              </w:rPr>
            </w:pPr>
            <w:r>
              <w:rPr>
                <w:rFonts w:hint="default" w:ascii="Times New Roman" w:hAnsi="Times New Roman" w:cs="Times New Roman"/>
                <w:color w:val="auto"/>
                <w:spacing w:val="-1"/>
              </w:rPr>
              <w:t>执行率</w:t>
            </w:r>
          </w:p>
        </w:tc>
      </w:tr>
      <w:tr w14:paraId="73589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3" w:type="pct"/>
            <w:vMerge w:val="continue"/>
            <w:tcBorders>
              <w:top w:val="single" w:color="000000" w:sz="2" w:space="0"/>
              <w:bottom w:val="single" w:color="000000" w:sz="2" w:space="0"/>
            </w:tcBorders>
            <w:noWrap w:val="0"/>
            <w:vAlign w:val="top"/>
          </w:tcPr>
          <w:p w14:paraId="3E6965EA">
            <w:pPr>
              <w:snapToGrid w:val="0"/>
              <w:rPr>
                <w:rFonts w:hint="default" w:ascii="Times New Roman" w:hAnsi="Times New Roman" w:cs="Times New Roman"/>
                <w:color w:val="auto"/>
                <w:sz w:val="21"/>
              </w:rPr>
            </w:pPr>
          </w:p>
        </w:tc>
        <w:tc>
          <w:tcPr>
            <w:tcW w:w="607" w:type="pct"/>
            <w:gridSpan w:val="2"/>
            <w:tcBorders>
              <w:top w:val="single" w:color="000000" w:sz="2" w:space="0"/>
              <w:bottom w:val="single" w:color="000000" w:sz="2" w:space="0"/>
            </w:tcBorders>
            <w:noWrap w:val="0"/>
            <w:vAlign w:val="center"/>
          </w:tcPr>
          <w:p w14:paraId="3DFB18BC">
            <w:pPr>
              <w:pStyle w:val="88"/>
              <w:snapToGrid w:val="0"/>
              <w:spacing w:before="154" w:line="198" w:lineRule="auto"/>
              <w:jc w:val="center"/>
              <w:rPr>
                <w:rFonts w:hint="default" w:ascii="Times New Roman" w:hAnsi="Times New Roman" w:cs="Times New Roman"/>
                <w:color w:val="auto"/>
              </w:rPr>
            </w:pPr>
            <w:r>
              <w:rPr>
                <w:rFonts w:hint="default" w:ascii="Times New Roman" w:hAnsi="Times New Roman" w:cs="Times New Roman"/>
                <w:color w:val="auto"/>
                <w:spacing w:val="-2"/>
              </w:rPr>
              <w:t>当年财政拨款</w:t>
            </w:r>
          </w:p>
        </w:tc>
        <w:tc>
          <w:tcPr>
            <w:tcW w:w="1481" w:type="pct"/>
            <w:tcBorders>
              <w:top w:val="single" w:color="000000" w:sz="2" w:space="0"/>
              <w:bottom w:val="single" w:color="000000" w:sz="2" w:space="0"/>
            </w:tcBorders>
            <w:noWrap w:val="0"/>
            <w:vAlign w:val="center"/>
          </w:tcPr>
          <w:p w14:paraId="0D23162C">
            <w:pPr>
              <w:keepNext w:val="0"/>
              <w:keepLines w:val="0"/>
              <w:widowControl/>
              <w:suppressLineNumbers w:val="0"/>
              <w:snapToGrid w:val="0"/>
              <w:jc w:val="center"/>
              <w:textAlignment w:val="center"/>
              <w:rPr>
                <w:rFonts w:hint="default" w:ascii="Times New Roman" w:hAnsi="Times New Roman" w:cs="Times New Roman"/>
                <w:color w:val="auto"/>
                <w:lang w:val="en-US"/>
              </w:rPr>
            </w:pPr>
            <w:r>
              <w:rPr>
                <w:rFonts w:hint="default" w:ascii="Times New Roman" w:hAnsi="Times New Roman" w:eastAsia="华文细黑" w:cs="Times New Roman"/>
                <w:i w:val="0"/>
                <w:iCs w:val="0"/>
                <w:color w:val="auto"/>
                <w:kern w:val="0"/>
                <w:sz w:val="16"/>
                <w:szCs w:val="16"/>
                <w:u w:val="none"/>
                <w:lang w:val="en-US" w:eastAsia="zh-CN" w:bidi="ar"/>
              </w:rPr>
              <w:t>31.36</w:t>
            </w:r>
          </w:p>
        </w:tc>
        <w:tc>
          <w:tcPr>
            <w:tcW w:w="632" w:type="pct"/>
            <w:tcBorders>
              <w:top w:val="single" w:color="000000" w:sz="2" w:space="0"/>
              <w:bottom w:val="single" w:color="000000" w:sz="2" w:space="0"/>
            </w:tcBorders>
            <w:noWrap w:val="0"/>
            <w:vAlign w:val="center"/>
          </w:tcPr>
          <w:p w14:paraId="72A27EAF">
            <w:pPr>
              <w:keepNext w:val="0"/>
              <w:keepLines w:val="0"/>
              <w:widowControl/>
              <w:suppressLineNumbers w:val="0"/>
              <w:snapToGrid w:val="0"/>
              <w:jc w:val="center"/>
              <w:textAlignment w:val="center"/>
              <w:rPr>
                <w:rFonts w:hint="default" w:ascii="Times New Roman" w:hAnsi="Times New Roman" w:cs="Times New Roman"/>
                <w:color w:val="auto"/>
                <w:lang w:val="en-US"/>
              </w:rPr>
            </w:pPr>
            <w:r>
              <w:rPr>
                <w:rFonts w:hint="default" w:ascii="Times New Roman" w:hAnsi="Times New Roman" w:eastAsia="华文细黑" w:cs="Times New Roman"/>
                <w:i w:val="0"/>
                <w:iCs w:val="0"/>
                <w:color w:val="auto"/>
                <w:kern w:val="0"/>
                <w:sz w:val="16"/>
                <w:szCs w:val="16"/>
                <w:u w:val="none"/>
                <w:lang w:val="en-US" w:eastAsia="zh-CN" w:bidi="ar"/>
              </w:rPr>
              <w:t>31.36</w:t>
            </w:r>
          </w:p>
        </w:tc>
        <w:tc>
          <w:tcPr>
            <w:tcW w:w="508" w:type="pct"/>
            <w:tcBorders>
              <w:top w:val="single" w:color="000000" w:sz="2" w:space="0"/>
              <w:bottom w:val="single" w:color="000000" w:sz="2" w:space="0"/>
            </w:tcBorders>
            <w:noWrap w:val="0"/>
            <w:vAlign w:val="center"/>
          </w:tcPr>
          <w:p w14:paraId="0B381DCC">
            <w:pPr>
              <w:keepNext w:val="0"/>
              <w:keepLines w:val="0"/>
              <w:widowControl/>
              <w:suppressLineNumbers w:val="0"/>
              <w:snapToGrid w:val="0"/>
              <w:jc w:val="center"/>
              <w:textAlignment w:val="center"/>
              <w:rPr>
                <w:rFonts w:hint="default" w:ascii="Times New Roman" w:hAnsi="Times New Roman" w:cs="Times New Roman"/>
                <w:color w:val="auto"/>
                <w:lang w:val="en-US"/>
              </w:rPr>
            </w:pPr>
            <w:r>
              <w:rPr>
                <w:rFonts w:hint="default" w:ascii="Times New Roman" w:hAnsi="Times New Roman" w:eastAsia="华文细黑" w:cs="Times New Roman"/>
                <w:i w:val="0"/>
                <w:iCs w:val="0"/>
                <w:color w:val="auto"/>
                <w:kern w:val="0"/>
                <w:sz w:val="16"/>
                <w:szCs w:val="16"/>
                <w:u w:val="none"/>
                <w:lang w:val="en-US" w:eastAsia="zh-CN" w:bidi="ar"/>
              </w:rPr>
              <w:t>31.36</w:t>
            </w:r>
          </w:p>
        </w:tc>
        <w:tc>
          <w:tcPr>
            <w:tcW w:w="856" w:type="pct"/>
            <w:tcBorders>
              <w:top w:val="single" w:color="000000" w:sz="2" w:space="0"/>
              <w:bottom w:val="single" w:color="000000" w:sz="2" w:space="0"/>
            </w:tcBorders>
            <w:noWrap w:val="0"/>
            <w:vAlign w:val="center"/>
          </w:tcPr>
          <w:p w14:paraId="0AC8B481">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100.00%</w:t>
            </w:r>
          </w:p>
        </w:tc>
      </w:tr>
      <w:tr w14:paraId="38278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3" w:type="pct"/>
            <w:vMerge w:val="continue"/>
            <w:tcBorders>
              <w:top w:val="single" w:color="000000" w:sz="2" w:space="0"/>
              <w:bottom w:val="single" w:color="000000" w:sz="2" w:space="0"/>
            </w:tcBorders>
            <w:noWrap w:val="0"/>
            <w:vAlign w:val="top"/>
          </w:tcPr>
          <w:p w14:paraId="5235B131">
            <w:pPr>
              <w:snapToGrid w:val="0"/>
              <w:rPr>
                <w:rFonts w:hint="default" w:ascii="Times New Roman" w:hAnsi="Times New Roman" w:cs="Times New Roman"/>
                <w:color w:val="auto"/>
                <w:sz w:val="21"/>
              </w:rPr>
            </w:pPr>
          </w:p>
        </w:tc>
        <w:tc>
          <w:tcPr>
            <w:tcW w:w="607" w:type="pct"/>
            <w:gridSpan w:val="2"/>
            <w:tcBorders>
              <w:top w:val="single" w:color="000000" w:sz="2" w:space="0"/>
              <w:bottom w:val="single" w:color="000000" w:sz="2" w:space="0"/>
            </w:tcBorders>
            <w:noWrap w:val="0"/>
            <w:vAlign w:val="top"/>
          </w:tcPr>
          <w:p w14:paraId="6CA1E6B5">
            <w:pPr>
              <w:pStyle w:val="88"/>
              <w:snapToGrid w:val="0"/>
              <w:spacing w:before="147" w:line="199" w:lineRule="auto"/>
              <w:jc w:val="center"/>
              <w:rPr>
                <w:rFonts w:hint="default" w:ascii="Times New Roman" w:hAnsi="Times New Roman" w:cs="Times New Roman"/>
                <w:color w:val="auto"/>
              </w:rPr>
            </w:pPr>
            <w:r>
              <w:rPr>
                <w:rFonts w:hint="default" w:ascii="Times New Roman" w:hAnsi="Times New Roman" w:cs="Times New Roman"/>
                <w:color w:val="auto"/>
                <w:spacing w:val="-2"/>
              </w:rPr>
              <w:t>上年结转资金</w:t>
            </w:r>
          </w:p>
        </w:tc>
        <w:tc>
          <w:tcPr>
            <w:tcW w:w="1481" w:type="pct"/>
            <w:tcBorders>
              <w:top w:val="single" w:color="000000" w:sz="2" w:space="0"/>
              <w:bottom w:val="single" w:color="000000" w:sz="2" w:space="0"/>
            </w:tcBorders>
            <w:noWrap w:val="0"/>
            <w:vAlign w:val="center"/>
          </w:tcPr>
          <w:p w14:paraId="16888A7D">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p>
        </w:tc>
        <w:tc>
          <w:tcPr>
            <w:tcW w:w="632" w:type="pct"/>
            <w:tcBorders>
              <w:top w:val="single" w:color="000000" w:sz="2" w:space="0"/>
              <w:bottom w:val="single" w:color="000000" w:sz="2" w:space="0"/>
            </w:tcBorders>
            <w:noWrap w:val="0"/>
            <w:vAlign w:val="center"/>
          </w:tcPr>
          <w:p w14:paraId="2A0467CB">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r>
              <w:rPr>
                <w:rFonts w:hint="default" w:ascii="Times New Roman" w:hAnsi="Times New Roman" w:eastAsia="华文细黑" w:cs="Times New Roman"/>
                <w:i w:val="0"/>
                <w:iCs w:val="0"/>
                <w:color w:val="auto"/>
                <w:kern w:val="0"/>
                <w:sz w:val="16"/>
                <w:szCs w:val="16"/>
                <w:u w:val="none"/>
                <w:lang w:val="en-US" w:eastAsia="zh-CN" w:bidi="ar"/>
              </w:rPr>
              <w:t xml:space="preserve"> </w:t>
            </w:r>
          </w:p>
        </w:tc>
        <w:tc>
          <w:tcPr>
            <w:tcW w:w="508" w:type="pct"/>
            <w:tcBorders>
              <w:top w:val="single" w:color="000000" w:sz="2" w:space="0"/>
              <w:bottom w:val="single" w:color="000000" w:sz="2" w:space="0"/>
            </w:tcBorders>
            <w:noWrap w:val="0"/>
            <w:vAlign w:val="center"/>
          </w:tcPr>
          <w:p w14:paraId="0E80112E">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r>
              <w:rPr>
                <w:rFonts w:hint="default" w:ascii="Times New Roman" w:hAnsi="Times New Roman" w:eastAsia="华文细黑" w:cs="Times New Roman"/>
                <w:i w:val="0"/>
                <w:iCs w:val="0"/>
                <w:color w:val="auto"/>
                <w:kern w:val="0"/>
                <w:sz w:val="16"/>
                <w:szCs w:val="16"/>
                <w:u w:val="none"/>
                <w:lang w:val="en-US" w:eastAsia="zh-CN" w:bidi="ar"/>
              </w:rPr>
              <w:t xml:space="preserve"> </w:t>
            </w:r>
          </w:p>
        </w:tc>
        <w:tc>
          <w:tcPr>
            <w:tcW w:w="856" w:type="pct"/>
            <w:tcBorders>
              <w:top w:val="single" w:color="000000" w:sz="2" w:space="0"/>
              <w:bottom w:val="single" w:color="000000" w:sz="2" w:space="0"/>
            </w:tcBorders>
            <w:noWrap w:val="0"/>
            <w:vAlign w:val="center"/>
          </w:tcPr>
          <w:p w14:paraId="1EF82B6D">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p>
        </w:tc>
      </w:tr>
      <w:tr w14:paraId="1F4BA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3" w:type="pct"/>
            <w:vMerge w:val="continue"/>
            <w:tcBorders>
              <w:top w:val="single" w:color="000000" w:sz="2" w:space="0"/>
              <w:bottom w:val="single" w:color="000000" w:sz="2" w:space="0"/>
            </w:tcBorders>
            <w:noWrap w:val="0"/>
            <w:vAlign w:val="top"/>
          </w:tcPr>
          <w:p w14:paraId="746E5E70">
            <w:pPr>
              <w:snapToGrid w:val="0"/>
              <w:rPr>
                <w:rFonts w:hint="default" w:ascii="Times New Roman" w:hAnsi="Times New Roman" w:cs="Times New Roman"/>
                <w:color w:val="auto"/>
                <w:sz w:val="21"/>
              </w:rPr>
            </w:pPr>
          </w:p>
        </w:tc>
        <w:tc>
          <w:tcPr>
            <w:tcW w:w="607" w:type="pct"/>
            <w:gridSpan w:val="2"/>
            <w:tcBorders>
              <w:top w:val="single" w:color="000000" w:sz="2" w:space="0"/>
              <w:bottom w:val="single" w:color="000000" w:sz="2" w:space="0"/>
            </w:tcBorders>
            <w:noWrap w:val="0"/>
            <w:vAlign w:val="top"/>
          </w:tcPr>
          <w:p w14:paraId="5B953E83">
            <w:pPr>
              <w:pStyle w:val="88"/>
              <w:snapToGrid w:val="0"/>
              <w:spacing w:before="132" w:line="199" w:lineRule="auto"/>
              <w:jc w:val="center"/>
              <w:rPr>
                <w:rFonts w:hint="default" w:ascii="Times New Roman" w:hAnsi="Times New Roman" w:cs="Times New Roman"/>
                <w:color w:val="auto"/>
              </w:rPr>
            </w:pPr>
            <w:r>
              <w:rPr>
                <w:rFonts w:hint="default" w:ascii="Times New Roman" w:hAnsi="Times New Roman" w:cs="Times New Roman"/>
                <w:color w:val="auto"/>
                <w:spacing w:val="-2"/>
              </w:rPr>
              <w:t>其他资金</w:t>
            </w:r>
          </w:p>
        </w:tc>
        <w:tc>
          <w:tcPr>
            <w:tcW w:w="1481" w:type="pct"/>
            <w:tcBorders>
              <w:top w:val="single" w:color="000000" w:sz="2" w:space="0"/>
              <w:bottom w:val="single" w:color="000000" w:sz="2" w:space="0"/>
            </w:tcBorders>
            <w:noWrap w:val="0"/>
            <w:vAlign w:val="center"/>
          </w:tcPr>
          <w:p w14:paraId="393CA19A">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p>
        </w:tc>
        <w:tc>
          <w:tcPr>
            <w:tcW w:w="632" w:type="pct"/>
            <w:tcBorders>
              <w:top w:val="single" w:color="000000" w:sz="2" w:space="0"/>
              <w:bottom w:val="single" w:color="000000" w:sz="2" w:space="0"/>
            </w:tcBorders>
            <w:noWrap w:val="0"/>
            <w:vAlign w:val="center"/>
          </w:tcPr>
          <w:p w14:paraId="0A566D4C">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r>
              <w:rPr>
                <w:rFonts w:hint="default" w:ascii="Times New Roman" w:hAnsi="Times New Roman" w:eastAsia="华文细黑" w:cs="Times New Roman"/>
                <w:i w:val="0"/>
                <w:iCs w:val="0"/>
                <w:color w:val="auto"/>
                <w:kern w:val="0"/>
                <w:sz w:val="16"/>
                <w:szCs w:val="16"/>
                <w:u w:val="none"/>
                <w:lang w:val="en-US" w:eastAsia="zh-CN" w:bidi="ar"/>
              </w:rPr>
              <w:t xml:space="preserve"> </w:t>
            </w:r>
          </w:p>
        </w:tc>
        <w:tc>
          <w:tcPr>
            <w:tcW w:w="508" w:type="pct"/>
            <w:tcBorders>
              <w:top w:val="single" w:color="000000" w:sz="2" w:space="0"/>
              <w:bottom w:val="single" w:color="000000" w:sz="2" w:space="0"/>
            </w:tcBorders>
            <w:noWrap w:val="0"/>
            <w:vAlign w:val="center"/>
          </w:tcPr>
          <w:p w14:paraId="6F7FFFA3">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r>
              <w:rPr>
                <w:rFonts w:hint="default" w:ascii="Times New Roman" w:hAnsi="Times New Roman" w:eastAsia="华文细黑" w:cs="Times New Roman"/>
                <w:i w:val="0"/>
                <w:iCs w:val="0"/>
                <w:color w:val="auto"/>
                <w:kern w:val="0"/>
                <w:sz w:val="16"/>
                <w:szCs w:val="16"/>
                <w:u w:val="none"/>
                <w:lang w:val="en-US" w:eastAsia="zh-CN" w:bidi="ar"/>
              </w:rPr>
              <w:t xml:space="preserve"> </w:t>
            </w:r>
          </w:p>
        </w:tc>
        <w:tc>
          <w:tcPr>
            <w:tcW w:w="856" w:type="pct"/>
            <w:tcBorders>
              <w:top w:val="single" w:color="000000" w:sz="2" w:space="0"/>
              <w:bottom w:val="single" w:color="000000" w:sz="2" w:space="0"/>
            </w:tcBorders>
            <w:noWrap w:val="0"/>
            <w:vAlign w:val="center"/>
          </w:tcPr>
          <w:p w14:paraId="081A0D9F">
            <w:pPr>
              <w:keepNext w:val="0"/>
              <w:keepLines w:val="0"/>
              <w:widowControl/>
              <w:suppressLineNumbers w:val="0"/>
              <w:snapToGrid w:val="0"/>
              <w:jc w:val="center"/>
              <w:textAlignment w:val="center"/>
              <w:rPr>
                <w:rFonts w:hint="default" w:ascii="Times New Roman" w:hAnsi="Times New Roman" w:cs="Times New Roman"/>
                <w:color w:val="auto"/>
              </w:rPr>
            </w:pPr>
            <w:r>
              <w:rPr>
                <w:rFonts w:hint="eastAsia" w:ascii="Times New Roman" w:hAnsi="Times New Roman" w:eastAsia="华文细黑" w:cs="Times New Roman"/>
                <w:i w:val="0"/>
                <w:iCs w:val="0"/>
                <w:color w:val="auto"/>
                <w:kern w:val="0"/>
                <w:sz w:val="16"/>
                <w:szCs w:val="16"/>
                <w:u w:val="none"/>
                <w:lang w:val="en-US" w:eastAsia="zh-CN" w:bidi="ar"/>
              </w:rPr>
              <w:t>0</w:t>
            </w:r>
          </w:p>
        </w:tc>
      </w:tr>
      <w:tr w14:paraId="7A71E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jc w:val="center"/>
        </w:trPr>
        <w:tc>
          <w:tcPr>
            <w:tcW w:w="913" w:type="pct"/>
            <w:vMerge w:val="continue"/>
            <w:tcBorders>
              <w:top w:val="single" w:color="000000" w:sz="2" w:space="0"/>
              <w:bottom w:val="single" w:color="000000" w:sz="2" w:space="0"/>
            </w:tcBorders>
            <w:noWrap w:val="0"/>
            <w:vAlign w:val="top"/>
          </w:tcPr>
          <w:p w14:paraId="4B1EED68">
            <w:pPr>
              <w:snapToGrid w:val="0"/>
              <w:rPr>
                <w:rFonts w:hint="default" w:ascii="Times New Roman" w:hAnsi="Times New Roman" w:cs="Times New Roman"/>
                <w:color w:val="auto"/>
                <w:sz w:val="21"/>
              </w:rPr>
            </w:pPr>
          </w:p>
        </w:tc>
        <w:tc>
          <w:tcPr>
            <w:tcW w:w="607" w:type="pct"/>
            <w:gridSpan w:val="2"/>
            <w:tcBorders>
              <w:top w:val="single" w:color="000000" w:sz="2" w:space="0"/>
              <w:bottom w:val="single" w:color="000000" w:sz="2" w:space="0"/>
            </w:tcBorders>
            <w:noWrap w:val="0"/>
            <w:vAlign w:val="top"/>
          </w:tcPr>
          <w:p w14:paraId="42F745AF">
            <w:pPr>
              <w:pStyle w:val="88"/>
              <w:snapToGrid w:val="0"/>
              <w:spacing w:before="107" w:line="199" w:lineRule="auto"/>
              <w:jc w:val="center"/>
              <w:rPr>
                <w:rFonts w:hint="default" w:ascii="Times New Roman" w:hAnsi="Times New Roman" w:cs="Times New Roman"/>
                <w:color w:val="auto"/>
              </w:rPr>
            </w:pPr>
            <w:r>
              <w:rPr>
                <w:rFonts w:hint="default" w:ascii="Times New Roman" w:hAnsi="Times New Roman" w:cs="Times New Roman"/>
                <w:color w:val="auto"/>
                <w:spacing w:val="-2"/>
              </w:rPr>
              <w:t>年度资金总和</w:t>
            </w:r>
          </w:p>
        </w:tc>
        <w:tc>
          <w:tcPr>
            <w:tcW w:w="1481" w:type="pct"/>
            <w:tcBorders>
              <w:top w:val="single" w:color="000000" w:sz="2" w:space="0"/>
              <w:bottom w:val="single" w:color="000000" w:sz="2" w:space="0"/>
            </w:tcBorders>
            <w:noWrap w:val="0"/>
            <w:vAlign w:val="center"/>
          </w:tcPr>
          <w:p w14:paraId="7BB1745E">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31.36</w:t>
            </w:r>
          </w:p>
        </w:tc>
        <w:tc>
          <w:tcPr>
            <w:tcW w:w="632" w:type="pct"/>
            <w:tcBorders>
              <w:top w:val="single" w:color="000000" w:sz="2" w:space="0"/>
              <w:bottom w:val="single" w:color="000000" w:sz="2" w:space="0"/>
            </w:tcBorders>
            <w:noWrap w:val="0"/>
            <w:vAlign w:val="center"/>
          </w:tcPr>
          <w:p w14:paraId="5F8663BD">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31.36</w:t>
            </w:r>
          </w:p>
        </w:tc>
        <w:tc>
          <w:tcPr>
            <w:tcW w:w="508" w:type="pct"/>
            <w:tcBorders>
              <w:top w:val="single" w:color="000000" w:sz="2" w:space="0"/>
              <w:bottom w:val="single" w:color="000000" w:sz="2" w:space="0"/>
            </w:tcBorders>
            <w:noWrap w:val="0"/>
            <w:vAlign w:val="center"/>
          </w:tcPr>
          <w:p w14:paraId="20F94F87">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31.36</w:t>
            </w:r>
          </w:p>
        </w:tc>
        <w:tc>
          <w:tcPr>
            <w:tcW w:w="856" w:type="pct"/>
            <w:tcBorders>
              <w:top w:val="single" w:color="000000" w:sz="2" w:space="0"/>
              <w:bottom w:val="single" w:color="000000" w:sz="2" w:space="0"/>
            </w:tcBorders>
            <w:noWrap w:val="0"/>
            <w:vAlign w:val="center"/>
          </w:tcPr>
          <w:p w14:paraId="282BEA11">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100.00%</w:t>
            </w:r>
          </w:p>
        </w:tc>
      </w:tr>
      <w:tr w14:paraId="3333D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3" w:type="pct"/>
            <w:vMerge w:val="restart"/>
            <w:tcBorders>
              <w:top w:val="single" w:color="000000" w:sz="2" w:space="0"/>
              <w:bottom w:val="single" w:color="000000" w:sz="2" w:space="0"/>
            </w:tcBorders>
            <w:noWrap w:val="0"/>
            <w:vAlign w:val="center"/>
          </w:tcPr>
          <w:p w14:paraId="3566E290">
            <w:pPr>
              <w:pStyle w:val="88"/>
              <w:snapToGrid w:val="0"/>
              <w:spacing w:before="56" w:line="332" w:lineRule="auto"/>
              <w:ind w:right="136"/>
              <w:jc w:val="center"/>
              <w:rPr>
                <w:rFonts w:hint="default" w:ascii="Times New Roman" w:hAnsi="Times New Roman" w:cs="Times New Roman"/>
                <w:color w:val="auto"/>
              </w:rPr>
            </w:pPr>
            <w:r>
              <w:rPr>
                <w:rFonts w:hint="default" w:ascii="Times New Roman" w:hAnsi="Times New Roman" w:cs="Times New Roman"/>
                <w:color w:val="auto"/>
                <w:spacing w:val="-3"/>
              </w:rPr>
              <w:t>年度总体</w:t>
            </w:r>
            <w:r>
              <w:rPr>
                <w:rFonts w:hint="default" w:ascii="Times New Roman" w:hAnsi="Times New Roman" w:cs="Times New Roman"/>
                <w:color w:val="auto"/>
                <w:spacing w:val="2"/>
              </w:rPr>
              <w:t xml:space="preserve"> </w:t>
            </w:r>
            <w:r>
              <w:rPr>
                <w:rFonts w:hint="default" w:ascii="Times New Roman" w:hAnsi="Times New Roman" w:cs="Times New Roman"/>
                <w:color w:val="auto"/>
                <w:spacing w:val="-14"/>
              </w:rPr>
              <w:t>目标</w:t>
            </w:r>
          </w:p>
        </w:tc>
        <w:tc>
          <w:tcPr>
            <w:tcW w:w="2088" w:type="pct"/>
            <w:gridSpan w:val="3"/>
            <w:tcBorders>
              <w:top w:val="single" w:color="000000" w:sz="2" w:space="0"/>
              <w:bottom w:val="single" w:color="000000" w:sz="2" w:space="0"/>
            </w:tcBorders>
            <w:noWrap w:val="0"/>
            <w:vAlign w:val="top"/>
          </w:tcPr>
          <w:p w14:paraId="6ABDCFD9">
            <w:pPr>
              <w:pStyle w:val="88"/>
              <w:snapToGrid w:val="0"/>
              <w:spacing w:before="134" w:line="196" w:lineRule="auto"/>
              <w:jc w:val="center"/>
              <w:rPr>
                <w:rFonts w:hint="default" w:ascii="Times New Roman" w:hAnsi="Times New Roman" w:cs="Times New Roman"/>
                <w:color w:val="auto"/>
              </w:rPr>
            </w:pPr>
            <w:r>
              <w:rPr>
                <w:rFonts w:hint="default" w:ascii="Times New Roman" w:hAnsi="Times New Roman" w:cs="Times New Roman"/>
                <w:color w:val="auto"/>
                <w:spacing w:val="-2"/>
              </w:rPr>
              <w:t>预期目标</w:t>
            </w:r>
          </w:p>
        </w:tc>
        <w:tc>
          <w:tcPr>
            <w:tcW w:w="1997" w:type="pct"/>
            <w:gridSpan w:val="3"/>
            <w:tcBorders>
              <w:top w:val="single" w:color="000000" w:sz="2" w:space="0"/>
              <w:bottom w:val="single" w:color="000000" w:sz="2" w:space="0"/>
            </w:tcBorders>
            <w:noWrap w:val="0"/>
            <w:vAlign w:val="top"/>
          </w:tcPr>
          <w:p w14:paraId="29BE267B">
            <w:pPr>
              <w:pStyle w:val="88"/>
              <w:snapToGrid w:val="0"/>
              <w:spacing w:before="132" w:line="198" w:lineRule="auto"/>
              <w:jc w:val="center"/>
              <w:rPr>
                <w:rFonts w:hint="default" w:ascii="Times New Roman" w:hAnsi="Times New Roman" w:cs="Times New Roman"/>
                <w:color w:val="auto"/>
              </w:rPr>
            </w:pPr>
            <w:r>
              <w:rPr>
                <w:rFonts w:hint="default" w:ascii="Times New Roman" w:hAnsi="Times New Roman" w:cs="Times New Roman"/>
                <w:color w:val="auto"/>
                <w:spacing w:val="-2"/>
              </w:rPr>
              <w:t>实际完成情况</w:t>
            </w:r>
          </w:p>
        </w:tc>
      </w:tr>
      <w:tr w14:paraId="539C7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7" w:hRule="atLeast"/>
          <w:jc w:val="center"/>
        </w:trPr>
        <w:tc>
          <w:tcPr>
            <w:tcW w:w="913" w:type="pct"/>
            <w:vMerge w:val="continue"/>
            <w:tcBorders>
              <w:top w:val="single" w:color="000000" w:sz="2" w:space="0"/>
              <w:bottom w:val="single" w:color="000000" w:sz="2" w:space="0"/>
            </w:tcBorders>
            <w:noWrap w:val="0"/>
            <w:vAlign w:val="top"/>
          </w:tcPr>
          <w:p w14:paraId="3E9D7D86">
            <w:pPr>
              <w:snapToGrid w:val="0"/>
              <w:rPr>
                <w:rFonts w:hint="default" w:ascii="Times New Roman" w:hAnsi="Times New Roman" w:cs="Times New Roman"/>
                <w:color w:val="auto"/>
                <w:sz w:val="18"/>
                <w:szCs w:val="18"/>
              </w:rPr>
            </w:pPr>
          </w:p>
        </w:tc>
        <w:tc>
          <w:tcPr>
            <w:tcW w:w="2088" w:type="pct"/>
            <w:gridSpan w:val="3"/>
            <w:tcBorders>
              <w:top w:val="single" w:color="000000" w:sz="2" w:space="0"/>
              <w:bottom w:val="single" w:color="000000" w:sz="2" w:space="0"/>
            </w:tcBorders>
            <w:noWrap w:val="0"/>
            <w:vAlign w:val="top"/>
          </w:tcPr>
          <w:p w14:paraId="7C31C375">
            <w:pPr>
              <w:snapToGrid w:val="0"/>
              <w:spacing w:before="138" w:line="197" w:lineRule="auto"/>
              <w:ind w:left="110" w:right="8" w:firstLine="12"/>
              <w:rPr>
                <w:rFonts w:hint="default" w:ascii="Times New Roman" w:hAnsi="Times New Roman" w:eastAsia="FangSong_GB2312" w:cs="Times New Roman"/>
                <w:color w:val="auto"/>
                <w:sz w:val="18"/>
                <w:szCs w:val="18"/>
              </w:rPr>
            </w:pPr>
            <w:r>
              <w:rPr>
                <w:rFonts w:hint="default" w:ascii="Times New Roman" w:hAnsi="Times New Roman" w:eastAsia="FangSong_GB2312" w:cs="Times New Roman"/>
                <w:color w:val="auto"/>
                <w:sz w:val="20"/>
                <w:szCs w:val="20"/>
              </w:rPr>
              <w:t>通过开展统计调查、统计监测、统计分析、统计报告等相关统计工作。不断提升统计服务质量，较好</w:t>
            </w:r>
            <w:r>
              <w:rPr>
                <w:rFonts w:hint="default" w:ascii="Times New Roman" w:hAnsi="Times New Roman" w:eastAsia="FangSong_GB2312" w:cs="Times New Roman"/>
                <w:color w:val="auto"/>
                <w:sz w:val="20"/>
                <w:szCs w:val="20"/>
                <w:lang w:val="en-US" w:eastAsia="zh-CN"/>
              </w:rPr>
              <w:t>地</w:t>
            </w:r>
            <w:r>
              <w:rPr>
                <w:rFonts w:hint="default" w:ascii="Times New Roman" w:hAnsi="Times New Roman" w:eastAsia="FangSong_GB2312" w:cs="Times New Roman"/>
                <w:color w:val="auto"/>
                <w:sz w:val="20"/>
                <w:szCs w:val="20"/>
              </w:rPr>
              <w:t>发挥统计工作在和龙市社会经济发展方面的职能作用，为市委</w:t>
            </w:r>
            <w:r>
              <w:rPr>
                <w:rFonts w:hint="default" w:ascii="Times New Roman" w:hAnsi="Times New Roman" w:eastAsia="FangSong_GB2312" w:cs="Times New Roman"/>
                <w:color w:val="auto"/>
                <w:sz w:val="20"/>
                <w:szCs w:val="20"/>
                <w:lang w:eastAsia="zh-CN"/>
              </w:rPr>
              <w:t>、</w:t>
            </w:r>
            <w:r>
              <w:rPr>
                <w:rFonts w:hint="default" w:ascii="Times New Roman" w:hAnsi="Times New Roman" w:eastAsia="FangSong_GB2312" w:cs="Times New Roman"/>
                <w:color w:val="auto"/>
                <w:sz w:val="20"/>
                <w:szCs w:val="20"/>
              </w:rPr>
              <w:t>市政府提供经济运行各项指标及经济运行分析预测，研判经济发展态势。全面、及时、准确地上报各专业统计报表，及时发布统计公报，印发《统计年鉴》。</w:t>
            </w:r>
          </w:p>
        </w:tc>
        <w:tc>
          <w:tcPr>
            <w:tcW w:w="1997" w:type="pct"/>
            <w:gridSpan w:val="3"/>
            <w:tcBorders>
              <w:top w:val="single" w:color="000000" w:sz="2" w:space="0"/>
              <w:bottom w:val="single" w:color="000000" w:sz="2" w:space="0"/>
            </w:tcBorders>
            <w:noWrap w:val="0"/>
            <w:vAlign w:val="top"/>
          </w:tcPr>
          <w:p w14:paraId="442AE1A4">
            <w:pPr>
              <w:snapToGrid w:val="0"/>
              <w:spacing w:before="138" w:line="197" w:lineRule="auto"/>
              <w:ind w:left="110" w:right="8" w:firstLine="12"/>
              <w:rPr>
                <w:rFonts w:hint="default" w:ascii="Times New Roman" w:hAnsi="Times New Roman" w:eastAsia="FangSong_GB2312" w:cs="Times New Roman"/>
                <w:color w:val="auto"/>
                <w:sz w:val="18"/>
                <w:szCs w:val="18"/>
              </w:rPr>
            </w:pPr>
            <w:r>
              <w:rPr>
                <w:rFonts w:hint="default" w:ascii="Times New Roman" w:hAnsi="Times New Roman" w:eastAsia="FangSong_GB2312" w:cs="Times New Roman"/>
                <w:color w:val="auto"/>
                <w:sz w:val="20"/>
                <w:szCs w:val="20"/>
              </w:rPr>
              <w:t>按时开展了统计调查、统计监测、统计分析、统计报告等相关统计工作。不断提升统计服务质量，为市委</w:t>
            </w:r>
            <w:r>
              <w:rPr>
                <w:rFonts w:hint="default" w:ascii="Times New Roman" w:hAnsi="Times New Roman" w:eastAsia="FangSong_GB2312" w:cs="Times New Roman"/>
                <w:color w:val="auto"/>
                <w:sz w:val="20"/>
                <w:szCs w:val="20"/>
                <w:lang w:eastAsia="zh-CN"/>
              </w:rPr>
              <w:t>、</w:t>
            </w:r>
            <w:r>
              <w:rPr>
                <w:rFonts w:hint="default" w:ascii="Times New Roman" w:hAnsi="Times New Roman" w:eastAsia="FangSong_GB2312" w:cs="Times New Roman"/>
                <w:color w:val="auto"/>
                <w:sz w:val="20"/>
                <w:szCs w:val="20"/>
              </w:rPr>
              <w:t>市政府提供经济运行各项指标及经济运行分析预测，研判经济发展态势。</w:t>
            </w:r>
          </w:p>
        </w:tc>
      </w:tr>
      <w:tr w14:paraId="29A56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913" w:type="pct"/>
            <w:vMerge w:val="restart"/>
            <w:tcBorders>
              <w:top w:val="single" w:color="000000" w:sz="2" w:space="0"/>
            </w:tcBorders>
            <w:noWrap w:val="0"/>
            <w:vAlign w:val="center"/>
          </w:tcPr>
          <w:p w14:paraId="0942A927">
            <w:pPr>
              <w:pStyle w:val="88"/>
              <w:snapToGrid w:val="0"/>
              <w:spacing w:before="56" w:line="198" w:lineRule="auto"/>
              <w:jc w:val="center"/>
              <w:rPr>
                <w:rFonts w:hint="default" w:ascii="Times New Roman" w:hAnsi="Times New Roman" w:cs="Times New Roman"/>
                <w:color w:val="auto"/>
              </w:rPr>
            </w:pPr>
            <w:r>
              <w:rPr>
                <w:rFonts w:hint="default" w:ascii="Times New Roman" w:hAnsi="Times New Roman" w:cs="Times New Roman"/>
                <w:color w:val="auto"/>
                <w:spacing w:val="-2"/>
              </w:rPr>
              <w:t>绩效指标</w:t>
            </w:r>
          </w:p>
        </w:tc>
        <w:tc>
          <w:tcPr>
            <w:tcW w:w="250" w:type="pct"/>
            <w:tcBorders>
              <w:top w:val="single" w:color="000000" w:sz="2" w:space="0"/>
              <w:bottom w:val="single" w:color="000000" w:sz="2" w:space="0"/>
            </w:tcBorders>
            <w:noWrap w:val="0"/>
            <w:vAlign w:val="top"/>
          </w:tcPr>
          <w:p w14:paraId="2833A441">
            <w:pPr>
              <w:pStyle w:val="88"/>
              <w:snapToGrid w:val="0"/>
              <w:spacing w:before="249" w:line="196" w:lineRule="auto"/>
              <w:jc w:val="center"/>
              <w:rPr>
                <w:rFonts w:hint="default" w:ascii="Times New Roman" w:hAnsi="Times New Roman" w:cs="Times New Roman"/>
                <w:color w:val="auto"/>
              </w:rPr>
            </w:pPr>
            <w:r>
              <w:rPr>
                <w:rFonts w:hint="default" w:ascii="Times New Roman" w:hAnsi="Times New Roman" w:cs="Times New Roman"/>
                <w:color w:val="auto"/>
                <w:spacing w:val="-3"/>
              </w:rPr>
              <w:t>一级指标</w:t>
            </w:r>
          </w:p>
        </w:tc>
        <w:tc>
          <w:tcPr>
            <w:tcW w:w="356" w:type="pct"/>
            <w:tcBorders>
              <w:top w:val="single" w:color="000000" w:sz="2" w:space="0"/>
              <w:bottom w:val="single" w:color="000000" w:sz="2" w:space="0"/>
            </w:tcBorders>
            <w:noWrap w:val="0"/>
            <w:vAlign w:val="top"/>
          </w:tcPr>
          <w:p w14:paraId="10A92841">
            <w:pPr>
              <w:pStyle w:val="88"/>
              <w:snapToGrid w:val="0"/>
              <w:spacing w:before="249" w:line="196" w:lineRule="auto"/>
              <w:jc w:val="center"/>
              <w:rPr>
                <w:rFonts w:hint="default" w:ascii="Times New Roman" w:hAnsi="Times New Roman" w:cs="Times New Roman"/>
                <w:color w:val="auto"/>
              </w:rPr>
            </w:pPr>
            <w:r>
              <w:rPr>
                <w:rFonts w:hint="default" w:ascii="Times New Roman" w:hAnsi="Times New Roman" w:cs="Times New Roman"/>
                <w:color w:val="auto"/>
                <w:spacing w:val="-3"/>
              </w:rPr>
              <w:t>二级指标</w:t>
            </w:r>
          </w:p>
        </w:tc>
        <w:tc>
          <w:tcPr>
            <w:tcW w:w="1481" w:type="pct"/>
            <w:tcBorders>
              <w:top w:val="single" w:color="000000" w:sz="2" w:space="0"/>
              <w:bottom w:val="single" w:color="000000" w:sz="2" w:space="0"/>
            </w:tcBorders>
            <w:noWrap w:val="0"/>
            <w:vAlign w:val="top"/>
          </w:tcPr>
          <w:p w14:paraId="3150157C">
            <w:pPr>
              <w:pStyle w:val="88"/>
              <w:snapToGrid w:val="0"/>
              <w:spacing w:before="249" w:line="196" w:lineRule="auto"/>
              <w:ind w:left="676"/>
              <w:rPr>
                <w:rFonts w:hint="default" w:ascii="Times New Roman" w:hAnsi="Times New Roman" w:cs="Times New Roman"/>
                <w:color w:val="auto"/>
              </w:rPr>
            </w:pPr>
            <w:r>
              <w:rPr>
                <w:rFonts w:hint="default" w:ascii="Times New Roman" w:hAnsi="Times New Roman" w:cs="Times New Roman"/>
                <w:color w:val="auto"/>
                <w:spacing w:val="-3"/>
              </w:rPr>
              <w:t>三级指标</w:t>
            </w:r>
          </w:p>
        </w:tc>
        <w:tc>
          <w:tcPr>
            <w:tcW w:w="632" w:type="pct"/>
            <w:tcBorders>
              <w:top w:val="single" w:color="000000" w:sz="2" w:space="0"/>
              <w:bottom w:val="single" w:color="000000" w:sz="2" w:space="0"/>
            </w:tcBorders>
            <w:noWrap w:val="0"/>
            <w:vAlign w:val="top"/>
          </w:tcPr>
          <w:p w14:paraId="3E5835E1">
            <w:pPr>
              <w:pStyle w:val="88"/>
              <w:snapToGrid w:val="0"/>
              <w:spacing w:before="247" w:line="198" w:lineRule="auto"/>
              <w:ind w:left="153"/>
              <w:rPr>
                <w:rFonts w:hint="default" w:ascii="Times New Roman" w:hAnsi="Times New Roman" w:cs="Times New Roman"/>
                <w:color w:val="auto"/>
              </w:rPr>
            </w:pPr>
            <w:r>
              <w:rPr>
                <w:rFonts w:hint="default" w:ascii="Times New Roman" w:hAnsi="Times New Roman" w:cs="Times New Roman"/>
                <w:color w:val="auto"/>
                <w:spacing w:val="-2"/>
              </w:rPr>
              <w:t>年度指标值</w:t>
            </w:r>
          </w:p>
        </w:tc>
        <w:tc>
          <w:tcPr>
            <w:tcW w:w="508" w:type="pct"/>
            <w:tcBorders>
              <w:top w:val="single" w:color="000000" w:sz="2" w:space="0"/>
              <w:bottom w:val="single" w:color="000000" w:sz="2" w:space="0"/>
            </w:tcBorders>
            <w:noWrap w:val="0"/>
            <w:vAlign w:val="top"/>
          </w:tcPr>
          <w:p w14:paraId="7FD4CD97">
            <w:pPr>
              <w:pStyle w:val="88"/>
              <w:snapToGrid w:val="0"/>
              <w:spacing w:before="247" w:line="198" w:lineRule="auto"/>
              <w:jc w:val="center"/>
              <w:rPr>
                <w:rFonts w:hint="default" w:ascii="Times New Roman" w:hAnsi="Times New Roman" w:cs="Times New Roman"/>
                <w:color w:val="auto"/>
              </w:rPr>
            </w:pPr>
            <w:r>
              <w:rPr>
                <w:rFonts w:hint="default" w:ascii="Times New Roman" w:hAnsi="Times New Roman" w:cs="Times New Roman"/>
                <w:color w:val="auto"/>
                <w:spacing w:val="-3"/>
              </w:rPr>
              <w:t>实际完成值</w:t>
            </w:r>
          </w:p>
        </w:tc>
        <w:tc>
          <w:tcPr>
            <w:tcW w:w="856" w:type="pct"/>
            <w:tcBorders>
              <w:top w:val="single" w:color="000000" w:sz="2" w:space="0"/>
              <w:bottom w:val="single" w:color="000000" w:sz="2" w:space="0"/>
            </w:tcBorders>
            <w:noWrap w:val="0"/>
            <w:vAlign w:val="top"/>
          </w:tcPr>
          <w:p w14:paraId="2DC0C881">
            <w:pPr>
              <w:pStyle w:val="88"/>
              <w:snapToGrid w:val="0"/>
              <w:spacing w:before="87" w:line="291" w:lineRule="auto"/>
              <w:ind w:left="364" w:right="113" w:hanging="246"/>
              <w:rPr>
                <w:rFonts w:hint="default" w:ascii="Times New Roman" w:hAnsi="Times New Roman" w:cs="Times New Roman"/>
                <w:color w:val="auto"/>
              </w:rPr>
            </w:pPr>
            <w:r>
              <w:rPr>
                <w:rFonts w:hint="default" w:ascii="Times New Roman" w:hAnsi="Times New Roman" w:cs="Times New Roman"/>
                <w:color w:val="auto"/>
                <w:spacing w:val="-1"/>
              </w:rPr>
              <w:t>偏差原因分析及</w:t>
            </w:r>
            <w:r>
              <w:rPr>
                <w:rFonts w:hint="default" w:ascii="Times New Roman" w:hAnsi="Times New Roman" w:cs="Times New Roman"/>
                <w:color w:val="auto"/>
                <w:spacing w:val="2"/>
              </w:rPr>
              <w:t xml:space="preserve"> </w:t>
            </w:r>
            <w:r>
              <w:rPr>
                <w:rFonts w:hint="default" w:ascii="Times New Roman" w:hAnsi="Times New Roman" w:cs="Times New Roman"/>
                <w:color w:val="auto"/>
                <w:spacing w:val="-3"/>
              </w:rPr>
              <w:t>改进措施</w:t>
            </w:r>
          </w:p>
        </w:tc>
      </w:tr>
      <w:tr w14:paraId="4EBF0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3" w:type="pct"/>
            <w:vMerge w:val="continue"/>
            <w:noWrap w:val="0"/>
            <w:vAlign w:val="top"/>
          </w:tcPr>
          <w:p w14:paraId="7971B987">
            <w:pPr>
              <w:snapToGrid w:val="0"/>
              <w:rPr>
                <w:rFonts w:hint="default" w:ascii="Times New Roman" w:hAnsi="Times New Roman" w:cs="Times New Roman"/>
                <w:color w:val="auto"/>
                <w:sz w:val="21"/>
              </w:rPr>
            </w:pPr>
          </w:p>
        </w:tc>
        <w:tc>
          <w:tcPr>
            <w:tcW w:w="250" w:type="pct"/>
            <w:tcBorders>
              <w:top w:val="single" w:color="000000" w:sz="2" w:space="0"/>
              <w:bottom w:val="single" w:color="000000" w:sz="2" w:space="0"/>
            </w:tcBorders>
            <w:noWrap w:val="0"/>
            <w:vAlign w:val="center"/>
          </w:tcPr>
          <w:p w14:paraId="732A4CE5">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成本指标</w:t>
            </w:r>
          </w:p>
        </w:tc>
        <w:tc>
          <w:tcPr>
            <w:tcW w:w="356" w:type="pct"/>
            <w:tcBorders>
              <w:top w:val="single" w:color="000000" w:sz="2" w:space="0"/>
              <w:bottom w:val="single" w:color="000000" w:sz="2" w:space="0"/>
            </w:tcBorders>
            <w:noWrap w:val="0"/>
            <w:vAlign w:val="center"/>
          </w:tcPr>
          <w:p w14:paraId="041CA5F6">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经济成本指标</w:t>
            </w:r>
          </w:p>
        </w:tc>
        <w:tc>
          <w:tcPr>
            <w:tcW w:w="1481" w:type="pct"/>
            <w:tcBorders>
              <w:top w:val="single" w:color="000000" w:sz="2" w:space="0"/>
              <w:bottom w:val="single" w:color="000000" w:sz="2" w:space="0"/>
            </w:tcBorders>
            <w:noWrap w:val="0"/>
            <w:vAlign w:val="center"/>
          </w:tcPr>
          <w:p w14:paraId="1B6F4C66">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单册年鉴出版成本</w:t>
            </w:r>
          </w:p>
        </w:tc>
        <w:tc>
          <w:tcPr>
            <w:tcW w:w="632" w:type="pct"/>
            <w:tcBorders>
              <w:top w:val="single" w:color="000000" w:sz="2" w:space="0"/>
              <w:bottom w:val="single" w:color="000000" w:sz="2" w:space="0"/>
            </w:tcBorders>
            <w:noWrap w:val="0"/>
            <w:vAlign w:val="center"/>
          </w:tcPr>
          <w:p w14:paraId="2DBAA123">
            <w:pPr>
              <w:keepNext w:val="0"/>
              <w:keepLines w:val="0"/>
              <w:widowControl/>
              <w:suppressLineNumbers w:val="0"/>
              <w:snapToGrid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华文细黑" w:cs="Times New Roman"/>
                <w:i w:val="0"/>
                <w:iCs w:val="0"/>
                <w:color w:val="auto"/>
                <w:kern w:val="0"/>
                <w:sz w:val="16"/>
                <w:szCs w:val="16"/>
                <w:u w:val="none"/>
                <w:lang w:val="en-US" w:eastAsia="zh-CN" w:bidi="ar"/>
              </w:rPr>
              <w:t>&lt;=200元/册</w:t>
            </w:r>
          </w:p>
        </w:tc>
        <w:tc>
          <w:tcPr>
            <w:tcW w:w="508" w:type="pct"/>
            <w:tcBorders>
              <w:top w:val="single" w:color="000000" w:sz="2" w:space="0"/>
              <w:bottom w:val="single" w:color="000000" w:sz="2" w:space="0"/>
            </w:tcBorders>
            <w:noWrap w:val="0"/>
            <w:vAlign w:val="center"/>
          </w:tcPr>
          <w:p w14:paraId="262F74B3">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125元/册</w:t>
            </w:r>
          </w:p>
        </w:tc>
        <w:tc>
          <w:tcPr>
            <w:tcW w:w="856" w:type="pct"/>
            <w:tcBorders>
              <w:top w:val="single" w:color="000000" w:sz="2" w:space="0"/>
              <w:bottom w:val="single" w:color="000000" w:sz="2" w:space="0"/>
            </w:tcBorders>
            <w:noWrap w:val="0"/>
            <w:vAlign w:val="center"/>
          </w:tcPr>
          <w:p w14:paraId="50EE4EE8">
            <w:pPr>
              <w:keepNext w:val="0"/>
              <w:keepLines w:val="0"/>
              <w:pageBreakBefore w:val="0"/>
              <w:widowControl/>
              <w:suppressLineNumbers w:val="0"/>
              <w:kinsoku/>
              <w:wordWrap/>
              <w:overflowPunct/>
              <w:topLinePunct w:val="0"/>
              <w:autoSpaceDE/>
              <w:autoSpaceDN/>
              <w:bidi w:val="0"/>
              <w:adjustRightInd/>
              <w:snapToGrid w:val="0"/>
              <w:spacing w:line="240" w:lineRule="exact"/>
              <w:jc w:val="both"/>
              <w:textAlignment w:val="center"/>
              <w:rPr>
                <w:rFonts w:hint="default" w:ascii="Times New Roman" w:hAnsi="Times New Roman" w:cs="Times New Roman"/>
                <w:color w:val="auto"/>
                <w:lang w:val="en-US"/>
              </w:rPr>
            </w:pPr>
            <w:r>
              <w:rPr>
                <w:rFonts w:hint="default" w:ascii="Times New Roman" w:hAnsi="Times New Roman" w:eastAsia="FangSong_GB2312" w:cs="Times New Roman"/>
                <w:color w:val="auto"/>
                <w:sz w:val="20"/>
                <w:szCs w:val="20"/>
                <w:lang w:val="en-US" w:eastAsia="zh-CN"/>
              </w:rPr>
              <w:t>本着节约成本的原则，今年对多家印刷厂进行考核，最终选择物美价廉的合作方。改进措施：今后将定期到市场进行询价，保证指标值更贴近实际情况，避免差距过大。</w:t>
            </w:r>
          </w:p>
        </w:tc>
      </w:tr>
      <w:tr w14:paraId="7FE5C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913" w:type="pct"/>
            <w:vMerge w:val="continue"/>
            <w:noWrap w:val="0"/>
            <w:vAlign w:val="top"/>
          </w:tcPr>
          <w:p w14:paraId="3D9F9137">
            <w:pPr>
              <w:snapToGrid w:val="0"/>
              <w:rPr>
                <w:rFonts w:hint="default" w:ascii="Times New Roman" w:hAnsi="Times New Roman" w:cs="Times New Roman"/>
                <w:color w:val="auto"/>
                <w:sz w:val="21"/>
              </w:rPr>
            </w:pPr>
          </w:p>
        </w:tc>
        <w:tc>
          <w:tcPr>
            <w:tcW w:w="250" w:type="pct"/>
            <w:vMerge w:val="restart"/>
            <w:tcBorders>
              <w:top w:val="single" w:color="000000" w:sz="2" w:space="0"/>
              <w:bottom w:val="single" w:color="000000" w:sz="2" w:space="0"/>
            </w:tcBorders>
            <w:noWrap w:val="0"/>
            <w:vAlign w:val="center"/>
          </w:tcPr>
          <w:p w14:paraId="333CC83D">
            <w:pPr>
              <w:pStyle w:val="88"/>
              <w:snapToGrid w:val="0"/>
              <w:spacing w:before="56" w:line="196" w:lineRule="auto"/>
              <w:jc w:val="center"/>
              <w:rPr>
                <w:rFonts w:hint="default" w:ascii="Times New Roman" w:hAnsi="Times New Roman" w:cs="Times New Roman"/>
                <w:color w:val="auto"/>
              </w:rPr>
            </w:pPr>
            <w:r>
              <w:rPr>
                <w:rFonts w:hint="default" w:ascii="Times New Roman" w:hAnsi="Times New Roman" w:cs="Times New Roman"/>
                <w:color w:val="auto"/>
                <w:spacing w:val="-3"/>
              </w:rPr>
              <w:t>产出指标</w:t>
            </w:r>
          </w:p>
        </w:tc>
        <w:tc>
          <w:tcPr>
            <w:tcW w:w="356" w:type="pct"/>
            <w:vMerge w:val="restart"/>
            <w:tcBorders>
              <w:top w:val="single" w:color="000000" w:sz="2" w:space="0"/>
            </w:tcBorders>
            <w:noWrap w:val="0"/>
            <w:vAlign w:val="center"/>
          </w:tcPr>
          <w:p w14:paraId="3AAF84AE">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数量指标</w:t>
            </w:r>
          </w:p>
        </w:tc>
        <w:tc>
          <w:tcPr>
            <w:tcW w:w="1481" w:type="pct"/>
            <w:tcBorders>
              <w:top w:val="single" w:color="000000" w:sz="2" w:space="0"/>
              <w:bottom w:val="single" w:color="000000" w:sz="2" w:space="0"/>
            </w:tcBorders>
            <w:noWrap w:val="0"/>
            <w:vAlign w:val="center"/>
          </w:tcPr>
          <w:p w14:paraId="76C1FA5E">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统计信息发布条数</w:t>
            </w:r>
          </w:p>
        </w:tc>
        <w:tc>
          <w:tcPr>
            <w:tcW w:w="632" w:type="pct"/>
            <w:tcBorders>
              <w:top w:val="single" w:color="000000" w:sz="2" w:space="0"/>
              <w:bottom w:val="single" w:color="000000" w:sz="2" w:space="0"/>
            </w:tcBorders>
            <w:noWrap w:val="0"/>
            <w:vAlign w:val="center"/>
          </w:tcPr>
          <w:p w14:paraId="2C22EF19">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&gt;=10篇</w:t>
            </w:r>
          </w:p>
        </w:tc>
        <w:tc>
          <w:tcPr>
            <w:tcW w:w="508" w:type="pct"/>
            <w:tcBorders>
              <w:top w:val="single" w:color="000000" w:sz="2" w:space="0"/>
              <w:bottom w:val="single" w:color="000000" w:sz="2" w:space="0"/>
            </w:tcBorders>
            <w:noWrap w:val="0"/>
            <w:vAlign w:val="center"/>
          </w:tcPr>
          <w:p w14:paraId="28425109">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10篇</w:t>
            </w:r>
          </w:p>
        </w:tc>
        <w:tc>
          <w:tcPr>
            <w:tcW w:w="856" w:type="pct"/>
            <w:tcBorders>
              <w:top w:val="single" w:color="000000" w:sz="2" w:space="0"/>
              <w:bottom w:val="single" w:color="000000" w:sz="2" w:space="0"/>
            </w:tcBorders>
            <w:noWrap w:val="0"/>
            <w:vAlign w:val="center"/>
          </w:tcPr>
          <w:p w14:paraId="6B0AA4C6">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无偏差</w:t>
            </w:r>
          </w:p>
        </w:tc>
      </w:tr>
      <w:tr w14:paraId="417D0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jc w:val="center"/>
        </w:trPr>
        <w:tc>
          <w:tcPr>
            <w:tcW w:w="913" w:type="pct"/>
            <w:vMerge w:val="continue"/>
            <w:noWrap w:val="0"/>
            <w:vAlign w:val="top"/>
          </w:tcPr>
          <w:p w14:paraId="7959EF27">
            <w:pPr>
              <w:snapToGrid w:val="0"/>
              <w:rPr>
                <w:rFonts w:hint="default" w:ascii="Times New Roman" w:hAnsi="Times New Roman" w:cs="Times New Roman"/>
                <w:color w:val="auto"/>
                <w:sz w:val="21"/>
              </w:rPr>
            </w:pPr>
          </w:p>
        </w:tc>
        <w:tc>
          <w:tcPr>
            <w:tcW w:w="250" w:type="pct"/>
            <w:vMerge w:val="continue"/>
            <w:tcBorders>
              <w:top w:val="single" w:color="000000" w:sz="2" w:space="0"/>
              <w:bottom w:val="single" w:color="000000" w:sz="2" w:space="0"/>
            </w:tcBorders>
            <w:noWrap w:val="0"/>
            <w:vAlign w:val="top"/>
          </w:tcPr>
          <w:p w14:paraId="6F6AB305">
            <w:pPr>
              <w:snapToGrid w:val="0"/>
              <w:rPr>
                <w:rFonts w:hint="default" w:ascii="Times New Roman" w:hAnsi="Times New Roman" w:cs="Times New Roman"/>
                <w:color w:val="auto"/>
                <w:sz w:val="21"/>
              </w:rPr>
            </w:pPr>
          </w:p>
        </w:tc>
        <w:tc>
          <w:tcPr>
            <w:tcW w:w="356" w:type="pct"/>
            <w:vMerge w:val="continue"/>
            <w:noWrap w:val="0"/>
            <w:vAlign w:val="center"/>
          </w:tcPr>
          <w:p w14:paraId="6012B58C">
            <w:pPr>
              <w:keepNext w:val="0"/>
              <w:keepLines w:val="0"/>
              <w:widowControl/>
              <w:suppressLineNumbers w:val="0"/>
              <w:snapToGrid w:val="0"/>
              <w:jc w:val="center"/>
              <w:textAlignment w:val="center"/>
              <w:rPr>
                <w:rFonts w:hint="default" w:ascii="Times New Roman" w:hAnsi="Times New Roman" w:cs="Times New Roman"/>
                <w:color w:val="auto"/>
                <w:sz w:val="21"/>
              </w:rPr>
            </w:pPr>
          </w:p>
        </w:tc>
        <w:tc>
          <w:tcPr>
            <w:tcW w:w="1481" w:type="pct"/>
            <w:tcBorders>
              <w:top w:val="single" w:color="000000" w:sz="2" w:space="0"/>
              <w:bottom w:val="single" w:color="000000" w:sz="2" w:space="0"/>
            </w:tcBorders>
            <w:noWrap w:val="0"/>
            <w:vAlign w:val="center"/>
          </w:tcPr>
          <w:p w14:paraId="57BD4436">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形成《月报》数量</w:t>
            </w:r>
          </w:p>
        </w:tc>
        <w:tc>
          <w:tcPr>
            <w:tcW w:w="632" w:type="pct"/>
            <w:tcBorders>
              <w:top w:val="single" w:color="000000" w:sz="2" w:space="0"/>
              <w:bottom w:val="single" w:color="000000" w:sz="2" w:space="0"/>
            </w:tcBorders>
            <w:noWrap w:val="0"/>
            <w:vAlign w:val="center"/>
          </w:tcPr>
          <w:p w14:paraId="3AEBB58B">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&gt;=10本</w:t>
            </w:r>
          </w:p>
        </w:tc>
        <w:tc>
          <w:tcPr>
            <w:tcW w:w="508" w:type="pct"/>
            <w:tcBorders>
              <w:top w:val="single" w:color="000000" w:sz="2" w:space="0"/>
              <w:bottom w:val="single" w:color="000000" w:sz="2" w:space="0"/>
            </w:tcBorders>
            <w:noWrap w:val="0"/>
            <w:vAlign w:val="center"/>
          </w:tcPr>
          <w:p w14:paraId="25716DFF">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10本</w:t>
            </w:r>
          </w:p>
        </w:tc>
        <w:tc>
          <w:tcPr>
            <w:tcW w:w="856" w:type="pct"/>
            <w:tcBorders>
              <w:top w:val="single" w:color="000000" w:sz="2" w:space="0"/>
              <w:bottom w:val="single" w:color="000000" w:sz="2" w:space="0"/>
            </w:tcBorders>
            <w:noWrap w:val="0"/>
            <w:vAlign w:val="center"/>
          </w:tcPr>
          <w:p w14:paraId="13428AE7">
            <w:pPr>
              <w:keepNext w:val="0"/>
              <w:keepLines w:val="0"/>
              <w:widowControl/>
              <w:suppressLineNumbers w:val="0"/>
              <w:snapToGrid w:val="0"/>
              <w:jc w:val="center"/>
              <w:textAlignment w:val="center"/>
              <w:rPr>
                <w:rFonts w:hint="default" w:ascii="Times New Roman" w:hAnsi="Times New Roman" w:eastAsia="FangSong_GB2312" w:cs="Times New Roman"/>
                <w:color w:val="auto"/>
                <w:sz w:val="19"/>
                <w:szCs w:val="19"/>
              </w:rPr>
            </w:pPr>
            <w:r>
              <w:rPr>
                <w:rFonts w:hint="default" w:ascii="Times New Roman" w:hAnsi="Times New Roman" w:eastAsia="华文细黑" w:cs="Times New Roman"/>
                <w:i w:val="0"/>
                <w:iCs w:val="0"/>
                <w:color w:val="auto"/>
                <w:kern w:val="0"/>
                <w:sz w:val="16"/>
                <w:szCs w:val="16"/>
                <w:u w:val="none"/>
                <w:lang w:val="en-US" w:eastAsia="zh-CN" w:bidi="ar"/>
              </w:rPr>
              <w:t>无偏差</w:t>
            </w:r>
          </w:p>
        </w:tc>
      </w:tr>
      <w:tr w14:paraId="1943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913" w:type="pct"/>
            <w:vMerge w:val="continue"/>
            <w:noWrap w:val="0"/>
            <w:vAlign w:val="top"/>
          </w:tcPr>
          <w:p w14:paraId="4E4EDDEB">
            <w:pPr>
              <w:snapToGrid w:val="0"/>
              <w:rPr>
                <w:rFonts w:hint="default" w:ascii="Times New Roman" w:hAnsi="Times New Roman" w:cs="Times New Roman"/>
                <w:color w:val="auto"/>
                <w:sz w:val="21"/>
              </w:rPr>
            </w:pPr>
          </w:p>
        </w:tc>
        <w:tc>
          <w:tcPr>
            <w:tcW w:w="250" w:type="pct"/>
            <w:vMerge w:val="continue"/>
            <w:tcBorders>
              <w:top w:val="single" w:color="000000" w:sz="2" w:space="0"/>
              <w:bottom w:val="single" w:color="000000" w:sz="2" w:space="0"/>
            </w:tcBorders>
            <w:noWrap w:val="0"/>
            <w:vAlign w:val="top"/>
          </w:tcPr>
          <w:p w14:paraId="001E9110">
            <w:pPr>
              <w:snapToGrid w:val="0"/>
              <w:rPr>
                <w:rFonts w:hint="default" w:ascii="Times New Roman" w:hAnsi="Times New Roman" w:cs="Times New Roman"/>
                <w:color w:val="auto"/>
                <w:sz w:val="21"/>
              </w:rPr>
            </w:pPr>
          </w:p>
        </w:tc>
        <w:tc>
          <w:tcPr>
            <w:tcW w:w="356" w:type="pct"/>
            <w:vMerge w:val="continue"/>
            <w:noWrap w:val="0"/>
            <w:vAlign w:val="center"/>
          </w:tcPr>
          <w:p w14:paraId="7CEE25B9">
            <w:pPr>
              <w:pStyle w:val="88"/>
              <w:snapToGrid w:val="0"/>
              <w:spacing w:before="179" w:line="198" w:lineRule="auto"/>
              <w:jc w:val="center"/>
              <w:rPr>
                <w:rFonts w:hint="default" w:ascii="Times New Roman" w:hAnsi="Times New Roman" w:cs="Times New Roman"/>
                <w:color w:val="auto"/>
              </w:rPr>
            </w:pPr>
          </w:p>
        </w:tc>
        <w:tc>
          <w:tcPr>
            <w:tcW w:w="1481" w:type="pct"/>
            <w:tcBorders>
              <w:top w:val="single" w:color="000000" w:sz="2" w:space="0"/>
              <w:bottom w:val="single" w:color="000000" w:sz="2" w:space="0"/>
            </w:tcBorders>
            <w:noWrap w:val="0"/>
            <w:vAlign w:val="center"/>
          </w:tcPr>
          <w:p w14:paraId="62F4175E">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统计分析报告篇数</w:t>
            </w:r>
          </w:p>
        </w:tc>
        <w:tc>
          <w:tcPr>
            <w:tcW w:w="632" w:type="pct"/>
            <w:tcBorders>
              <w:top w:val="single" w:color="000000" w:sz="2" w:space="0"/>
              <w:bottom w:val="single" w:color="000000" w:sz="2" w:space="0"/>
            </w:tcBorders>
            <w:noWrap w:val="0"/>
            <w:vAlign w:val="center"/>
          </w:tcPr>
          <w:p w14:paraId="6AD44CEF">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&gt;=4篇</w:t>
            </w:r>
          </w:p>
        </w:tc>
        <w:tc>
          <w:tcPr>
            <w:tcW w:w="508" w:type="pct"/>
            <w:tcBorders>
              <w:top w:val="single" w:color="000000" w:sz="2" w:space="0"/>
              <w:bottom w:val="single" w:color="000000" w:sz="2" w:space="0"/>
            </w:tcBorders>
            <w:noWrap w:val="0"/>
            <w:vAlign w:val="center"/>
          </w:tcPr>
          <w:p w14:paraId="53BFEDDE">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4篇</w:t>
            </w:r>
          </w:p>
        </w:tc>
        <w:tc>
          <w:tcPr>
            <w:tcW w:w="856" w:type="pct"/>
            <w:tcBorders>
              <w:top w:val="single" w:color="000000" w:sz="2" w:space="0"/>
              <w:bottom w:val="single" w:color="000000" w:sz="2" w:space="0"/>
            </w:tcBorders>
            <w:noWrap w:val="0"/>
            <w:vAlign w:val="center"/>
          </w:tcPr>
          <w:p w14:paraId="0166788D">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无偏差</w:t>
            </w:r>
          </w:p>
        </w:tc>
      </w:tr>
      <w:tr w14:paraId="6270A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913" w:type="pct"/>
            <w:vMerge w:val="continue"/>
            <w:noWrap w:val="0"/>
            <w:vAlign w:val="top"/>
          </w:tcPr>
          <w:p w14:paraId="177B642B">
            <w:pPr>
              <w:snapToGrid w:val="0"/>
              <w:rPr>
                <w:rFonts w:hint="default" w:ascii="Times New Roman" w:hAnsi="Times New Roman" w:cs="Times New Roman"/>
                <w:color w:val="auto"/>
                <w:sz w:val="21"/>
              </w:rPr>
            </w:pPr>
          </w:p>
        </w:tc>
        <w:tc>
          <w:tcPr>
            <w:tcW w:w="250" w:type="pct"/>
            <w:vMerge w:val="continue"/>
            <w:tcBorders>
              <w:top w:val="single" w:color="000000" w:sz="2" w:space="0"/>
              <w:bottom w:val="single" w:color="000000" w:sz="2" w:space="0"/>
            </w:tcBorders>
            <w:noWrap w:val="0"/>
            <w:vAlign w:val="top"/>
          </w:tcPr>
          <w:p w14:paraId="42415701">
            <w:pPr>
              <w:snapToGrid w:val="0"/>
              <w:rPr>
                <w:rFonts w:hint="default" w:ascii="Times New Roman" w:hAnsi="Times New Roman" w:cs="Times New Roman"/>
                <w:color w:val="auto"/>
                <w:sz w:val="21"/>
              </w:rPr>
            </w:pPr>
          </w:p>
        </w:tc>
        <w:tc>
          <w:tcPr>
            <w:tcW w:w="356" w:type="pct"/>
            <w:vMerge w:val="continue"/>
            <w:tcBorders>
              <w:bottom w:val="single" w:color="000000" w:sz="2" w:space="0"/>
            </w:tcBorders>
            <w:noWrap w:val="0"/>
            <w:vAlign w:val="top"/>
          </w:tcPr>
          <w:p w14:paraId="175F0AAA">
            <w:pPr>
              <w:pStyle w:val="88"/>
              <w:snapToGrid w:val="0"/>
              <w:spacing w:before="179" w:line="198" w:lineRule="auto"/>
              <w:ind w:left="311"/>
              <w:rPr>
                <w:rFonts w:hint="default" w:ascii="Times New Roman" w:hAnsi="Times New Roman" w:cs="Times New Roman"/>
                <w:color w:val="auto"/>
              </w:rPr>
            </w:pPr>
          </w:p>
        </w:tc>
        <w:tc>
          <w:tcPr>
            <w:tcW w:w="1481" w:type="pct"/>
            <w:tcBorders>
              <w:top w:val="single" w:color="000000" w:sz="2" w:space="0"/>
              <w:bottom w:val="single" w:color="000000" w:sz="2" w:space="0"/>
            </w:tcBorders>
            <w:noWrap w:val="0"/>
            <w:vAlign w:val="center"/>
          </w:tcPr>
          <w:p w14:paraId="02E830F5">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经济分析报告篇数</w:t>
            </w:r>
          </w:p>
        </w:tc>
        <w:tc>
          <w:tcPr>
            <w:tcW w:w="632" w:type="pct"/>
            <w:tcBorders>
              <w:top w:val="single" w:color="000000" w:sz="2" w:space="0"/>
              <w:bottom w:val="single" w:color="000000" w:sz="2" w:space="0"/>
            </w:tcBorders>
            <w:noWrap w:val="0"/>
            <w:vAlign w:val="center"/>
          </w:tcPr>
          <w:p w14:paraId="7F2790DA">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&gt;=6篇</w:t>
            </w:r>
          </w:p>
        </w:tc>
        <w:tc>
          <w:tcPr>
            <w:tcW w:w="508" w:type="pct"/>
            <w:tcBorders>
              <w:top w:val="single" w:color="000000" w:sz="2" w:space="0"/>
              <w:bottom w:val="single" w:color="000000" w:sz="2" w:space="0"/>
            </w:tcBorders>
            <w:noWrap w:val="0"/>
            <w:vAlign w:val="center"/>
          </w:tcPr>
          <w:p w14:paraId="7C1B7608">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6篇</w:t>
            </w:r>
          </w:p>
        </w:tc>
        <w:tc>
          <w:tcPr>
            <w:tcW w:w="856" w:type="pct"/>
            <w:tcBorders>
              <w:top w:val="single" w:color="000000" w:sz="2" w:space="0"/>
              <w:bottom w:val="single" w:color="000000" w:sz="2" w:space="0"/>
            </w:tcBorders>
            <w:noWrap w:val="0"/>
            <w:vAlign w:val="center"/>
          </w:tcPr>
          <w:p w14:paraId="181D580E">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无偏差</w:t>
            </w:r>
          </w:p>
        </w:tc>
      </w:tr>
      <w:tr w14:paraId="2416A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jc w:val="center"/>
        </w:trPr>
        <w:tc>
          <w:tcPr>
            <w:tcW w:w="913" w:type="pct"/>
            <w:vMerge w:val="continue"/>
            <w:noWrap w:val="0"/>
            <w:vAlign w:val="top"/>
          </w:tcPr>
          <w:p w14:paraId="0F87C7CB">
            <w:pPr>
              <w:snapToGrid w:val="0"/>
              <w:rPr>
                <w:rFonts w:hint="default" w:ascii="Times New Roman" w:hAnsi="Times New Roman" w:cs="Times New Roman"/>
                <w:color w:val="auto"/>
                <w:sz w:val="21"/>
              </w:rPr>
            </w:pPr>
          </w:p>
        </w:tc>
        <w:tc>
          <w:tcPr>
            <w:tcW w:w="250" w:type="pct"/>
            <w:vMerge w:val="restart"/>
            <w:tcBorders>
              <w:top w:val="single" w:color="000000" w:sz="2" w:space="0"/>
            </w:tcBorders>
            <w:noWrap w:val="0"/>
            <w:vAlign w:val="center"/>
          </w:tcPr>
          <w:p w14:paraId="53182BD4">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效益指标</w:t>
            </w:r>
          </w:p>
        </w:tc>
        <w:tc>
          <w:tcPr>
            <w:tcW w:w="356" w:type="pct"/>
            <w:vMerge w:val="restart"/>
            <w:tcBorders>
              <w:top w:val="single" w:color="000000" w:sz="2" w:space="0"/>
            </w:tcBorders>
            <w:noWrap w:val="0"/>
            <w:vAlign w:val="center"/>
          </w:tcPr>
          <w:p w14:paraId="2CE7EEFD">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社会效益指标</w:t>
            </w:r>
          </w:p>
        </w:tc>
        <w:tc>
          <w:tcPr>
            <w:tcW w:w="1481" w:type="pct"/>
            <w:tcBorders>
              <w:top w:val="single" w:color="000000" w:sz="2" w:space="0"/>
              <w:bottom w:val="single" w:color="000000" w:sz="2" w:space="0"/>
            </w:tcBorders>
            <w:noWrap w:val="0"/>
            <w:vAlign w:val="center"/>
          </w:tcPr>
          <w:p w14:paraId="04BBC052">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编印当年月度经济运行的统计月报，为党政领导决策提供数据支撑</w:t>
            </w:r>
          </w:p>
        </w:tc>
        <w:tc>
          <w:tcPr>
            <w:tcW w:w="632" w:type="pct"/>
            <w:tcBorders>
              <w:top w:val="single" w:color="000000" w:sz="2" w:space="0"/>
              <w:bottom w:val="single" w:color="000000" w:sz="2" w:space="0"/>
            </w:tcBorders>
            <w:noWrap w:val="0"/>
            <w:vAlign w:val="center"/>
          </w:tcPr>
          <w:p w14:paraId="3CA70605">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&gt;=10本</w:t>
            </w:r>
          </w:p>
        </w:tc>
        <w:tc>
          <w:tcPr>
            <w:tcW w:w="508" w:type="pct"/>
            <w:tcBorders>
              <w:top w:val="single" w:color="000000" w:sz="2" w:space="0"/>
              <w:bottom w:val="single" w:color="000000" w:sz="2" w:space="0"/>
            </w:tcBorders>
            <w:noWrap w:val="0"/>
            <w:vAlign w:val="center"/>
          </w:tcPr>
          <w:p w14:paraId="4A499785">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10本</w:t>
            </w:r>
          </w:p>
        </w:tc>
        <w:tc>
          <w:tcPr>
            <w:tcW w:w="856" w:type="pct"/>
            <w:tcBorders>
              <w:top w:val="single" w:color="000000" w:sz="2" w:space="0"/>
              <w:bottom w:val="single" w:color="000000" w:sz="2" w:space="0"/>
            </w:tcBorders>
            <w:noWrap w:val="0"/>
            <w:vAlign w:val="center"/>
          </w:tcPr>
          <w:p w14:paraId="19994CEC">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无偏差</w:t>
            </w:r>
          </w:p>
        </w:tc>
      </w:tr>
      <w:tr w14:paraId="701E9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913" w:type="pct"/>
            <w:vMerge w:val="continue"/>
            <w:noWrap w:val="0"/>
            <w:vAlign w:val="top"/>
          </w:tcPr>
          <w:p w14:paraId="7FDC5578">
            <w:pPr>
              <w:snapToGrid w:val="0"/>
              <w:rPr>
                <w:rFonts w:hint="default" w:ascii="Times New Roman" w:hAnsi="Times New Roman" w:cs="Times New Roman"/>
                <w:color w:val="auto"/>
                <w:sz w:val="21"/>
              </w:rPr>
            </w:pPr>
          </w:p>
        </w:tc>
        <w:tc>
          <w:tcPr>
            <w:tcW w:w="250" w:type="pct"/>
            <w:vMerge w:val="continue"/>
            <w:noWrap w:val="0"/>
            <w:vAlign w:val="center"/>
          </w:tcPr>
          <w:p w14:paraId="36A13833">
            <w:pPr>
              <w:keepNext w:val="0"/>
              <w:keepLines w:val="0"/>
              <w:widowControl/>
              <w:suppressLineNumbers w:val="0"/>
              <w:snapToGrid w:val="0"/>
              <w:jc w:val="center"/>
              <w:textAlignment w:val="center"/>
              <w:rPr>
                <w:rFonts w:hint="default" w:ascii="Times New Roman" w:hAnsi="Times New Roman" w:cs="Times New Roman"/>
                <w:color w:val="auto"/>
              </w:rPr>
            </w:pPr>
          </w:p>
        </w:tc>
        <w:tc>
          <w:tcPr>
            <w:tcW w:w="356" w:type="pct"/>
            <w:vMerge w:val="continue"/>
            <w:noWrap w:val="0"/>
            <w:vAlign w:val="center"/>
          </w:tcPr>
          <w:p w14:paraId="33A62C36">
            <w:pPr>
              <w:keepNext w:val="0"/>
              <w:keepLines w:val="0"/>
              <w:widowControl/>
              <w:suppressLineNumbers w:val="0"/>
              <w:snapToGrid w:val="0"/>
              <w:jc w:val="center"/>
              <w:textAlignment w:val="center"/>
              <w:rPr>
                <w:rFonts w:hint="default" w:ascii="Times New Roman" w:hAnsi="Times New Roman" w:cs="Times New Roman"/>
                <w:color w:val="auto"/>
              </w:rPr>
            </w:pPr>
          </w:p>
        </w:tc>
        <w:tc>
          <w:tcPr>
            <w:tcW w:w="1481" w:type="pct"/>
            <w:tcBorders>
              <w:top w:val="single" w:color="000000" w:sz="2" w:space="0"/>
              <w:bottom w:val="single" w:color="000000" w:sz="2" w:space="0"/>
            </w:tcBorders>
            <w:noWrap w:val="0"/>
            <w:vAlign w:val="center"/>
          </w:tcPr>
          <w:p w14:paraId="45658047">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编印上年县域经济运行的统计公报，为党政领导决策提供数据支撑</w:t>
            </w:r>
          </w:p>
        </w:tc>
        <w:tc>
          <w:tcPr>
            <w:tcW w:w="632" w:type="pct"/>
            <w:tcBorders>
              <w:top w:val="single" w:color="000000" w:sz="2" w:space="0"/>
              <w:bottom w:val="single" w:color="000000" w:sz="2" w:space="0"/>
            </w:tcBorders>
            <w:noWrap w:val="0"/>
            <w:vAlign w:val="center"/>
          </w:tcPr>
          <w:p w14:paraId="0CFDE844">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=1篇</w:t>
            </w:r>
          </w:p>
        </w:tc>
        <w:tc>
          <w:tcPr>
            <w:tcW w:w="508" w:type="pct"/>
            <w:tcBorders>
              <w:top w:val="single" w:color="000000" w:sz="2" w:space="0"/>
              <w:bottom w:val="single" w:color="000000" w:sz="2" w:space="0"/>
            </w:tcBorders>
            <w:noWrap w:val="0"/>
            <w:vAlign w:val="center"/>
          </w:tcPr>
          <w:p w14:paraId="0024E94A">
            <w:pPr>
              <w:keepNext w:val="0"/>
              <w:keepLines w:val="0"/>
              <w:widowControl/>
              <w:suppressLineNumbers w:val="0"/>
              <w:snapToGrid w:val="0"/>
              <w:jc w:val="center"/>
              <w:textAlignment w:val="center"/>
              <w:rPr>
                <w:rFonts w:hint="default" w:ascii="Times New Roman" w:hAnsi="Times New Roman" w:cs="Times New Roman"/>
                <w:color w:val="auto"/>
              </w:rPr>
            </w:pPr>
            <w:r>
              <w:rPr>
                <w:rFonts w:hint="default" w:ascii="Times New Roman" w:hAnsi="Times New Roman" w:eastAsia="华文细黑" w:cs="Times New Roman"/>
                <w:i w:val="0"/>
                <w:iCs w:val="0"/>
                <w:color w:val="auto"/>
                <w:kern w:val="0"/>
                <w:sz w:val="16"/>
                <w:szCs w:val="16"/>
                <w:u w:val="none"/>
                <w:lang w:val="en-US" w:eastAsia="zh-CN" w:bidi="ar"/>
              </w:rPr>
              <w:t>1篇</w:t>
            </w:r>
          </w:p>
        </w:tc>
        <w:tc>
          <w:tcPr>
            <w:tcW w:w="856" w:type="pct"/>
            <w:tcBorders>
              <w:top w:val="single" w:color="000000" w:sz="2" w:space="0"/>
              <w:bottom w:val="single" w:color="000000" w:sz="2" w:space="0"/>
            </w:tcBorders>
            <w:noWrap w:val="0"/>
            <w:vAlign w:val="center"/>
          </w:tcPr>
          <w:p w14:paraId="7C79AF8C">
            <w:pPr>
              <w:keepNext w:val="0"/>
              <w:keepLines w:val="0"/>
              <w:widowControl/>
              <w:suppressLineNumbers w:val="0"/>
              <w:snapToGrid w:val="0"/>
              <w:jc w:val="center"/>
              <w:textAlignment w:val="center"/>
              <w:rPr>
                <w:rFonts w:hint="default" w:ascii="Times New Roman" w:hAnsi="Times New Roman" w:eastAsia="华文细黑" w:cs="Times New Roman"/>
                <w:i w:val="0"/>
                <w:iCs w:val="0"/>
                <w:color w:val="auto"/>
                <w:kern w:val="0"/>
                <w:sz w:val="16"/>
                <w:szCs w:val="16"/>
                <w:u w:val="none"/>
                <w:lang w:val="en-US" w:eastAsia="zh-CN" w:bidi="ar"/>
              </w:rPr>
            </w:pPr>
            <w:r>
              <w:rPr>
                <w:rFonts w:hint="default" w:ascii="Times New Roman" w:hAnsi="Times New Roman" w:eastAsia="华文细黑" w:cs="Times New Roman"/>
                <w:i w:val="0"/>
                <w:iCs w:val="0"/>
                <w:color w:val="auto"/>
                <w:kern w:val="0"/>
                <w:sz w:val="16"/>
                <w:szCs w:val="16"/>
                <w:u w:val="none"/>
                <w:lang w:val="en-US" w:eastAsia="zh-CN" w:bidi="ar"/>
              </w:rPr>
              <w:t>无偏差</w:t>
            </w:r>
          </w:p>
        </w:tc>
      </w:tr>
      <w:tr w14:paraId="19BA0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jc w:val="center"/>
        </w:trPr>
        <w:tc>
          <w:tcPr>
            <w:tcW w:w="913" w:type="pct"/>
            <w:vMerge w:val="continue"/>
            <w:noWrap w:val="0"/>
            <w:vAlign w:val="top"/>
          </w:tcPr>
          <w:p w14:paraId="249D3EA0">
            <w:pPr>
              <w:snapToGrid w:val="0"/>
              <w:rPr>
                <w:rFonts w:hint="default" w:ascii="Times New Roman" w:hAnsi="Times New Roman" w:cs="Times New Roman"/>
                <w:color w:val="auto"/>
                <w:sz w:val="21"/>
              </w:rPr>
            </w:pPr>
          </w:p>
        </w:tc>
        <w:tc>
          <w:tcPr>
            <w:tcW w:w="250" w:type="pct"/>
            <w:vMerge w:val="continue"/>
            <w:noWrap w:val="0"/>
            <w:vAlign w:val="center"/>
          </w:tcPr>
          <w:p w14:paraId="46097124">
            <w:pPr>
              <w:keepNext w:val="0"/>
              <w:keepLines w:val="0"/>
              <w:widowControl/>
              <w:suppressLineNumbers w:val="0"/>
              <w:snapToGrid w:val="0"/>
              <w:jc w:val="center"/>
              <w:textAlignment w:val="center"/>
              <w:rPr>
                <w:rFonts w:hint="default" w:ascii="Times New Roman" w:hAnsi="Times New Roman" w:cs="Times New Roman"/>
                <w:color w:val="auto"/>
              </w:rPr>
            </w:pPr>
          </w:p>
        </w:tc>
        <w:tc>
          <w:tcPr>
            <w:tcW w:w="356" w:type="pct"/>
            <w:vMerge w:val="continue"/>
            <w:noWrap w:val="0"/>
            <w:vAlign w:val="center"/>
          </w:tcPr>
          <w:p w14:paraId="1A5ABA4B">
            <w:pPr>
              <w:keepNext w:val="0"/>
              <w:keepLines w:val="0"/>
              <w:widowControl/>
              <w:suppressLineNumbers w:val="0"/>
              <w:snapToGrid w:val="0"/>
              <w:jc w:val="center"/>
              <w:textAlignment w:val="center"/>
              <w:rPr>
                <w:rFonts w:hint="default" w:ascii="Times New Roman" w:hAnsi="Times New Roman" w:cs="Times New Roman"/>
                <w:color w:val="auto"/>
              </w:rPr>
            </w:pPr>
          </w:p>
        </w:tc>
        <w:tc>
          <w:tcPr>
            <w:tcW w:w="1481" w:type="pct"/>
            <w:tcBorders>
              <w:top w:val="single" w:color="000000" w:sz="2" w:space="0"/>
            </w:tcBorders>
            <w:noWrap w:val="0"/>
            <w:vAlign w:val="center"/>
          </w:tcPr>
          <w:p w14:paraId="49495527">
            <w:pPr>
              <w:keepNext w:val="0"/>
              <w:keepLines w:val="0"/>
              <w:widowControl/>
              <w:suppressLineNumbers w:val="0"/>
              <w:snapToGrid w:val="0"/>
              <w:jc w:val="center"/>
              <w:textAlignment w:val="center"/>
              <w:rPr>
                <w:rFonts w:hint="default" w:ascii="Times New Roman" w:hAnsi="Times New Roman" w:eastAsia="华文细黑" w:cs="Times New Roman"/>
                <w:i w:val="0"/>
                <w:iCs w:val="0"/>
                <w:color w:val="auto"/>
                <w:kern w:val="0"/>
                <w:sz w:val="16"/>
                <w:szCs w:val="16"/>
                <w:u w:val="none"/>
                <w:lang w:val="en-US" w:eastAsia="zh-CN" w:bidi="ar"/>
              </w:rPr>
            </w:pPr>
            <w:r>
              <w:rPr>
                <w:rFonts w:hint="default" w:ascii="Times New Roman" w:hAnsi="Times New Roman" w:eastAsia="华文细黑" w:cs="Times New Roman"/>
                <w:i w:val="0"/>
                <w:iCs w:val="0"/>
                <w:color w:val="auto"/>
                <w:kern w:val="0"/>
                <w:sz w:val="16"/>
                <w:szCs w:val="16"/>
                <w:u w:val="none"/>
                <w:lang w:val="en-US" w:eastAsia="zh-CN" w:bidi="ar"/>
              </w:rPr>
              <w:t>编印历年县域经济运行的统计年鉴，为党政领导决策提供数据支撑</w:t>
            </w:r>
          </w:p>
        </w:tc>
        <w:tc>
          <w:tcPr>
            <w:tcW w:w="632" w:type="pct"/>
            <w:tcBorders>
              <w:top w:val="single" w:color="000000" w:sz="2" w:space="0"/>
            </w:tcBorders>
            <w:noWrap w:val="0"/>
            <w:vAlign w:val="center"/>
          </w:tcPr>
          <w:p w14:paraId="35ADAD28">
            <w:pPr>
              <w:keepNext w:val="0"/>
              <w:keepLines w:val="0"/>
              <w:widowControl/>
              <w:suppressLineNumbers w:val="0"/>
              <w:tabs>
                <w:tab w:val="left" w:pos="583"/>
              </w:tabs>
              <w:snapToGrid w:val="0"/>
              <w:jc w:val="center"/>
              <w:textAlignment w:val="center"/>
              <w:rPr>
                <w:rFonts w:hint="default" w:ascii="Times New Roman" w:hAnsi="Times New Roman" w:eastAsia="华文细黑" w:cs="Times New Roman"/>
                <w:i w:val="0"/>
                <w:iCs w:val="0"/>
                <w:color w:val="auto"/>
                <w:kern w:val="0"/>
                <w:sz w:val="16"/>
                <w:szCs w:val="16"/>
                <w:u w:val="none"/>
                <w:lang w:val="en-US" w:eastAsia="zh-CN" w:bidi="ar"/>
              </w:rPr>
            </w:pPr>
            <w:r>
              <w:rPr>
                <w:rFonts w:hint="default" w:ascii="Times New Roman" w:hAnsi="Times New Roman" w:eastAsia="华文细黑" w:cs="Times New Roman"/>
                <w:i w:val="0"/>
                <w:iCs w:val="0"/>
                <w:color w:val="auto"/>
                <w:kern w:val="0"/>
                <w:sz w:val="16"/>
                <w:szCs w:val="16"/>
                <w:u w:val="none"/>
                <w:lang w:val="en-US" w:eastAsia="zh-CN" w:bidi="ar"/>
              </w:rPr>
              <w:t>=1本</w:t>
            </w:r>
          </w:p>
        </w:tc>
        <w:tc>
          <w:tcPr>
            <w:tcW w:w="508" w:type="pct"/>
            <w:tcBorders>
              <w:top w:val="single" w:color="000000" w:sz="2" w:space="0"/>
            </w:tcBorders>
            <w:noWrap w:val="0"/>
            <w:vAlign w:val="center"/>
          </w:tcPr>
          <w:p w14:paraId="4E73705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华文细黑" w:cs="Times New Roman"/>
                <w:i w:val="0"/>
                <w:iCs w:val="0"/>
                <w:color w:val="auto"/>
                <w:kern w:val="0"/>
                <w:sz w:val="16"/>
                <w:szCs w:val="16"/>
                <w:u w:val="none"/>
                <w:lang w:val="en-US" w:eastAsia="zh-CN" w:bidi="ar"/>
              </w:rPr>
              <w:t>1本</w:t>
            </w:r>
          </w:p>
        </w:tc>
        <w:tc>
          <w:tcPr>
            <w:tcW w:w="856" w:type="pct"/>
            <w:tcBorders>
              <w:top w:val="single" w:color="000000" w:sz="2" w:space="0"/>
            </w:tcBorders>
            <w:noWrap w:val="0"/>
            <w:vAlign w:val="center"/>
          </w:tcPr>
          <w:p w14:paraId="63BC0056">
            <w:pPr>
              <w:keepNext w:val="0"/>
              <w:keepLines w:val="0"/>
              <w:widowControl/>
              <w:suppressLineNumbers w:val="0"/>
              <w:snapToGrid w:val="0"/>
              <w:jc w:val="center"/>
              <w:textAlignment w:val="center"/>
              <w:rPr>
                <w:rFonts w:hint="default" w:ascii="Times New Roman" w:hAnsi="Times New Roman" w:eastAsia="华文细黑" w:cs="Times New Roman"/>
                <w:i w:val="0"/>
                <w:iCs w:val="0"/>
                <w:color w:val="auto"/>
                <w:kern w:val="0"/>
                <w:sz w:val="16"/>
                <w:szCs w:val="16"/>
                <w:u w:val="none"/>
                <w:lang w:val="en-US" w:eastAsia="zh-CN" w:bidi="ar"/>
              </w:rPr>
            </w:pPr>
            <w:r>
              <w:rPr>
                <w:rFonts w:hint="default" w:ascii="Times New Roman" w:hAnsi="Times New Roman" w:eastAsia="华文细黑" w:cs="Times New Roman"/>
                <w:i w:val="0"/>
                <w:iCs w:val="0"/>
                <w:color w:val="auto"/>
                <w:kern w:val="0"/>
                <w:sz w:val="16"/>
                <w:szCs w:val="16"/>
                <w:u w:val="none"/>
                <w:lang w:val="en-US" w:eastAsia="zh-CN" w:bidi="ar"/>
              </w:rPr>
              <w:t>无偏差</w:t>
            </w:r>
          </w:p>
        </w:tc>
      </w:tr>
    </w:tbl>
    <w:p w14:paraId="2F2B94AC">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方正小标宋简体" w:cs="Times New Roman"/>
          <w:sz w:val="44"/>
        </w:rPr>
      </w:pPr>
    </w:p>
    <w:p w14:paraId="4D7307E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44"/>
        </w:rPr>
      </w:pPr>
      <w:r>
        <w:rPr>
          <w:rFonts w:hint="default" w:ascii="Times New Roman" w:hAnsi="Times New Roman" w:eastAsia="方正小标宋简体" w:cs="Times New Roman"/>
          <w:sz w:val="44"/>
        </w:rPr>
        <w:t>第三部分</w:t>
      </w:r>
      <w:r>
        <w:rPr>
          <w:rFonts w:hint="default" w:ascii="Times New Roman" w:hAnsi="Times New Roman" w:eastAsia="方正小标宋简体" w:cs="Times New Roman"/>
          <w:sz w:val="44"/>
          <w:lang w:eastAsia="zh-CN"/>
        </w:rPr>
        <w:t>2025</w:t>
      </w:r>
      <w:r>
        <w:rPr>
          <w:rFonts w:hint="default" w:ascii="Times New Roman" w:hAnsi="Times New Roman" w:eastAsia="方正小标宋简体" w:cs="Times New Roman"/>
          <w:sz w:val="44"/>
        </w:rPr>
        <w:t>年度</w:t>
      </w:r>
      <w:r>
        <w:rPr>
          <w:rFonts w:hint="default" w:ascii="Times New Roman" w:hAnsi="Times New Roman" w:eastAsia="方正小标宋简体" w:cs="Times New Roman"/>
          <w:sz w:val="44"/>
          <w:lang w:val="en-US" w:eastAsia="zh-CN"/>
        </w:rPr>
        <w:t>单位</w:t>
      </w:r>
      <w:r>
        <w:rPr>
          <w:rFonts w:hint="default" w:ascii="Times New Roman" w:hAnsi="Times New Roman" w:eastAsia="方正小标宋简体" w:cs="Times New Roman"/>
          <w:sz w:val="44"/>
        </w:rPr>
        <w:t>决算情况说明</w:t>
      </w:r>
    </w:p>
    <w:p w14:paraId="79AF40D4">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 w:cs="Times New Roman"/>
          <w:sz w:val="32"/>
        </w:rPr>
      </w:pPr>
    </w:p>
    <w:p w14:paraId="34B6C3F5">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 w:cs="Times New Roman"/>
          <w:b/>
          <w:bCs/>
          <w:sz w:val="32"/>
        </w:rPr>
      </w:pPr>
      <w:r>
        <w:rPr>
          <w:rFonts w:hint="default" w:ascii="Times New Roman" w:hAnsi="Times New Roman" w:eastAsia="仿宋" w:cs="Times New Roman"/>
          <w:sz w:val="32"/>
        </w:rPr>
        <w:t xml:space="preserve">    </w:t>
      </w:r>
      <w:r>
        <w:rPr>
          <w:rFonts w:hint="default" w:ascii="Times New Roman" w:hAnsi="Times New Roman" w:eastAsia="黑体" w:cs="Times New Roman"/>
          <w:sz w:val="32"/>
        </w:rPr>
        <w:t>一、收入支出决算总体情况说明</w:t>
      </w:r>
    </w:p>
    <w:p w14:paraId="58DE4967">
      <w:pPr>
        <w:keepNext w:val="0"/>
        <w:keepLines w:val="0"/>
        <w:pageBreakBefore w:val="0"/>
        <w:widowControl w:val="0"/>
        <w:kinsoku/>
        <w:wordWrap/>
        <w:overflowPunct/>
        <w:topLinePunct w:val="0"/>
        <w:autoSpaceDE/>
        <w:autoSpaceDN/>
        <w:bidi w:val="0"/>
        <w:adjustRightInd/>
        <w:snapToGrid/>
        <w:spacing w:line="550" w:lineRule="exact"/>
        <w:ind w:firstLine="64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年度收、支总计</w:t>
      </w:r>
      <w:r>
        <w:rPr>
          <w:rFonts w:hint="eastAsia" w:ascii="Times New Roman" w:hAnsi="Times New Roman" w:eastAsia="仿宋_GB2312" w:cs="Times New Roman"/>
          <w:sz w:val="32"/>
          <w:lang w:val="en-US" w:eastAsia="zh-CN"/>
        </w:rPr>
        <w:t>均为</w:t>
      </w:r>
      <w:r>
        <w:rPr>
          <w:rFonts w:hint="default" w:ascii="Times New Roman" w:hAnsi="Times New Roman" w:eastAsia="仿宋_GB2312" w:cs="Times New Roman"/>
          <w:sz w:val="32"/>
          <w:lang w:val="en-US" w:eastAsia="zh-CN"/>
        </w:rPr>
        <w:t>231.72</w:t>
      </w:r>
      <w:r>
        <w:rPr>
          <w:rFonts w:hint="default" w:ascii="Times New Roman" w:hAnsi="Times New Roman" w:eastAsia="仿宋_GB2312" w:cs="Times New Roman"/>
          <w:sz w:val="32"/>
        </w:rPr>
        <w:t>万元。与202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年相比，收、支总计</w:t>
      </w:r>
      <w:r>
        <w:rPr>
          <w:rFonts w:hint="eastAsia" w:ascii="Times New Roman" w:hAnsi="Times New Roman" w:eastAsia="仿宋_GB2312" w:cs="Times New Roman"/>
          <w:sz w:val="32"/>
          <w:lang w:eastAsia="zh-CN"/>
        </w:rPr>
        <w:t>各</w:t>
      </w:r>
      <w:r>
        <w:rPr>
          <w:rFonts w:hint="default" w:ascii="Times New Roman" w:hAnsi="Times New Roman" w:eastAsia="仿宋_GB2312" w:cs="Times New Roman"/>
          <w:sz w:val="32"/>
          <w:lang w:val="en-US" w:eastAsia="zh-CN"/>
        </w:rPr>
        <w:t>减少11.54</w:t>
      </w:r>
      <w:r>
        <w:rPr>
          <w:rFonts w:hint="default" w:ascii="Times New Roman" w:hAnsi="Times New Roman" w:eastAsia="仿宋_GB2312" w:cs="Times New Roman"/>
          <w:sz w:val="32"/>
        </w:rPr>
        <w:t>万元，</w:t>
      </w:r>
      <w:r>
        <w:rPr>
          <w:rFonts w:hint="eastAsia" w:ascii="Times New Roman" w:hAnsi="Times New Roman" w:eastAsia="仿宋_GB2312" w:cs="Times New Roman"/>
          <w:color w:val="auto"/>
          <w:sz w:val="32"/>
          <w:lang w:val="en-US" w:eastAsia="zh-CN"/>
        </w:rPr>
        <w:t>下降</w:t>
      </w:r>
      <w:r>
        <w:rPr>
          <w:rFonts w:hint="default" w:ascii="Times New Roman" w:hAnsi="Times New Roman" w:eastAsia="仿宋_GB2312" w:cs="Times New Roman"/>
          <w:sz w:val="32"/>
          <w:lang w:val="en-US" w:eastAsia="zh-CN"/>
        </w:rPr>
        <w:t>4.7</w:t>
      </w:r>
      <w:r>
        <w:rPr>
          <w:rFonts w:hint="default" w:ascii="Times New Roman" w:hAnsi="Times New Roman" w:eastAsia="仿宋_GB2312" w:cs="Times New Roman"/>
          <w:sz w:val="32"/>
        </w:rPr>
        <w:t>%。主要原因：</w:t>
      </w:r>
      <w:r>
        <w:rPr>
          <w:rFonts w:hint="default" w:ascii="Times New Roman" w:hAnsi="Times New Roman" w:eastAsia="仿宋_GB2312" w:cs="Times New Roman"/>
          <w:color w:val="000000"/>
          <w:sz w:val="32"/>
          <w:lang w:val="en-US" w:eastAsia="zh-CN"/>
        </w:rPr>
        <w:t>一是本年</w:t>
      </w:r>
      <w:r>
        <w:rPr>
          <w:rFonts w:hint="eastAsia" w:ascii="Times New Roman" w:hAnsi="Times New Roman" w:eastAsia="仿宋_GB2312" w:cs="Times New Roman"/>
          <w:color w:val="000000"/>
          <w:sz w:val="32"/>
          <w:lang w:val="en-US" w:eastAsia="zh-CN"/>
        </w:rPr>
        <w:t>度人员比上年度减少，财政核定的公用经费相应减少，所以比上年度减少</w:t>
      </w:r>
      <w:r>
        <w:rPr>
          <w:rFonts w:hint="default" w:ascii="Times New Roman" w:hAnsi="Times New Roman" w:eastAsia="仿宋_GB2312" w:cs="Times New Roman"/>
          <w:color w:val="000000"/>
          <w:sz w:val="32"/>
          <w:lang w:val="en-US" w:eastAsia="zh-CN"/>
        </w:rPr>
        <w:t>；</w:t>
      </w:r>
      <w:r>
        <w:rPr>
          <w:rFonts w:hint="eastAsia" w:ascii="Times New Roman" w:hAnsi="Times New Roman" w:eastAsia="仿宋_GB2312" w:cs="Times New Roman"/>
          <w:color w:val="000000"/>
          <w:sz w:val="32"/>
          <w:lang w:val="en-US" w:eastAsia="zh-CN"/>
        </w:rPr>
        <w:t>二是本年度无财政拨款和地方财政配套的第五次全国经济普查经费，所以本年度收、支总计比上年度减少。</w:t>
      </w:r>
    </w:p>
    <w:p w14:paraId="700B2F30">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 w:cs="Times New Roman"/>
          <w:color w:val="000000"/>
          <w:sz w:val="32"/>
        </w:rPr>
      </w:pPr>
      <w:r>
        <w:rPr>
          <w:rFonts w:hint="default" w:ascii="Times New Roman" w:hAnsi="Times New Roman" w:eastAsia="仿宋" w:cs="Times New Roman"/>
          <w:color w:val="000000"/>
          <w:sz w:val="32"/>
        </w:rPr>
        <w:t xml:space="preserve">    </w:t>
      </w:r>
      <w:r>
        <w:rPr>
          <w:rFonts w:hint="default" w:ascii="Times New Roman" w:hAnsi="Times New Roman" w:eastAsia="黑体" w:cs="Times New Roman"/>
          <w:color w:val="000000"/>
          <w:sz w:val="32"/>
        </w:rPr>
        <w:t>二、收入决算情况说明</w:t>
      </w:r>
    </w:p>
    <w:p w14:paraId="68E88D90">
      <w:pPr>
        <w:ind w:firstLine="618" w:firstLineChars="200"/>
        <w:rPr>
          <w:rFonts w:hint="default" w:ascii="Times New Roman" w:hAnsi="Times New Roman" w:eastAsia="仿宋" w:cs="Times New Roman"/>
          <w:color w:val="000000"/>
          <w:sz w:val="32"/>
          <w:highlight w:val="none"/>
          <w:lang w:val="en-US"/>
        </w:rPr>
      </w:pPr>
      <w:r>
        <w:rPr>
          <w:rFonts w:hint="default" w:ascii="Times New Roman" w:hAnsi="Times New Roman" w:eastAsia="仿宋_GB2312" w:cs="Times New Roman"/>
          <w:color w:val="000000"/>
          <w:sz w:val="32"/>
        </w:rPr>
        <w:t>本年收入合计</w:t>
      </w:r>
      <w:r>
        <w:rPr>
          <w:rFonts w:hint="default" w:ascii="Times New Roman" w:hAnsi="Times New Roman" w:eastAsia="仿宋_GB2312" w:cs="Times New Roman"/>
          <w:color w:val="000000"/>
          <w:sz w:val="32"/>
          <w:lang w:val="en-US" w:eastAsia="zh-CN"/>
        </w:rPr>
        <w:t>222.8</w:t>
      </w:r>
      <w:r>
        <w:rPr>
          <w:rFonts w:hint="eastAsia" w:ascii="Times New Roman" w:hAnsi="Times New Roman" w:eastAsia="仿宋_GB2312" w:cs="Times New Roman"/>
          <w:color w:val="000000"/>
          <w:sz w:val="32"/>
          <w:lang w:val="en-US" w:eastAsia="zh-CN"/>
        </w:rPr>
        <w:t>0</w:t>
      </w:r>
      <w:r>
        <w:rPr>
          <w:rFonts w:hint="default" w:ascii="Times New Roman" w:hAnsi="Times New Roman" w:eastAsia="仿宋_GB2312" w:cs="Times New Roman"/>
          <w:color w:val="000000"/>
          <w:sz w:val="32"/>
        </w:rPr>
        <w:t>万元，其中：财政拨款收入</w:t>
      </w:r>
      <w:r>
        <w:rPr>
          <w:rFonts w:hint="default" w:ascii="Times New Roman" w:hAnsi="Times New Roman" w:eastAsia="仿宋_GB2312" w:cs="Times New Roman"/>
          <w:color w:val="000000"/>
          <w:sz w:val="32"/>
          <w:lang w:val="en-US" w:eastAsia="zh-CN"/>
        </w:rPr>
        <w:t>192.79</w:t>
      </w:r>
      <w:r>
        <w:rPr>
          <w:rFonts w:hint="default" w:ascii="Times New Roman" w:hAnsi="Times New Roman" w:eastAsia="仿宋_GB2312" w:cs="Times New Roman"/>
          <w:color w:val="000000"/>
          <w:sz w:val="32"/>
        </w:rPr>
        <w:t>万元，比上年</w:t>
      </w:r>
      <w:r>
        <w:rPr>
          <w:rFonts w:hint="default" w:ascii="Times New Roman" w:hAnsi="Times New Roman" w:eastAsia="仿宋_GB2312" w:cs="Times New Roman"/>
          <w:color w:val="000000"/>
          <w:sz w:val="32"/>
          <w:lang w:val="en-US" w:eastAsia="zh-CN"/>
        </w:rPr>
        <w:t>减少3.87</w:t>
      </w:r>
      <w:r>
        <w:rPr>
          <w:rFonts w:hint="default" w:ascii="Times New Roman" w:hAnsi="Times New Roman" w:eastAsia="仿宋_GB2312" w:cs="Times New Roman"/>
          <w:color w:val="000000"/>
          <w:sz w:val="32"/>
        </w:rPr>
        <w:t>万元，</w:t>
      </w:r>
      <w:r>
        <w:rPr>
          <w:rFonts w:hint="eastAsia" w:ascii="Times New Roman" w:hAnsi="Times New Roman" w:eastAsia="仿宋_GB2312" w:cs="Times New Roman"/>
          <w:color w:val="000000"/>
          <w:sz w:val="32"/>
          <w:lang w:val="en-US" w:eastAsia="zh-CN"/>
        </w:rPr>
        <w:t>下降</w:t>
      </w:r>
      <w:r>
        <w:rPr>
          <w:rFonts w:hint="default" w:ascii="Times New Roman" w:hAnsi="Times New Roman" w:eastAsia="仿宋_GB2312" w:cs="Times New Roman"/>
          <w:color w:val="000000"/>
          <w:sz w:val="32"/>
          <w:lang w:val="en-US" w:eastAsia="zh-CN"/>
        </w:rPr>
        <w:t>2</w:t>
      </w:r>
      <w:r>
        <w:rPr>
          <w:rFonts w:hint="default" w:ascii="Times New Roman" w:hAnsi="Times New Roman" w:eastAsia="仿宋_GB2312" w:cs="Times New Roman"/>
          <w:color w:val="000000"/>
          <w:sz w:val="32"/>
        </w:rPr>
        <w:t>%，主要原因：</w:t>
      </w:r>
      <w:r>
        <w:rPr>
          <w:rFonts w:hint="default" w:ascii="Times New Roman" w:hAnsi="Times New Roman" w:eastAsia="仿宋_GB2312" w:cs="Times New Roman"/>
          <w:color w:val="000000"/>
          <w:sz w:val="32"/>
          <w:lang w:val="en-US" w:eastAsia="zh-CN"/>
        </w:rPr>
        <w:t>一是本年</w:t>
      </w:r>
      <w:r>
        <w:rPr>
          <w:rFonts w:hint="eastAsia" w:ascii="Times New Roman" w:hAnsi="Times New Roman" w:eastAsia="仿宋_GB2312" w:cs="Times New Roman"/>
          <w:color w:val="000000"/>
          <w:sz w:val="32"/>
          <w:lang w:val="en-US" w:eastAsia="zh-CN"/>
        </w:rPr>
        <w:t>度人员比上年度减少，财政核定的公用经费相应减少，所以比上年度减少</w:t>
      </w:r>
      <w:r>
        <w:rPr>
          <w:rFonts w:hint="default" w:ascii="Times New Roman" w:hAnsi="Times New Roman" w:eastAsia="仿宋_GB2312" w:cs="Times New Roman"/>
          <w:color w:val="000000"/>
          <w:sz w:val="32"/>
          <w:lang w:val="en-US" w:eastAsia="zh-CN"/>
        </w:rPr>
        <w:t>；</w:t>
      </w:r>
      <w:r>
        <w:rPr>
          <w:rFonts w:hint="eastAsia" w:ascii="Times New Roman" w:hAnsi="Times New Roman" w:eastAsia="仿宋_GB2312" w:cs="Times New Roman"/>
          <w:color w:val="000000"/>
          <w:sz w:val="32"/>
          <w:lang w:val="en-US" w:eastAsia="zh-CN"/>
        </w:rPr>
        <w:t>二是本年度无财政拨款和地方财政配套的第五次全国经济普查经费，所以比上年度减少</w:t>
      </w:r>
      <w:r>
        <w:rPr>
          <w:rFonts w:hint="default" w:ascii="Times New Roman" w:hAnsi="Times New Roman" w:eastAsia="仿宋_GB2312" w:cs="Times New Roman"/>
          <w:color w:val="000000"/>
          <w:sz w:val="32"/>
          <w:lang w:val="en-US" w:eastAsia="zh-CN"/>
        </w:rPr>
        <w:t>；</w:t>
      </w:r>
      <w:r>
        <w:rPr>
          <w:rFonts w:hint="default" w:ascii="Times New Roman" w:hAnsi="Times New Roman" w:eastAsia="仿宋_GB2312" w:cs="Times New Roman"/>
          <w:color w:val="000000"/>
          <w:sz w:val="32"/>
        </w:rPr>
        <w:t>上级补助收入</w:t>
      </w:r>
      <w:r>
        <w:rPr>
          <w:rFonts w:hint="default" w:ascii="Times New Roman" w:hAnsi="Times New Roman" w:eastAsia="仿宋_GB2312" w:cs="Times New Roman"/>
          <w:color w:val="000000"/>
          <w:sz w:val="32"/>
          <w:lang w:val="en-US" w:eastAsia="zh-CN"/>
        </w:rPr>
        <w:t>0</w:t>
      </w:r>
      <w:r>
        <w:rPr>
          <w:rFonts w:hint="default" w:ascii="Times New Roman" w:hAnsi="Times New Roman" w:eastAsia="仿宋_GB2312" w:cs="Times New Roman"/>
          <w:color w:val="000000"/>
          <w:sz w:val="32"/>
        </w:rPr>
        <w:t>万元，</w:t>
      </w:r>
      <w:r>
        <w:rPr>
          <w:rFonts w:hint="default" w:ascii="Times New Roman" w:hAnsi="Times New Roman" w:eastAsia="仿宋_GB2312" w:cs="Times New Roman"/>
          <w:color w:val="000000"/>
          <w:sz w:val="32"/>
          <w:lang w:val="en-US" w:eastAsia="zh-CN"/>
        </w:rPr>
        <w:t>与上年持平</w:t>
      </w:r>
      <w:r>
        <w:rPr>
          <w:rFonts w:hint="default" w:ascii="Times New Roman" w:hAnsi="Times New Roman" w:eastAsia="仿宋_GB2312" w:cs="Times New Roman"/>
          <w:color w:val="000000"/>
          <w:sz w:val="32"/>
        </w:rPr>
        <w:t>，主要是</w:t>
      </w:r>
      <w:r>
        <w:rPr>
          <w:rFonts w:hint="default" w:ascii="Times New Roman" w:hAnsi="Times New Roman" w:eastAsia="仿宋_GB2312" w:cs="Times New Roman"/>
          <w:color w:val="000000"/>
          <w:sz w:val="32"/>
          <w:szCs w:val="30"/>
          <w:lang w:val="en-US" w:eastAsia="zh-CN"/>
        </w:rPr>
        <w:t>我单位无上级补助收入</w:t>
      </w:r>
      <w:r>
        <w:rPr>
          <w:rFonts w:hint="default" w:ascii="Times New Roman" w:hAnsi="Times New Roman" w:eastAsia="仿宋_GB2312" w:cs="Times New Roman"/>
          <w:color w:val="000000"/>
          <w:sz w:val="32"/>
        </w:rPr>
        <w:t>；事业收入</w:t>
      </w:r>
      <w:r>
        <w:rPr>
          <w:rFonts w:hint="default" w:ascii="Times New Roman" w:hAnsi="Times New Roman" w:eastAsia="仿宋_GB2312" w:cs="Times New Roman"/>
          <w:color w:val="000000"/>
          <w:sz w:val="32"/>
          <w:lang w:val="en-US" w:eastAsia="zh-CN"/>
        </w:rPr>
        <w:t>0</w:t>
      </w:r>
      <w:r>
        <w:rPr>
          <w:rFonts w:hint="default" w:ascii="Times New Roman" w:hAnsi="Times New Roman" w:eastAsia="仿宋_GB2312" w:cs="Times New Roman"/>
          <w:color w:val="000000"/>
          <w:sz w:val="32"/>
        </w:rPr>
        <w:t>万元，</w:t>
      </w:r>
      <w:r>
        <w:rPr>
          <w:rFonts w:hint="default" w:ascii="Times New Roman" w:hAnsi="Times New Roman" w:eastAsia="仿宋_GB2312" w:cs="Times New Roman"/>
          <w:color w:val="000000"/>
          <w:sz w:val="32"/>
          <w:lang w:val="en-US" w:eastAsia="zh-CN"/>
        </w:rPr>
        <w:t>与上年持平</w:t>
      </w:r>
      <w:r>
        <w:rPr>
          <w:rFonts w:hint="default" w:ascii="Times New Roman" w:hAnsi="Times New Roman" w:eastAsia="仿宋_GB2312" w:cs="Times New Roman"/>
          <w:color w:val="000000"/>
          <w:sz w:val="32"/>
        </w:rPr>
        <w:t>，主要是</w:t>
      </w:r>
      <w:r>
        <w:rPr>
          <w:rFonts w:hint="default" w:ascii="Times New Roman" w:hAnsi="Times New Roman" w:eastAsia="仿宋_GB2312" w:cs="Times New Roman"/>
          <w:color w:val="000000"/>
          <w:sz w:val="32"/>
          <w:szCs w:val="30"/>
          <w:lang w:val="en-US" w:eastAsia="zh-CN"/>
        </w:rPr>
        <w:t>我单位无</w:t>
      </w:r>
      <w:r>
        <w:rPr>
          <w:rFonts w:hint="default" w:ascii="Times New Roman" w:hAnsi="Times New Roman" w:eastAsia="仿宋_GB2312" w:cs="Times New Roman"/>
          <w:color w:val="000000"/>
          <w:sz w:val="32"/>
        </w:rPr>
        <w:t>事业收入；经营收入</w:t>
      </w:r>
      <w:r>
        <w:rPr>
          <w:rFonts w:hint="default" w:ascii="Times New Roman" w:hAnsi="Times New Roman" w:eastAsia="仿宋_GB2312" w:cs="Times New Roman"/>
          <w:color w:val="000000"/>
          <w:sz w:val="32"/>
          <w:lang w:val="en-US" w:eastAsia="zh-CN"/>
        </w:rPr>
        <w:t>0</w:t>
      </w:r>
      <w:r>
        <w:rPr>
          <w:rFonts w:hint="default" w:ascii="Times New Roman" w:hAnsi="Times New Roman" w:eastAsia="仿宋_GB2312" w:cs="Times New Roman"/>
          <w:color w:val="000000"/>
          <w:sz w:val="32"/>
        </w:rPr>
        <w:t>万元，</w:t>
      </w:r>
      <w:r>
        <w:rPr>
          <w:rFonts w:hint="default" w:ascii="Times New Roman" w:hAnsi="Times New Roman" w:eastAsia="仿宋_GB2312" w:cs="Times New Roman"/>
          <w:color w:val="000000"/>
          <w:sz w:val="32"/>
          <w:lang w:val="en-US" w:eastAsia="zh-CN"/>
        </w:rPr>
        <w:t>与上年持平</w:t>
      </w:r>
      <w:r>
        <w:rPr>
          <w:rFonts w:hint="default" w:ascii="Times New Roman" w:hAnsi="Times New Roman" w:eastAsia="仿宋_GB2312" w:cs="Times New Roman"/>
          <w:color w:val="000000"/>
          <w:sz w:val="32"/>
        </w:rPr>
        <w:t>，主要是</w:t>
      </w:r>
      <w:r>
        <w:rPr>
          <w:rFonts w:hint="default" w:ascii="Times New Roman" w:hAnsi="Times New Roman" w:eastAsia="仿宋_GB2312" w:cs="Times New Roman"/>
          <w:color w:val="000000"/>
          <w:sz w:val="32"/>
          <w:szCs w:val="30"/>
          <w:lang w:val="en-US" w:eastAsia="zh-CN"/>
        </w:rPr>
        <w:t>我单位无</w:t>
      </w:r>
      <w:r>
        <w:rPr>
          <w:rFonts w:hint="default" w:ascii="Times New Roman" w:hAnsi="Times New Roman" w:eastAsia="仿宋_GB2312" w:cs="Times New Roman"/>
          <w:color w:val="000000"/>
          <w:sz w:val="32"/>
        </w:rPr>
        <w:t>经营收入；附属单位上缴收入</w:t>
      </w:r>
      <w:r>
        <w:rPr>
          <w:rFonts w:hint="default" w:ascii="Times New Roman" w:hAnsi="Times New Roman" w:eastAsia="仿宋_GB2312" w:cs="Times New Roman"/>
          <w:color w:val="000000"/>
          <w:sz w:val="32"/>
          <w:lang w:val="en-US" w:eastAsia="zh-CN"/>
        </w:rPr>
        <w:t>0</w:t>
      </w:r>
      <w:r>
        <w:rPr>
          <w:rFonts w:hint="default" w:ascii="Times New Roman" w:hAnsi="Times New Roman" w:eastAsia="仿宋_GB2312" w:cs="Times New Roman"/>
          <w:color w:val="000000"/>
          <w:sz w:val="32"/>
        </w:rPr>
        <w:t>万元，</w:t>
      </w:r>
      <w:r>
        <w:rPr>
          <w:rFonts w:hint="default" w:ascii="Times New Roman" w:hAnsi="Times New Roman" w:eastAsia="仿宋_GB2312" w:cs="Times New Roman"/>
          <w:color w:val="000000"/>
          <w:sz w:val="32"/>
          <w:lang w:val="en-US" w:eastAsia="zh-CN"/>
        </w:rPr>
        <w:t>与上年持平</w:t>
      </w:r>
      <w:r>
        <w:rPr>
          <w:rFonts w:hint="default" w:ascii="Times New Roman" w:hAnsi="Times New Roman" w:eastAsia="仿宋_GB2312" w:cs="Times New Roman"/>
          <w:color w:val="000000"/>
          <w:sz w:val="32"/>
        </w:rPr>
        <w:t>，主要是</w:t>
      </w:r>
      <w:r>
        <w:rPr>
          <w:rFonts w:hint="default" w:ascii="Times New Roman" w:hAnsi="Times New Roman" w:eastAsia="仿宋_GB2312" w:cs="Times New Roman"/>
          <w:color w:val="000000"/>
          <w:sz w:val="32"/>
          <w:szCs w:val="30"/>
          <w:lang w:val="en-US" w:eastAsia="zh-CN"/>
        </w:rPr>
        <w:t>我单位无</w:t>
      </w:r>
      <w:r>
        <w:rPr>
          <w:rFonts w:hint="default" w:ascii="Times New Roman" w:hAnsi="Times New Roman" w:eastAsia="仿宋_GB2312" w:cs="Times New Roman"/>
          <w:color w:val="000000"/>
          <w:sz w:val="32"/>
        </w:rPr>
        <w:t>经营收入；其他收入</w:t>
      </w:r>
      <w:r>
        <w:rPr>
          <w:rFonts w:hint="default" w:ascii="Times New Roman" w:hAnsi="Times New Roman" w:eastAsia="仿宋_GB2312" w:cs="Times New Roman"/>
          <w:color w:val="000000"/>
          <w:sz w:val="32"/>
          <w:lang w:val="en-US" w:eastAsia="zh-CN"/>
        </w:rPr>
        <w:t>30.01</w:t>
      </w:r>
      <w:r>
        <w:rPr>
          <w:rFonts w:hint="default" w:ascii="Times New Roman" w:hAnsi="Times New Roman" w:eastAsia="仿宋_GB2312" w:cs="Times New Roman"/>
          <w:color w:val="000000"/>
          <w:sz w:val="32"/>
        </w:rPr>
        <w:t>万元，比上年</w:t>
      </w:r>
      <w:r>
        <w:rPr>
          <w:rFonts w:hint="default" w:ascii="Times New Roman" w:hAnsi="Times New Roman" w:eastAsia="仿宋_GB2312" w:cs="Times New Roman"/>
          <w:color w:val="000000"/>
          <w:sz w:val="32"/>
          <w:lang w:val="en-US" w:eastAsia="zh-CN"/>
        </w:rPr>
        <w:t>增加4.98</w:t>
      </w:r>
      <w:r>
        <w:rPr>
          <w:rFonts w:hint="default" w:ascii="Times New Roman" w:hAnsi="Times New Roman" w:eastAsia="仿宋_GB2312" w:cs="Times New Roman"/>
          <w:color w:val="000000"/>
          <w:sz w:val="32"/>
        </w:rPr>
        <w:t>万元，</w:t>
      </w:r>
      <w:r>
        <w:rPr>
          <w:rFonts w:hint="default" w:ascii="Times New Roman" w:hAnsi="Times New Roman" w:eastAsia="仿宋_GB2312" w:cs="Times New Roman"/>
          <w:color w:val="000000"/>
          <w:sz w:val="32"/>
          <w:lang w:val="en-US" w:eastAsia="zh-CN"/>
        </w:rPr>
        <w:t>增长20</w:t>
      </w:r>
      <w:r>
        <w:rPr>
          <w:rFonts w:hint="default" w:ascii="Times New Roman" w:hAnsi="Times New Roman" w:eastAsia="仿宋_GB2312" w:cs="Times New Roman"/>
          <w:color w:val="000000"/>
          <w:sz w:val="32"/>
        </w:rPr>
        <w:t>%，</w:t>
      </w:r>
      <w:r>
        <w:rPr>
          <w:rFonts w:hint="default" w:ascii="Times New Roman" w:hAnsi="Times New Roman" w:eastAsia="仿宋_GB2312" w:cs="Times New Roman"/>
          <w:color w:val="000000"/>
          <w:sz w:val="32"/>
          <w:highlight w:val="none"/>
        </w:rPr>
        <w:t>主要</w:t>
      </w:r>
      <w:r>
        <w:rPr>
          <w:rFonts w:hint="eastAsia" w:ascii="Times New Roman" w:hAnsi="Times New Roman" w:eastAsia="仿宋_GB2312" w:cs="Times New Roman"/>
          <w:color w:val="000000"/>
          <w:sz w:val="32"/>
          <w:highlight w:val="none"/>
          <w:lang w:val="en-US" w:eastAsia="zh-CN"/>
        </w:rPr>
        <w:t>是</w:t>
      </w:r>
      <w:r>
        <w:rPr>
          <w:rFonts w:hint="default" w:ascii="Times New Roman" w:hAnsi="Times New Roman" w:eastAsia="仿宋_GB2312" w:cs="Times New Roman"/>
          <w:color w:val="000000"/>
          <w:sz w:val="32"/>
          <w:highlight w:val="none"/>
          <w:lang w:val="en-US" w:eastAsia="zh-CN"/>
        </w:rPr>
        <w:t>本年度有地方财政配套的全国1%人口抽样经费，比上年</w:t>
      </w:r>
      <w:r>
        <w:rPr>
          <w:rFonts w:hint="eastAsia" w:ascii="Times New Roman" w:hAnsi="Times New Roman" w:eastAsia="仿宋_GB2312" w:cs="Times New Roman"/>
          <w:color w:val="000000"/>
          <w:sz w:val="32"/>
          <w:highlight w:val="none"/>
          <w:lang w:val="en-US" w:eastAsia="zh-CN"/>
        </w:rPr>
        <w:t>度</w:t>
      </w:r>
      <w:r>
        <w:rPr>
          <w:rFonts w:hint="default" w:ascii="Times New Roman" w:hAnsi="Times New Roman" w:eastAsia="仿宋_GB2312" w:cs="Times New Roman"/>
          <w:color w:val="000000"/>
          <w:sz w:val="32"/>
          <w:highlight w:val="none"/>
          <w:lang w:val="en-US" w:eastAsia="zh-CN"/>
        </w:rPr>
        <w:t>增多。</w:t>
      </w:r>
    </w:p>
    <w:p w14:paraId="5B2C08E9">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 w:cs="Times New Roman"/>
          <w:sz w:val="32"/>
        </w:rPr>
      </w:pPr>
      <w:r>
        <w:rPr>
          <w:rFonts w:hint="default" w:ascii="Times New Roman" w:hAnsi="Times New Roman" w:eastAsia="仿宋" w:cs="Times New Roman"/>
          <w:color w:val="000000"/>
          <w:sz w:val="32"/>
        </w:rPr>
        <w:t xml:space="preserve">    </w:t>
      </w:r>
      <w:r>
        <w:rPr>
          <w:rFonts w:hint="default" w:ascii="Times New Roman" w:hAnsi="Times New Roman" w:eastAsia="黑体" w:cs="Times New Roman"/>
          <w:color w:val="000000"/>
          <w:sz w:val="32"/>
        </w:rPr>
        <w:t>三、支出决算情况说明</w:t>
      </w:r>
    </w:p>
    <w:p w14:paraId="6BDC2A42">
      <w:pPr>
        <w:ind w:firstLine="618" w:firstLineChars="200"/>
        <w:rPr>
          <w:rFonts w:hint="default" w:ascii="Times New Roman" w:hAnsi="Times New Roman" w:eastAsia="仿宋_GB2312" w:cs="Times New Roman"/>
          <w:sz w:val="32"/>
          <w:szCs w:val="30"/>
          <w:lang w:val="en-US" w:eastAsia="zh-CN"/>
        </w:rPr>
      </w:pPr>
      <w:r>
        <w:rPr>
          <w:rFonts w:hint="default" w:ascii="Times New Roman" w:hAnsi="Times New Roman" w:eastAsia="仿宋_GB2312" w:cs="Times New Roman"/>
          <w:sz w:val="32"/>
          <w:szCs w:val="30"/>
          <w:lang w:val="en-US" w:eastAsia="zh-CN"/>
        </w:rPr>
        <w:t>本年支出合计210.57万元，其中：基本支出161.43万元，比上年增加14.14万元，增长9.6%，</w:t>
      </w:r>
      <w:r>
        <w:rPr>
          <w:rFonts w:hint="default" w:ascii="Times New Roman" w:hAnsi="Times New Roman" w:eastAsia="仿宋_GB2312" w:cs="Times New Roman"/>
          <w:sz w:val="32"/>
          <w:szCs w:val="30"/>
          <w:highlight w:val="none"/>
          <w:lang w:val="en-US" w:eastAsia="zh-CN"/>
        </w:rPr>
        <w:t>主要</w:t>
      </w:r>
      <w:r>
        <w:rPr>
          <w:rFonts w:hint="eastAsia" w:ascii="Times New Roman" w:hAnsi="Times New Roman" w:eastAsia="仿宋_GB2312" w:cs="Times New Roman"/>
          <w:sz w:val="32"/>
          <w:szCs w:val="30"/>
          <w:highlight w:val="none"/>
          <w:lang w:val="en-US" w:eastAsia="zh-CN"/>
        </w:rPr>
        <w:t>是本年度人员经费增加，相应支出</w:t>
      </w:r>
      <w:r>
        <w:rPr>
          <w:rFonts w:hint="default" w:ascii="Times New Roman" w:hAnsi="Times New Roman" w:eastAsia="仿宋_GB2312" w:cs="Times New Roman"/>
          <w:color w:val="121212"/>
          <w:sz w:val="32"/>
          <w:szCs w:val="30"/>
          <w:highlight w:val="none"/>
          <w:lang w:val="en-US" w:eastAsia="zh-CN"/>
        </w:rPr>
        <w:t>增加</w:t>
      </w:r>
      <w:r>
        <w:rPr>
          <w:rFonts w:hint="default" w:ascii="Times New Roman" w:hAnsi="Times New Roman" w:eastAsia="仿宋_GB2312" w:cs="Times New Roman"/>
          <w:sz w:val="32"/>
          <w:szCs w:val="30"/>
          <w:lang w:val="en-US" w:eastAsia="zh-CN"/>
        </w:rPr>
        <w:t>；项目支出49.14万元，比上年减少37.91万元，减少43.6%，</w:t>
      </w:r>
      <w:r>
        <w:rPr>
          <w:rFonts w:hint="eastAsia" w:ascii="Times New Roman" w:hAnsi="Times New Roman" w:eastAsia="仿宋_GB2312" w:cs="Times New Roman"/>
          <w:sz w:val="32"/>
          <w:szCs w:val="30"/>
          <w:lang w:val="en-US" w:eastAsia="zh-CN"/>
        </w:rPr>
        <w:t>主要是本</w:t>
      </w:r>
      <w:r>
        <w:rPr>
          <w:rFonts w:hint="eastAsia" w:ascii="Times New Roman" w:hAnsi="Times New Roman" w:eastAsia="仿宋_GB2312" w:cs="Times New Roman"/>
          <w:color w:val="000000"/>
          <w:sz w:val="32"/>
          <w:lang w:val="en-US" w:eastAsia="zh-CN"/>
        </w:rPr>
        <w:t>年度无财政拨款和地方财政配套的第五次全国经济普查经费，所以比上年度减少</w:t>
      </w:r>
      <w:r>
        <w:rPr>
          <w:rFonts w:hint="default" w:ascii="Times New Roman" w:hAnsi="Times New Roman" w:eastAsia="仿宋_GB2312" w:cs="Times New Roman"/>
          <w:sz w:val="32"/>
          <w:szCs w:val="30"/>
          <w:lang w:val="en-US" w:eastAsia="zh-CN"/>
        </w:rPr>
        <w:t>；上缴上级支出0万元，与上年持平，主要是我单位无上缴上级支出；经营支出0万元，与上年持平，主要是我单位无经营支出；对附属单位补助支出0万元，与上年持平，主要是我单位无对附属单位补助支出。</w:t>
      </w:r>
    </w:p>
    <w:p w14:paraId="37B947D1">
      <w:pPr>
        <w:keepNext w:val="0"/>
        <w:keepLines w:val="0"/>
        <w:pageBreakBefore w:val="0"/>
        <w:widowControl w:val="0"/>
        <w:kinsoku/>
        <w:wordWrap/>
        <w:overflowPunct/>
        <w:topLinePunct w:val="0"/>
        <w:autoSpaceDE/>
        <w:autoSpaceDN/>
        <w:bidi w:val="0"/>
        <w:adjustRightInd/>
        <w:snapToGrid/>
        <w:spacing w:line="550" w:lineRule="exact"/>
        <w:ind w:firstLine="640"/>
        <w:textAlignment w:val="auto"/>
        <w:rPr>
          <w:rFonts w:hint="default" w:ascii="Times New Roman" w:hAnsi="Times New Roman" w:eastAsia="仿宋" w:cs="Times New Roman"/>
          <w:sz w:val="32"/>
        </w:rPr>
      </w:pPr>
      <w:r>
        <w:rPr>
          <w:rFonts w:hint="default" w:ascii="Times New Roman" w:hAnsi="Times New Roman" w:eastAsia="黑体" w:cs="Times New Roman"/>
          <w:sz w:val="32"/>
        </w:rPr>
        <w:t>四、财政拨款收入支出决算总体情况说明</w:t>
      </w:r>
    </w:p>
    <w:p w14:paraId="130047CF">
      <w:pPr>
        <w:ind w:firstLine="618" w:firstLineChars="200"/>
        <w:rPr>
          <w:rFonts w:hint="default" w:ascii="Times New Roman" w:hAnsi="Times New Roman" w:eastAsia="仿宋" w:cs="Times New Roman"/>
          <w:color w:val="121212"/>
          <w:sz w:val="32"/>
        </w:rPr>
      </w:pPr>
      <w:r>
        <w:rPr>
          <w:rFonts w:hint="default" w:ascii="Times New Roman" w:hAnsi="Times New Roman" w:eastAsia="仿宋_GB2312" w:cs="Times New Roman"/>
          <w:sz w:val="32"/>
          <w:szCs w:val="30"/>
          <w:lang w:val="en-US" w:eastAsia="zh-CN"/>
        </w:rPr>
        <w:t>2025年度财政拨款收、支总计均为192.79万元，与2024年相比，财政拨款收、支总计各减少3.87万元，下降2%。主要原因:</w:t>
      </w:r>
      <w:r>
        <w:rPr>
          <w:rFonts w:hint="default" w:ascii="Times New Roman" w:hAnsi="Times New Roman" w:eastAsia="仿宋_GB2312" w:cs="Times New Roman"/>
          <w:color w:val="121212"/>
          <w:sz w:val="32"/>
          <w:lang w:val="en-US" w:eastAsia="zh-CN"/>
        </w:rPr>
        <w:t>一是本年</w:t>
      </w:r>
      <w:r>
        <w:rPr>
          <w:rFonts w:hint="eastAsia" w:ascii="Times New Roman" w:hAnsi="Times New Roman" w:eastAsia="仿宋_GB2312" w:cs="Times New Roman"/>
          <w:color w:val="121212"/>
          <w:sz w:val="32"/>
          <w:lang w:val="en-US" w:eastAsia="zh-CN"/>
        </w:rPr>
        <w:t>度人员比上年度减少，财政核定的公用经费相应减少，所以比上年度减少</w:t>
      </w:r>
      <w:r>
        <w:rPr>
          <w:rFonts w:hint="default" w:ascii="Times New Roman" w:hAnsi="Times New Roman" w:eastAsia="仿宋_GB2312" w:cs="Times New Roman"/>
          <w:color w:val="121212"/>
          <w:sz w:val="32"/>
          <w:lang w:val="en-US" w:eastAsia="zh-CN"/>
        </w:rPr>
        <w:t>；</w:t>
      </w:r>
      <w:r>
        <w:rPr>
          <w:rFonts w:hint="eastAsia" w:ascii="Times New Roman" w:hAnsi="Times New Roman" w:eastAsia="仿宋_GB2312" w:cs="Times New Roman"/>
          <w:color w:val="000000"/>
          <w:sz w:val="32"/>
          <w:lang w:val="en-US" w:eastAsia="zh-CN"/>
        </w:rPr>
        <w:t>二是本年度无财政拨款的第五次全国经济普查经费，所以本年度收、支总计比上年度减少。</w:t>
      </w:r>
    </w:p>
    <w:p w14:paraId="1A991C91">
      <w:pPr>
        <w:ind w:firstLine="618" w:firstLineChars="200"/>
        <w:rPr>
          <w:rFonts w:hint="eastAsia" w:ascii="楷体_GB2312" w:hAnsi="楷体_GB2312" w:eastAsia="楷体_GB2312" w:cs="楷体_GB2312"/>
          <w:b w:val="0"/>
          <w:bCs w:val="0"/>
          <w:color w:val="121212"/>
          <w:sz w:val="32"/>
        </w:rPr>
      </w:pPr>
      <w:r>
        <w:rPr>
          <w:rFonts w:hint="eastAsia" w:ascii="楷体_GB2312" w:hAnsi="楷体_GB2312" w:eastAsia="楷体_GB2312" w:cs="楷体_GB2312"/>
          <w:b w:val="0"/>
          <w:bCs w:val="0"/>
          <w:color w:val="121212"/>
          <w:sz w:val="32"/>
        </w:rPr>
        <w:t>（一）一般公共预算财政拨款支出决算总体情况</w:t>
      </w:r>
    </w:p>
    <w:p w14:paraId="1ABAD73E">
      <w:pPr>
        <w:ind w:firstLine="618" w:firstLineChars="200"/>
        <w:rPr>
          <w:rFonts w:hint="default" w:ascii="Times New Roman" w:hAnsi="Times New Roman" w:eastAsia="仿宋_GB2312" w:cs="Times New Roman"/>
          <w:color w:val="FF0000"/>
          <w:sz w:val="32"/>
          <w:szCs w:val="30"/>
          <w:lang w:val="en-US" w:eastAsia="zh-CN"/>
        </w:rPr>
      </w:pPr>
      <w:r>
        <w:rPr>
          <w:rFonts w:hint="default" w:ascii="Times New Roman" w:hAnsi="Times New Roman" w:eastAsia="仿宋_GB2312" w:cs="Times New Roman"/>
          <w:color w:val="121212"/>
          <w:sz w:val="32"/>
          <w:szCs w:val="30"/>
          <w:lang w:val="en-US" w:eastAsia="zh-CN"/>
        </w:rPr>
        <w:t>2025年度一般公共预算财政拨款支出192.79万元，占本年支出合计的83.2%。与2024年度相比，一般公共预算财政拨款支出减少3.87万元，</w:t>
      </w:r>
      <w:r>
        <w:rPr>
          <w:rFonts w:hint="default" w:ascii="Times New Roman" w:hAnsi="Times New Roman" w:eastAsia="仿宋_GB2312" w:cs="Times New Roman"/>
          <w:color w:val="121212"/>
          <w:sz w:val="32"/>
          <w:lang w:val="en-US" w:eastAsia="zh-CN"/>
        </w:rPr>
        <w:t>减少2</w:t>
      </w:r>
      <w:r>
        <w:rPr>
          <w:rFonts w:hint="default" w:ascii="Times New Roman" w:hAnsi="Times New Roman" w:eastAsia="仿宋_GB2312" w:cs="Times New Roman"/>
          <w:color w:val="121212"/>
          <w:sz w:val="32"/>
        </w:rPr>
        <w:t>%，主要原因：</w:t>
      </w:r>
      <w:r>
        <w:rPr>
          <w:rFonts w:hint="default" w:ascii="Times New Roman" w:hAnsi="Times New Roman" w:eastAsia="仿宋_GB2312" w:cs="Times New Roman"/>
          <w:color w:val="121212"/>
          <w:sz w:val="32"/>
          <w:lang w:val="en-US" w:eastAsia="zh-CN"/>
        </w:rPr>
        <w:t>一是本年</w:t>
      </w:r>
      <w:r>
        <w:rPr>
          <w:rFonts w:hint="eastAsia" w:ascii="Times New Roman" w:hAnsi="Times New Roman" w:eastAsia="仿宋_GB2312" w:cs="Times New Roman"/>
          <w:color w:val="121212"/>
          <w:sz w:val="32"/>
          <w:lang w:val="en-US" w:eastAsia="zh-CN"/>
        </w:rPr>
        <w:t>度人员比上年度减少，财政核定的公用经费相应减少，所以比上年度减少</w:t>
      </w:r>
      <w:r>
        <w:rPr>
          <w:rFonts w:hint="default" w:ascii="Times New Roman" w:hAnsi="Times New Roman" w:eastAsia="仿宋_GB2312" w:cs="Times New Roman"/>
          <w:color w:val="121212"/>
          <w:sz w:val="32"/>
          <w:lang w:val="en-US" w:eastAsia="zh-CN"/>
        </w:rPr>
        <w:t>；</w:t>
      </w:r>
      <w:r>
        <w:rPr>
          <w:rFonts w:hint="eastAsia" w:ascii="Times New Roman" w:hAnsi="Times New Roman" w:eastAsia="仿宋_GB2312" w:cs="Times New Roman"/>
          <w:color w:val="000000"/>
          <w:sz w:val="32"/>
          <w:lang w:val="en-US" w:eastAsia="zh-CN"/>
        </w:rPr>
        <w:t>二是本年度无财政拨款的第五次全国经济普查经费，所以本年度收、支总计比上年度减少。</w:t>
      </w:r>
    </w:p>
    <w:p w14:paraId="0B152FCE">
      <w:pPr>
        <w:ind w:firstLine="618" w:firstLineChars="200"/>
        <w:rPr>
          <w:rFonts w:hint="default" w:ascii="楷体_GB2312" w:hAnsi="楷体_GB2312" w:eastAsia="楷体_GB2312" w:cs="楷体_GB2312"/>
          <w:b w:val="0"/>
          <w:bCs w:val="0"/>
          <w:sz w:val="32"/>
        </w:rPr>
      </w:pPr>
      <w:r>
        <w:rPr>
          <w:rFonts w:hint="default" w:ascii="楷体_GB2312" w:hAnsi="楷体_GB2312" w:eastAsia="楷体_GB2312" w:cs="楷体_GB2312"/>
          <w:b w:val="0"/>
          <w:bCs w:val="0"/>
          <w:sz w:val="32"/>
        </w:rPr>
        <w:t>（二）一般公共预算财政拨款支出决算结构情况</w:t>
      </w:r>
    </w:p>
    <w:p w14:paraId="112C069A">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lang w:eastAsia="zh-CN"/>
        </w:rPr>
        <w:t>2025</w:t>
      </w:r>
      <w:r>
        <w:rPr>
          <w:rFonts w:hint="default" w:ascii="Times New Roman" w:hAnsi="Times New Roman" w:eastAsia="仿宋_GB2312" w:cs="Times New Roman"/>
          <w:sz w:val="32"/>
          <w:szCs w:val="30"/>
        </w:rPr>
        <w:t>年度一般公共预算财政拨款支出</w:t>
      </w:r>
      <w:r>
        <w:rPr>
          <w:rFonts w:hint="default" w:ascii="Times New Roman" w:hAnsi="Times New Roman" w:eastAsia="仿宋_GB2312" w:cs="Times New Roman"/>
          <w:sz w:val="32"/>
          <w:szCs w:val="30"/>
          <w:lang w:val="en-US" w:eastAsia="zh-CN"/>
        </w:rPr>
        <w:t>192.79</w:t>
      </w:r>
      <w:r>
        <w:rPr>
          <w:rFonts w:hint="default" w:ascii="Times New Roman" w:hAnsi="Times New Roman" w:eastAsia="仿宋_GB2312" w:cs="Times New Roman"/>
          <w:sz w:val="32"/>
          <w:szCs w:val="30"/>
        </w:rPr>
        <w:t>万元，主要用于以下方面：一般公共服务支出</w:t>
      </w:r>
      <w:r>
        <w:rPr>
          <w:rFonts w:hint="default" w:ascii="Times New Roman" w:hAnsi="Times New Roman" w:eastAsia="仿宋_GB2312" w:cs="Times New Roman"/>
          <w:sz w:val="32"/>
          <w:szCs w:val="30"/>
          <w:lang w:val="en-US" w:eastAsia="zh-CN"/>
        </w:rPr>
        <w:t>154.5</w:t>
      </w:r>
      <w:r>
        <w:rPr>
          <w:rFonts w:hint="default" w:ascii="Times New Roman" w:hAnsi="Times New Roman" w:eastAsia="仿宋_GB2312" w:cs="Times New Roman"/>
          <w:sz w:val="32"/>
          <w:szCs w:val="30"/>
        </w:rPr>
        <w:t>万元，占</w:t>
      </w:r>
      <w:r>
        <w:rPr>
          <w:rFonts w:hint="default" w:ascii="Times New Roman" w:hAnsi="Times New Roman" w:eastAsia="仿宋_GB2312" w:cs="Times New Roman"/>
          <w:sz w:val="32"/>
          <w:szCs w:val="30"/>
          <w:lang w:val="en-US" w:eastAsia="zh-CN"/>
        </w:rPr>
        <w:t>80.1</w:t>
      </w:r>
      <w:r>
        <w:rPr>
          <w:rFonts w:hint="default" w:ascii="Times New Roman" w:hAnsi="Times New Roman" w:eastAsia="仿宋_GB2312" w:cs="Times New Roman"/>
          <w:sz w:val="32"/>
          <w:szCs w:val="30"/>
        </w:rPr>
        <w:t>%；</w:t>
      </w:r>
      <w:r>
        <w:rPr>
          <w:rFonts w:hint="default" w:ascii="Times New Roman" w:hAnsi="Times New Roman" w:eastAsia="仿宋_GB2312" w:cs="Times New Roman"/>
          <w:sz w:val="32"/>
          <w:szCs w:val="30"/>
          <w:lang w:val="en-US" w:eastAsia="zh-CN"/>
        </w:rPr>
        <w:t>社会保障和就业</w:t>
      </w:r>
      <w:r>
        <w:rPr>
          <w:rFonts w:hint="default" w:ascii="Times New Roman" w:hAnsi="Times New Roman" w:eastAsia="仿宋_GB2312" w:cs="Times New Roman"/>
          <w:sz w:val="32"/>
          <w:szCs w:val="30"/>
        </w:rPr>
        <w:t>支出</w:t>
      </w:r>
      <w:r>
        <w:rPr>
          <w:rFonts w:hint="default" w:ascii="Times New Roman" w:hAnsi="Times New Roman" w:eastAsia="仿宋_GB2312" w:cs="Times New Roman"/>
          <w:sz w:val="32"/>
          <w:szCs w:val="30"/>
          <w:lang w:val="en-US" w:eastAsia="zh-CN"/>
        </w:rPr>
        <w:t>24.34</w:t>
      </w:r>
      <w:r>
        <w:rPr>
          <w:rFonts w:hint="default" w:ascii="Times New Roman" w:hAnsi="Times New Roman" w:eastAsia="仿宋_GB2312" w:cs="Times New Roman"/>
          <w:sz w:val="32"/>
          <w:szCs w:val="30"/>
        </w:rPr>
        <w:t>万元，占</w:t>
      </w:r>
      <w:r>
        <w:rPr>
          <w:rFonts w:hint="default" w:ascii="Times New Roman" w:hAnsi="Times New Roman" w:eastAsia="仿宋_GB2312" w:cs="Times New Roman"/>
          <w:sz w:val="32"/>
          <w:szCs w:val="30"/>
          <w:lang w:val="en-US" w:eastAsia="zh-CN"/>
        </w:rPr>
        <w:t>12.6</w:t>
      </w:r>
      <w:r>
        <w:rPr>
          <w:rFonts w:hint="default" w:ascii="Times New Roman" w:hAnsi="Times New Roman" w:eastAsia="仿宋_GB2312" w:cs="Times New Roman"/>
          <w:sz w:val="32"/>
          <w:szCs w:val="30"/>
        </w:rPr>
        <w:t>%；</w:t>
      </w:r>
      <w:r>
        <w:rPr>
          <w:rFonts w:hint="default" w:ascii="Times New Roman" w:hAnsi="Times New Roman" w:eastAsia="仿宋_GB2312" w:cs="Times New Roman"/>
          <w:sz w:val="32"/>
          <w:szCs w:val="30"/>
          <w:lang w:val="en-US" w:eastAsia="zh-CN"/>
        </w:rPr>
        <w:t>卫生健康</w:t>
      </w:r>
      <w:r>
        <w:rPr>
          <w:rFonts w:hint="default" w:ascii="Times New Roman" w:hAnsi="Times New Roman" w:eastAsia="仿宋_GB2312" w:cs="Times New Roman"/>
          <w:sz w:val="32"/>
          <w:szCs w:val="30"/>
        </w:rPr>
        <w:t>支出</w:t>
      </w:r>
      <w:r>
        <w:rPr>
          <w:rFonts w:hint="default" w:ascii="Times New Roman" w:hAnsi="Times New Roman" w:eastAsia="仿宋_GB2312" w:cs="Times New Roman"/>
          <w:sz w:val="32"/>
          <w:szCs w:val="30"/>
          <w:lang w:val="en-US" w:eastAsia="zh-CN"/>
        </w:rPr>
        <w:t>3.98</w:t>
      </w:r>
      <w:r>
        <w:rPr>
          <w:rFonts w:hint="default" w:ascii="Times New Roman" w:hAnsi="Times New Roman" w:eastAsia="仿宋_GB2312" w:cs="Times New Roman"/>
          <w:sz w:val="32"/>
          <w:szCs w:val="30"/>
        </w:rPr>
        <w:t>万元，占</w:t>
      </w:r>
      <w:r>
        <w:rPr>
          <w:rFonts w:hint="default" w:ascii="Times New Roman" w:hAnsi="Times New Roman" w:eastAsia="仿宋_GB2312" w:cs="Times New Roman"/>
          <w:sz w:val="32"/>
          <w:szCs w:val="30"/>
          <w:lang w:val="en-US" w:eastAsia="zh-CN"/>
        </w:rPr>
        <w:t>2.1</w:t>
      </w:r>
      <w:r>
        <w:rPr>
          <w:rFonts w:hint="default" w:ascii="Times New Roman" w:hAnsi="Times New Roman" w:eastAsia="仿宋_GB2312" w:cs="Times New Roman"/>
          <w:sz w:val="32"/>
          <w:szCs w:val="30"/>
        </w:rPr>
        <w:t>%；</w:t>
      </w:r>
      <w:r>
        <w:rPr>
          <w:rFonts w:hint="default" w:ascii="Times New Roman" w:hAnsi="Times New Roman" w:eastAsia="仿宋_GB2312" w:cs="Times New Roman"/>
          <w:sz w:val="32"/>
          <w:szCs w:val="30"/>
          <w:lang w:val="en-US" w:eastAsia="zh-CN"/>
        </w:rPr>
        <w:t>住房保障</w:t>
      </w:r>
      <w:r>
        <w:rPr>
          <w:rFonts w:hint="default" w:ascii="Times New Roman" w:hAnsi="Times New Roman" w:eastAsia="仿宋_GB2312" w:cs="Times New Roman"/>
          <w:sz w:val="32"/>
          <w:szCs w:val="30"/>
        </w:rPr>
        <w:t>支出</w:t>
      </w:r>
      <w:r>
        <w:rPr>
          <w:rFonts w:hint="default" w:ascii="Times New Roman" w:hAnsi="Times New Roman" w:eastAsia="仿宋_GB2312" w:cs="Times New Roman"/>
          <w:sz w:val="32"/>
          <w:szCs w:val="30"/>
          <w:lang w:val="en-US" w:eastAsia="zh-CN"/>
        </w:rPr>
        <w:t>9.97</w:t>
      </w:r>
      <w:r>
        <w:rPr>
          <w:rFonts w:hint="default" w:ascii="Times New Roman" w:hAnsi="Times New Roman" w:eastAsia="仿宋_GB2312" w:cs="Times New Roman"/>
          <w:sz w:val="32"/>
          <w:szCs w:val="30"/>
        </w:rPr>
        <w:t>万元，占</w:t>
      </w:r>
      <w:r>
        <w:rPr>
          <w:rFonts w:hint="default" w:ascii="Times New Roman" w:hAnsi="Times New Roman" w:eastAsia="仿宋_GB2312" w:cs="Times New Roman"/>
          <w:sz w:val="32"/>
          <w:szCs w:val="30"/>
          <w:lang w:val="en-US" w:eastAsia="zh-CN"/>
        </w:rPr>
        <w:t>5.2</w:t>
      </w:r>
      <w:r>
        <w:rPr>
          <w:rFonts w:hint="default" w:ascii="Times New Roman" w:hAnsi="Times New Roman" w:eastAsia="仿宋_GB2312" w:cs="Times New Roman"/>
          <w:sz w:val="32"/>
          <w:szCs w:val="30"/>
        </w:rPr>
        <w:t>%。</w:t>
      </w:r>
    </w:p>
    <w:p w14:paraId="104E5341">
      <w:pPr>
        <w:ind w:firstLine="618" w:firstLineChars="200"/>
        <w:rPr>
          <w:rFonts w:hint="default" w:ascii="楷体_GB2312" w:hAnsi="楷体_GB2312" w:eastAsia="楷体_GB2312" w:cs="楷体_GB2312"/>
          <w:b w:val="0"/>
          <w:bCs w:val="0"/>
          <w:sz w:val="32"/>
        </w:rPr>
      </w:pPr>
      <w:r>
        <w:rPr>
          <w:rFonts w:hint="default" w:ascii="楷体_GB2312" w:hAnsi="楷体_GB2312" w:eastAsia="楷体_GB2312" w:cs="楷体_GB2312"/>
          <w:b w:val="0"/>
          <w:bCs w:val="0"/>
          <w:sz w:val="32"/>
        </w:rPr>
        <w:t>（三）一般公共预算财政拨款支出决算具体情况</w:t>
      </w:r>
    </w:p>
    <w:p w14:paraId="31F64C35">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lang w:eastAsia="zh-CN"/>
        </w:rPr>
        <w:t>2025</w:t>
      </w:r>
      <w:r>
        <w:rPr>
          <w:rFonts w:hint="default" w:ascii="Times New Roman" w:hAnsi="Times New Roman" w:eastAsia="仿宋_GB2312" w:cs="Times New Roman"/>
          <w:sz w:val="32"/>
          <w:szCs w:val="30"/>
        </w:rPr>
        <w:t>年度一般公共预算财政拨款支出年初预算为</w:t>
      </w:r>
      <w:r>
        <w:rPr>
          <w:rFonts w:hint="default" w:ascii="Times New Roman" w:hAnsi="Times New Roman" w:eastAsia="仿宋_GB2312" w:cs="Times New Roman"/>
          <w:color w:val="000000"/>
          <w:sz w:val="32"/>
          <w:szCs w:val="30"/>
          <w:lang w:val="en-US" w:eastAsia="zh-CN"/>
        </w:rPr>
        <w:t>185.39</w:t>
      </w:r>
      <w:r>
        <w:rPr>
          <w:rFonts w:hint="default" w:ascii="Times New Roman" w:hAnsi="Times New Roman" w:eastAsia="仿宋_GB2312" w:cs="Times New Roman"/>
          <w:sz w:val="32"/>
          <w:szCs w:val="30"/>
        </w:rPr>
        <w:t>万元，支出决算为</w:t>
      </w:r>
      <w:r>
        <w:rPr>
          <w:rFonts w:hint="default" w:ascii="Times New Roman" w:hAnsi="Times New Roman" w:eastAsia="仿宋_GB2312" w:cs="Times New Roman"/>
          <w:sz w:val="32"/>
          <w:szCs w:val="30"/>
          <w:lang w:val="en-US" w:eastAsia="zh-CN"/>
        </w:rPr>
        <w:t>192.79</w:t>
      </w:r>
      <w:r>
        <w:rPr>
          <w:rFonts w:hint="default" w:ascii="Times New Roman" w:hAnsi="Times New Roman" w:eastAsia="仿宋_GB2312" w:cs="Times New Roman"/>
          <w:sz w:val="32"/>
          <w:szCs w:val="30"/>
        </w:rPr>
        <w:t>万元，</w:t>
      </w:r>
      <w:r>
        <w:rPr>
          <w:rFonts w:hint="default" w:ascii="Times New Roman" w:hAnsi="Times New Roman" w:eastAsia="仿宋_GB2312" w:cs="Times New Roman"/>
          <w:sz w:val="32"/>
          <w:szCs w:val="30"/>
          <w:highlight w:val="none"/>
          <w:lang w:val="en-US" w:eastAsia="zh-CN"/>
        </w:rPr>
        <w:t>完成</w:t>
      </w:r>
      <w:r>
        <w:rPr>
          <w:rFonts w:hint="default" w:ascii="Times New Roman" w:hAnsi="Times New Roman" w:eastAsia="仿宋_GB2312" w:cs="Times New Roman"/>
          <w:sz w:val="32"/>
          <w:szCs w:val="30"/>
        </w:rPr>
        <w:t>年初预算的</w:t>
      </w:r>
      <w:r>
        <w:rPr>
          <w:rFonts w:hint="default" w:ascii="Times New Roman" w:hAnsi="Times New Roman" w:eastAsia="仿宋_GB2312" w:cs="Times New Roman"/>
          <w:sz w:val="32"/>
          <w:szCs w:val="30"/>
          <w:lang w:val="en-US" w:eastAsia="zh-CN"/>
        </w:rPr>
        <w:t>104</w:t>
      </w:r>
      <w:r>
        <w:rPr>
          <w:rFonts w:hint="default" w:ascii="Times New Roman" w:hAnsi="Times New Roman" w:eastAsia="仿宋_GB2312" w:cs="Times New Roman"/>
          <w:sz w:val="32"/>
          <w:szCs w:val="30"/>
        </w:rPr>
        <w:t>%。其中：</w:t>
      </w:r>
    </w:p>
    <w:p w14:paraId="37791553">
      <w:pPr>
        <w:numPr>
          <w:ilvl w:val="0"/>
          <w:numId w:val="0"/>
        </w:numPr>
        <w:ind w:firstLine="618" w:firstLineChars="200"/>
        <w:rPr>
          <w:rFonts w:hint="default" w:ascii="Times New Roman" w:hAnsi="Times New Roman" w:eastAsia="仿宋" w:cs="Times New Roman"/>
          <w:sz w:val="32"/>
          <w:szCs w:val="30"/>
          <w:highlight w:val="yellow"/>
          <w:lang w:val="en-US" w:eastAsia="zh-CN"/>
        </w:rPr>
      </w:pPr>
      <w:r>
        <w:rPr>
          <w:rFonts w:hint="default" w:ascii="Times New Roman" w:hAnsi="Times New Roman" w:eastAsia="仿宋_GB2312" w:cs="Times New Roman"/>
          <w:sz w:val="32"/>
        </w:rPr>
        <w:t>1.</w:t>
      </w:r>
      <w:r>
        <w:rPr>
          <w:rFonts w:hint="default" w:ascii="Times New Roman" w:hAnsi="Times New Roman" w:eastAsia="仿宋_GB2312" w:cs="Times New Roman"/>
          <w:sz w:val="32"/>
          <w:szCs w:val="30"/>
        </w:rPr>
        <w:t>一般公共服务</w:t>
      </w:r>
      <w:r>
        <w:rPr>
          <w:rFonts w:hint="default" w:ascii="Times New Roman" w:hAnsi="Times New Roman" w:eastAsia="仿宋" w:cs="Times New Roman"/>
          <w:sz w:val="32"/>
          <w:lang w:eastAsia="zh-CN"/>
        </w:rPr>
        <w:t>支出</w:t>
      </w:r>
      <w:r>
        <w:rPr>
          <w:rFonts w:hint="default" w:ascii="Times New Roman" w:hAnsi="Times New Roman" w:eastAsia="仿宋_GB2312" w:cs="Times New Roman"/>
          <w:sz w:val="32"/>
          <w:szCs w:val="30"/>
        </w:rPr>
        <w:t>（类）统计信息事务（款）行政运行（项）。年初预算为</w:t>
      </w:r>
      <w:r>
        <w:rPr>
          <w:rFonts w:hint="default" w:ascii="Times New Roman" w:hAnsi="Times New Roman" w:eastAsia="仿宋_GB2312" w:cs="Times New Roman"/>
          <w:sz w:val="32"/>
          <w:szCs w:val="30"/>
          <w:lang w:val="en-US" w:eastAsia="zh-CN"/>
        </w:rPr>
        <w:t>115.35</w:t>
      </w:r>
      <w:r>
        <w:rPr>
          <w:rFonts w:hint="default" w:ascii="Times New Roman" w:hAnsi="Times New Roman" w:eastAsia="仿宋_GB2312" w:cs="Times New Roman"/>
          <w:sz w:val="32"/>
          <w:szCs w:val="30"/>
        </w:rPr>
        <w:t>万元，支出决算为</w:t>
      </w:r>
      <w:r>
        <w:rPr>
          <w:rFonts w:hint="default" w:ascii="Times New Roman" w:hAnsi="Times New Roman" w:eastAsia="仿宋_GB2312" w:cs="Times New Roman"/>
          <w:sz w:val="32"/>
          <w:szCs w:val="30"/>
          <w:lang w:val="en-US" w:eastAsia="zh-CN"/>
        </w:rPr>
        <w:t>123.14</w:t>
      </w:r>
      <w:r>
        <w:rPr>
          <w:rFonts w:hint="default" w:ascii="Times New Roman" w:hAnsi="Times New Roman" w:eastAsia="仿宋_GB2312" w:cs="Times New Roman"/>
          <w:sz w:val="32"/>
          <w:szCs w:val="30"/>
        </w:rPr>
        <w:t>万元，</w:t>
      </w:r>
      <w:r>
        <w:rPr>
          <w:rFonts w:hint="default" w:ascii="Times New Roman" w:hAnsi="Times New Roman" w:eastAsia="仿宋_GB2312" w:cs="Times New Roman"/>
          <w:sz w:val="32"/>
          <w:szCs w:val="30"/>
          <w:lang w:val="en-US" w:eastAsia="zh-CN"/>
        </w:rPr>
        <w:t>超出</w:t>
      </w:r>
      <w:r>
        <w:rPr>
          <w:rFonts w:hint="default" w:ascii="Times New Roman" w:hAnsi="Times New Roman" w:eastAsia="仿宋_GB2312" w:cs="Times New Roman"/>
          <w:sz w:val="32"/>
          <w:szCs w:val="30"/>
        </w:rPr>
        <w:t>年初预算的</w:t>
      </w:r>
      <w:r>
        <w:rPr>
          <w:rFonts w:hint="default" w:ascii="Times New Roman" w:hAnsi="Times New Roman" w:eastAsia="仿宋_GB2312" w:cs="Times New Roman"/>
          <w:sz w:val="32"/>
          <w:szCs w:val="30"/>
          <w:lang w:val="en-US" w:eastAsia="zh-CN"/>
        </w:rPr>
        <w:t>106.8</w:t>
      </w:r>
      <w:r>
        <w:rPr>
          <w:rFonts w:hint="default" w:ascii="Times New Roman" w:hAnsi="Times New Roman" w:eastAsia="仿宋_GB2312" w:cs="Times New Roman"/>
          <w:sz w:val="32"/>
          <w:szCs w:val="30"/>
        </w:rPr>
        <w:t>%。</w:t>
      </w:r>
      <w:bookmarkStart w:id="0" w:name="OLE_LINK1"/>
      <w:r>
        <w:rPr>
          <w:rFonts w:hint="default" w:ascii="Times New Roman" w:hAnsi="Times New Roman" w:eastAsia="仿宋_GB2312" w:cs="Times New Roman"/>
          <w:sz w:val="32"/>
          <w:szCs w:val="30"/>
          <w:highlight w:val="none"/>
        </w:rPr>
        <w:t>决算数</w:t>
      </w:r>
      <w:r>
        <w:rPr>
          <w:rFonts w:hint="default" w:ascii="Times New Roman" w:hAnsi="Times New Roman" w:eastAsia="仿宋_GB2312" w:cs="Times New Roman"/>
          <w:sz w:val="32"/>
          <w:szCs w:val="30"/>
          <w:highlight w:val="none"/>
          <w:lang w:val="en-US" w:eastAsia="zh-CN"/>
        </w:rPr>
        <w:t>大</w:t>
      </w:r>
      <w:r>
        <w:rPr>
          <w:rFonts w:hint="default" w:ascii="Times New Roman" w:hAnsi="Times New Roman" w:eastAsia="仿宋_GB2312" w:cs="Times New Roman"/>
          <w:sz w:val="32"/>
          <w:szCs w:val="30"/>
          <w:highlight w:val="none"/>
        </w:rPr>
        <w:t>于预算数</w:t>
      </w:r>
      <w:bookmarkEnd w:id="0"/>
      <w:r>
        <w:rPr>
          <w:rFonts w:hint="default" w:ascii="Times New Roman" w:hAnsi="Times New Roman" w:eastAsia="仿宋_GB2312" w:cs="Times New Roman"/>
          <w:sz w:val="32"/>
          <w:szCs w:val="30"/>
          <w:highlight w:val="none"/>
        </w:rPr>
        <w:t>的主要原因</w:t>
      </w:r>
      <w:r>
        <w:rPr>
          <w:rFonts w:hint="eastAsia" w:ascii="Times New Roman" w:hAnsi="Times New Roman" w:eastAsia="仿宋_GB2312" w:cs="Times New Roman"/>
          <w:sz w:val="32"/>
          <w:szCs w:val="30"/>
          <w:highlight w:val="none"/>
          <w:lang w:val="en-US" w:eastAsia="zh-CN"/>
        </w:rPr>
        <w:t>是本年度年中</w:t>
      </w:r>
      <w:r>
        <w:rPr>
          <w:rFonts w:hint="default" w:ascii="Times New Roman" w:hAnsi="Times New Roman" w:eastAsia="仿宋_GB2312" w:cs="Times New Roman"/>
          <w:sz w:val="32"/>
          <w:szCs w:val="30"/>
          <w:highlight w:val="none"/>
          <w:lang w:val="en-US" w:eastAsia="zh-CN"/>
        </w:rPr>
        <w:t>追加</w:t>
      </w:r>
      <w:r>
        <w:rPr>
          <w:rFonts w:hint="eastAsia" w:ascii="Times New Roman" w:hAnsi="Times New Roman" w:eastAsia="仿宋_GB2312" w:cs="Times New Roman"/>
          <w:sz w:val="32"/>
          <w:szCs w:val="30"/>
          <w:highlight w:val="none"/>
          <w:lang w:val="en-US" w:eastAsia="zh-CN"/>
        </w:rPr>
        <w:t>了人员经费，相应支出增加</w:t>
      </w:r>
      <w:r>
        <w:rPr>
          <w:rFonts w:hint="default" w:ascii="Times New Roman" w:hAnsi="Times New Roman" w:eastAsia="仿宋_GB2312" w:cs="Times New Roman"/>
          <w:color w:val="auto"/>
          <w:sz w:val="32"/>
          <w:szCs w:val="30"/>
          <w:highlight w:val="none"/>
          <w:lang w:val="en-US" w:eastAsia="zh-CN"/>
        </w:rPr>
        <w:t>。</w:t>
      </w:r>
    </w:p>
    <w:p w14:paraId="2C4D6053">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rPr>
        <w:t>2.一般公共服务</w:t>
      </w:r>
      <w:r>
        <w:rPr>
          <w:rFonts w:hint="default" w:ascii="Times New Roman" w:hAnsi="Times New Roman" w:eastAsia="仿宋_GB2312" w:cs="Times New Roman"/>
          <w:sz w:val="32"/>
          <w:szCs w:val="30"/>
          <w:lang w:eastAsia="zh-CN"/>
        </w:rPr>
        <w:t>支出</w:t>
      </w:r>
      <w:r>
        <w:rPr>
          <w:rFonts w:hint="default" w:ascii="Times New Roman" w:hAnsi="Times New Roman" w:eastAsia="仿宋_GB2312" w:cs="Times New Roman"/>
          <w:sz w:val="32"/>
          <w:szCs w:val="30"/>
        </w:rPr>
        <w:t>（类）统计信息事务（款）一般行政管理事务（项）年初预算为</w:t>
      </w:r>
      <w:r>
        <w:rPr>
          <w:rFonts w:hint="default" w:ascii="Times New Roman" w:hAnsi="Times New Roman" w:eastAsia="仿宋_GB2312" w:cs="Times New Roman"/>
          <w:sz w:val="32"/>
          <w:szCs w:val="30"/>
          <w:lang w:val="en-US" w:eastAsia="zh-CN"/>
        </w:rPr>
        <w:t>31.36</w:t>
      </w:r>
      <w:r>
        <w:rPr>
          <w:rFonts w:hint="default" w:ascii="Times New Roman" w:hAnsi="Times New Roman" w:eastAsia="仿宋_GB2312" w:cs="Times New Roman"/>
          <w:sz w:val="32"/>
          <w:szCs w:val="30"/>
        </w:rPr>
        <w:t>万元，支出决算为</w:t>
      </w:r>
      <w:r>
        <w:rPr>
          <w:rFonts w:hint="default" w:ascii="Times New Roman" w:hAnsi="Times New Roman" w:eastAsia="仿宋_GB2312" w:cs="Times New Roman"/>
          <w:sz w:val="32"/>
          <w:szCs w:val="30"/>
          <w:lang w:val="en-US" w:eastAsia="zh-CN"/>
        </w:rPr>
        <w:t>31.36</w:t>
      </w:r>
      <w:r>
        <w:rPr>
          <w:rFonts w:hint="default" w:ascii="Times New Roman" w:hAnsi="Times New Roman" w:eastAsia="仿宋_GB2312" w:cs="Times New Roman"/>
          <w:sz w:val="32"/>
          <w:szCs w:val="30"/>
        </w:rPr>
        <w:t>万元，完成年初预算的</w:t>
      </w:r>
      <w:r>
        <w:rPr>
          <w:rFonts w:hint="default" w:ascii="Times New Roman" w:hAnsi="Times New Roman" w:eastAsia="仿宋_GB2312" w:cs="Times New Roman"/>
          <w:sz w:val="32"/>
          <w:szCs w:val="30"/>
          <w:lang w:val="en-US" w:eastAsia="zh-CN"/>
        </w:rPr>
        <w:t>100</w:t>
      </w:r>
      <w:r>
        <w:rPr>
          <w:rFonts w:hint="default" w:ascii="Times New Roman" w:hAnsi="Times New Roman" w:eastAsia="仿宋_GB2312" w:cs="Times New Roman"/>
          <w:sz w:val="32"/>
          <w:szCs w:val="30"/>
        </w:rPr>
        <w:t>%</w:t>
      </w:r>
      <w:r>
        <w:rPr>
          <w:rFonts w:hint="eastAsia" w:ascii="Times New Roman" w:hAnsi="Times New Roman" w:eastAsia="仿宋_GB2312" w:cs="Times New Roman"/>
          <w:sz w:val="32"/>
          <w:szCs w:val="30"/>
          <w:lang w:eastAsia="zh-CN"/>
        </w:rPr>
        <w:t>。</w:t>
      </w:r>
      <w:r>
        <w:rPr>
          <w:rFonts w:hint="default" w:ascii="Times New Roman" w:hAnsi="Times New Roman" w:eastAsia="仿宋" w:cs="Times New Roman"/>
          <w:color w:val="auto"/>
          <w:sz w:val="32"/>
          <w:szCs w:val="30"/>
        </w:rPr>
        <w:t>决算数与预算数持平</w:t>
      </w:r>
      <w:r>
        <w:rPr>
          <w:rFonts w:hint="default" w:ascii="Times New Roman" w:hAnsi="Times New Roman" w:eastAsia="仿宋_GB2312" w:cs="Times New Roman"/>
          <w:sz w:val="32"/>
          <w:szCs w:val="30"/>
        </w:rPr>
        <w:t>。</w:t>
      </w:r>
    </w:p>
    <w:p w14:paraId="20269B85">
      <w:pPr>
        <w:ind w:firstLine="618" w:firstLineChars="200"/>
        <w:rPr>
          <w:rFonts w:hint="default" w:ascii="Times New Roman" w:hAnsi="Times New Roman" w:eastAsia="仿宋_GB2312" w:cs="Times New Roman"/>
          <w:sz w:val="32"/>
          <w:szCs w:val="30"/>
          <w:highlight w:val="yellow"/>
          <w:lang w:val="en-US" w:eastAsia="zh-CN"/>
        </w:rPr>
      </w:pPr>
      <w:r>
        <w:rPr>
          <w:rFonts w:hint="default" w:ascii="Times New Roman" w:hAnsi="Times New Roman" w:eastAsia="仿宋_GB2312" w:cs="Times New Roman"/>
          <w:sz w:val="32"/>
          <w:szCs w:val="30"/>
          <w:lang w:val="en-US" w:eastAsia="zh-CN"/>
        </w:rPr>
        <w:t>3</w:t>
      </w:r>
      <w:r>
        <w:rPr>
          <w:rFonts w:hint="default" w:ascii="Times New Roman" w:hAnsi="Times New Roman" w:eastAsia="仿宋_GB2312" w:cs="Times New Roman"/>
          <w:sz w:val="32"/>
          <w:szCs w:val="30"/>
        </w:rPr>
        <w:t>.社会保障和就业支出（类）行政事业单位养老支出（款）行政单位离退休（项）</w:t>
      </w:r>
      <w:r>
        <w:rPr>
          <w:rFonts w:hint="default" w:ascii="Times New Roman" w:hAnsi="Times New Roman" w:eastAsia="仿宋_GB2312" w:cs="Times New Roman"/>
          <w:sz w:val="32"/>
          <w:szCs w:val="30"/>
          <w:lang w:val="en-US" w:eastAsia="zh-CN"/>
        </w:rPr>
        <w:t>年初预算数为11.55万元</w:t>
      </w:r>
      <w:r>
        <w:rPr>
          <w:rFonts w:hint="default" w:ascii="Times New Roman" w:hAnsi="Times New Roman" w:eastAsia="仿宋_GB2312" w:cs="Times New Roman"/>
          <w:sz w:val="32"/>
          <w:szCs w:val="30"/>
        </w:rPr>
        <w:t>，支出决算为</w:t>
      </w:r>
      <w:r>
        <w:rPr>
          <w:rFonts w:hint="default" w:ascii="Times New Roman" w:hAnsi="Times New Roman" w:eastAsia="仿宋_GB2312" w:cs="Times New Roman"/>
          <w:sz w:val="32"/>
          <w:szCs w:val="30"/>
          <w:lang w:val="en-US" w:eastAsia="zh-CN"/>
        </w:rPr>
        <w:t>11.55</w:t>
      </w:r>
      <w:r>
        <w:rPr>
          <w:rFonts w:hint="default" w:ascii="Times New Roman" w:hAnsi="Times New Roman" w:eastAsia="仿宋_GB2312" w:cs="Times New Roman"/>
          <w:sz w:val="32"/>
          <w:szCs w:val="30"/>
        </w:rPr>
        <w:t>万元，完成年初预算的</w:t>
      </w:r>
      <w:r>
        <w:rPr>
          <w:rFonts w:hint="default" w:ascii="Times New Roman" w:hAnsi="Times New Roman" w:eastAsia="仿宋_GB2312" w:cs="Times New Roman"/>
          <w:sz w:val="32"/>
          <w:szCs w:val="30"/>
          <w:lang w:val="en-US" w:eastAsia="zh-CN"/>
        </w:rPr>
        <w:t>100</w:t>
      </w:r>
      <w:r>
        <w:rPr>
          <w:rFonts w:hint="default" w:ascii="Times New Roman" w:hAnsi="Times New Roman" w:eastAsia="仿宋_GB2312" w:cs="Times New Roman"/>
          <w:sz w:val="32"/>
          <w:szCs w:val="30"/>
        </w:rPr>
        <w:t>%</w:t>
      </w:r>
      <w:r>
        <w:rPr>
          <w:rFonts w:hint="eastAsia" w:ascii="Times New Roman" w:hAnsi="Times New Roman" w:eastAsia="仿宋_GB2312" w:cs="Times New Roman"/>
          <w:sz w:val="32"/>
          <w:szCs w:val="30"/>
          <w:lang w:eastAsia="zh-CN"/>
        </w:rPr>
        <w:t>。</w:t>
      </w:r>
      <w:r>
        <w:rPr>
          <w:rFonts w:hint="default" w:ascii="Times New Roman" w:hAnsi="Times New Roman" w:eastAsia="仿宋" w:cs="Times New Roman"/>
          <w:color w:val="auto"/>
          <w:sz w:val="32"/>
          <w:szCs w:val="30"/>
        </w:rPr>
        <w:t>决算数与预算数持平</w:t>
      </w:r>
      <w:r>
        <w:rPr>
          <w:rFonts w:hint="default" w:ascii="Times New Roman" w:hAnsi="Times New Roman" w:eastAsia="仿宋_GB2312" w:cs="Times New Roman"/>
          <w:sz w:val="32"/>
          <w:szCs w:val="30"/>
        </w:rPr>
        <w:t>。</w:t>
      </w:r>
    </w:p>
    <w:p w14:paraId="01CAC820">
      <w:pPr>
        <w:ind w:firstLine="618" w:firstLineChars="200"/>
        <w:rPr>
          <w:rFonts w:hint="default" w:ascii="Times New Roman" w:hAnsi="Times New Roman" w:eastAsia="仿宋_GB2312" w:cs="Times New Roman"/>
          <w:sz w:val="32"/>
          <w:szCs w:val="30"/>
          <w:highlight w:val="yellow"/>
        </w:rPr>
      </w:pPr>
      <w:r>
        <w:rPr>
          <w:rFonts w:hint="default" w:ascii="Times New Roman" w:hAnsi="Times New Roman" w:eastAsia="仿宋_GB2312" w:cs="Times New Roman"/>
          <w:sz w:val="32"/>
          <w:szCs w:val="30"/>
          <w:lang w:val="en-US" w:eastAsia="zh-CN"/>
        </w:rPr>
        <w:t>4</w:t>
      </w:r>
      <w:r>
        <w:rPr>
          <w:rFonts w:hint="default" w:ascii="Times New Roman" w:hAnsi="Times New Roman" w:eastAsia="仿宋_GB2312" w:cs="Times New Roman"/>
          <w:sz w:val="32"/>
          <w:szCs w:val="30"/>
        </w:rPr>
        <w:t>.社会保障和就业支出（类）行政事业单位养老支出（款）机关事业单位基本养老保险缴费支出（项）年初</w:t>
      </w:r>
      <w:r>
        <w:rPr>
          <w:rFonts w:hint="default" w:ascii="Times New Roman" w:hAnsi="Times New Roman" w:eastAsia="仿宋_GB2312" w:cs="Times New Roman"/>
          <w:sz w:val="32"/>
          <w:szCs w:val="30"/>
          <w:lang w:val="en-US" w:eastAsia="zh-CN"/>
        </w:rPr>
        <w:t>预算数为24.63万元</w:t>
      </w:r>
      <w:r>
        <w:rPr>
          <w:rFonts w:hint="default" w:ascii="Times New Roman" w:hAnsi="Times New Roman" w:eastAsia="仿宋_GB2312" w:cs="Times New Roman"/>
          <w:sz w:val="32"/>
          <w:szCs w:val="30"/>
        </w:rPr>
        <w:t>，支出决算为</w:t>
      </w:r>
      <w:r>
        <w:rPr>
          <w:rFonts w:hint="default" w:ascii="Times New Roman" w:hAnsi="Times New Roman" w:eastAsia="仿宋_GB2312" w:cs="Times New Roman"/>
          <w:sz w:val="32"/>
          <w:szCs w:val="30"/>
          <w:lang w:val="en-US" w:eastAsia="zh-CN"/>
        </w:rPr>
        <w:t>24.34</w:t>
      </w:r>
      <w:r>
        <w:rPr>
          <w:rFonts w:hint="default" w:ascii="Times New Roman" w:hAnsi="Times New Roman" w:eastAsia="仿宋_GB2312" w:cs="Times New Roman"/>
          <w:sz w:val="32"/>
          <w:szCs w:val="30"/>
        </w:rPr>
        <w:t>万元，完成年初预算的</w:t>
      </w:r>
      <w:r>
        <w:rPr>
          <w:rFonts w:hint="default" w:ascii="Times New Roman" w:hAnsi="Times New Roman" w:eastAsia="仿宋_GB2312" w:cs="Times New Roman"/>
          <w:sz w:val="32"/>
          <w:szCs w:val="30"/>
          <w:lang w:val="en-US" w:eastAsia="zh-CN"/>
        </w:rPr>
        <w:t>98.8</w:t>
      </w:r>
      <w:r>
        <w:rPr>
          <w:rFonts w:hint="default" w:ascii="Times New Roman" w:hAnsi="Times New Roman" w:eastAsia="仿宋_GB2312" w:cs="Times New Roman"/>
          <w:sz w:val="32"/>
          <w:szCs w:val="30"/>
        </w:rPr>
        <w:t>%。</w:t>
      </w:r>
      <w:r>
        <w:rPr>
          <w:rFonts w:hint="eastAsia" w:ascii="Times New Roman" w:hAnsi="Times New Roman" w:eastAsia="仿宋_GB2312" w:cs="Times New Roman"/>
          <w:sz w:val="32"/>
          <w:szCs w:val="30"/>
          <w:lang w:eastAsia="zh-CN"/>
        </w:rPr>
        <w:t>决算数小于预算数的主要原因是本年度养老保险的缴费基数调减，相应支出减少。</w:t>
      </w:r>
    </w:p>
    <w:p w14:paraId="20D08315">
      <w:pPr>
        <w:ind w:firstLine="618" w:firstLineChars="200"/>
        <w:rPr>
          <w:rFonts w:hint="default" w:ascii="Times New Roman" w:hAnsi="Times New Roman" w:eastAsia="仿宋_GB2312" w:cs="Times New Roman"/>
          <w:color w:val="FF0000"/>
          <w:sz w:val="32"/>
          <w:szCs w:val="30"/>
          <w:highlight w:val="yellow"/>
        </w:rPr>
      </w:pPr>
      <w:r>
        <w:rPr>
          <w:rFonts w:hint="eastAsia" w:ascii="Times New Roman" w:hAnsi="Times New Roman" w:eastAsia="仿宋_GB2312" w:cs="Times New Roman"/>
          <w:sz w:val="32"/>
          <w:szCs w:val="30"/>
          <w:lang w:val="en-US" w:eastAsia="zh-CN"/>
        </w:rPr>
        <w:t>5</w:t>
      </w:r>
      <w:r>
        <w:rPr>
          <w:rFonts w:hint="default" w:ascii="Times New Roman" w:hAnsi="Times New Roman" w:eastAsia="仿宋_GB2312" w:cs="Times New Roman"/>
          <w:sz w:val="32"/>
          <w:szCs w:val="30"/>
        </w:rPr>
        <w:t>.卫生健康支出（类）行政事业单位医疗（款）行政单位医疗（项）</w:t>
      </w:r>
      <w:r>
        <w:rPr>
          <w:rFonts w:hint="default" w:ascii="Times New Roman" w:hAnsi="Times New Roman" w:eastAsia="仿宋_GB2312" w:cs="Times New Roman"/>
          <w:sz w:val="32"/>
          <w:szCs w:val="30"/>
          <w:lang w:val="en-US" w:eastAsia="zh-CN"/>
        </w:rPr>
        <w:t>年初预算数为4.01万元</w:t>
      </w:r>
      <w:r>
        <w:rPr>
          <w:rFonts w:hint="default" w:ascii="Times New Roman" w:hAnsi="Times New Roman" w:eastAsia="仿宋_GB2312" w:cs="Times New Roman"/>
          <w:sz w:val="32"/>
          <w:szCs w:val="30"/>
        </w:rPr>
        <w:t>，支出决算为</w:t>
      </w:r>
      <w:r>
        <w:rPr>
          <w:rFonts w:hint="default" w:ascii="Times New Roman" w:hAnsi="Times New Roman" w:eastAsia="仿宋_GB2312" w:cs="Times New Roman"/>
          <w:sz w:val="32"/>
          <w:szCs w:val="30"/>
          <w:lang w:val="en-US" w:eastAsia="zh-CN"/>
        </w:rPr>
        <w:t>3.98</w:t>
      </w:r>
      <w:r>
        <w:rPr>
          <w:rFonts w:hint="default" w:ascii="Times New Roman" w:hAnsi="Times New Roman" w:eastAsia="仿宋_GB2312" w:cs="Times New Roman"/>
          <w:sz w:val="32"/>
          <w:szCs w:val="30"/>
        </w:rPr>
        <w:t>万元，完成年初预算的</w:t>
      </w:r>
      <w:r>
        <w:rPr>
          <w:rFonts w:hint="default" w:ascii="Times New Roman" w:hAnsi="Times New Roman" w:eastAsia="仿宋_GB2312" w:cs="Times New Roman"/>
          <w:sz w:val="32"/>
          <w:szCs w:val="30"/>
          <w:lang w:val="en-US" w:eastAsia="zh-CN"/>
        </w:rPr>
        <w:t>99.3</w:t>
      </w:r>
      <w:r>
        <w:rPr>
          <w:rFonts w:hint="default" w:ascii="Times New Roman" w:hAnsi="Times New Roman" w:eastAsia="仿宋_GB2312" w:cs="Times New Roman"/>
          <w:sz w:val="32"/>
          <w:szCs w:val="30"/>
        </w:rPr>
        <w:t>%。</w:t>
      </w:r>
      <w:r>
        <w:rPr>
          <w:rFonts w:hint="eastAsia" w:ascii="Times New Roman" w:hAnsi="Times New Roman" w:eastAsia="仿宋_GB2312" w:cs="Times New Roman"/>
          <w:sz w:val="32"/>
          <w:szCs w:val="30"/>
          <w:lang w:eastAsia="zh-CN"/>
        </w:rPr>
        <w:t>决算数小于预算数的主要原因是本年度医疗保险的缴费基数调减，相应支出减少。</w:t>
      </w:r>
    </w:p>
    <w:p w14:paraId="7135BBB5">
      <w:pPr>
        <w:ind w:firstLine="618" w:firstLineChars="200"/>
        <w:rPr>
          <w:rFonts w:hint="default" w:ascii="Times New Roman" w:hAnsi="Times New Roman" w:eastAsia="仿宋_GB2312" w:cs="Times New Roman"/>
          <w:color w:val="FF0000"/>
          <w:sz w:val="32"/>
          <w:szCs w:val="30"/>
          <w:highlight w:val="yellow"/>
        </w:rPr>
      </w:pPr>
      <w:r>
        <w:rPr>
          <w:rFonts w:hint="eastAsia" w:ascii="Times New Roman" w:hAnsi="Times New Roman" w:eastAsia="仿宋_GB2312" w:cs="Times New Roman"/>
          <w:sz w:val="32"/>
          <w:szCs w:val="30"/>
          <w:lang w:val="en-US" w:eastAsia="zh-CN"/>
        </w:rPr>
        <w:t>6</w:t>
      </w:r>
      <w:r>
        <w:rPr>
          <w:rFonts w:hint="default" w:ascii="Times New Roman" w:hAnsi="Times New Roman" w:eastAsia="仿宋_GB2312" w:cs="Times New Roman"/>
          <w:sz w:val="32"/>
          <w:szCs w:val="30"/>
          <w:lang w:val="en-US" w:eastAsia="zh-CN"/>
        </w:rPr>
        <w:t>.</w:t>
      </w:r>
      <w:r>
        <w:rPr>
          <w:rFonts w:hint="default" w:ascii="Times New Roman" w:hAnsi="Times New Roman" w:eastAsia="仿宋_GB2312" w:cs="Times New Roman"/>
          <w:sz w:val="32"/>
          <w:szCs w:val="30"/>
        </w:rPr>
        <w:t>住房保障支出（类）住房改革支出（款）住房公积金（项）年初</w:t>
      </w:r>
      <w:r>
        <w:rPr>
          <w:rFonts w:hint="default" w:ascii="Times New Roman" w:hAnsi="Times New Roman" w:eastAsia="仿宋_GB2312" w:cs="Times New Roman"/>
          <w:sz w:val="32"/>
          <w:szCs w:val="30"/>
          <w:lang w:val="en-US" w:eastAsia="zh-CN"/>
        </w:rPr>
        <w:t>预算数为10.04万元</w:t>
      </w:r>
      <w:r>
        <w:rPr>
          <w:rFonts w:hint="default" w:ascii="Times New Roman" w:hAnsi="Times New Roman" w:eastAsia="仿宋_GB2312" w:cs="Times New Roman"/>
          <w:sz w:val="32"/>
          <w:szCs w:val="30"/>
        </w:rPr>
        <w:t>，支出决算为</w:t>
      </w:r>
      <w:r>
        <w:rPr>
          <w:rFonts w:hint="default" w:ascii="Times New Roman" w:hAnsi="Times New Roman" w:eastAsia="仿宋_GB2312" w:cs="Times New Roman"/>
          <w:sz w:val="32"/>
          <w:szCs w:val="30"/>
          <w:lang w:val="en-US" w:eastAsia="zh-CN"/>
        </w:rPr>
        <w:t>9.97</w:t>
      </w:r>
      <w:r>
        <w:rPr>
          <w:rFonts w:hint="default" w:ascii="Times New Roman" w:hAnsi="Times New Roman" w:eastAsia="仿宋_GB2312" w:cs="Times New Roman"/>
          <w:sz w:val="32"/>
          <w:szCs w:val="30"/>
        </w:rPr>
        <w:t>万元，完成年初预算的</w:t>
      </w:r>
      <w:r>
        <w:rPr>
          <w:rFonts w:hint="default" w:ascii="Times New Roman" w:hAnsi="Times New Roman" w:eastAsia="仿宋_GB2312" w:cs="Times New Roman"/>
          <w:sz w:val="32"/>
          <w:szCs w:val="30"/>
          <w:lang w:val="en-US" w:eastAsia="zh-CN"/>
        </w:rPr>
        <w:t>99.3</w:t>
      </w:r>
      <w:r>
        <w:rPr>
          <w:rFonts w:hint="default" w:ascii="Times New Roman" w:hAnsi="Times New Roman" w:eastAsia="仿宋_GB2312" w:cs="Times New Roman"/>
          <w:sz w:val="32"/>
          <w:szCs w:val="30"/>
        </w:rPr>
        <w:t>%。</w:t>
      </w:r>
      <w:r>
        <w:rPr>
          <w:rFonts w:hint="eastAsia" w:ascii="Times New Roman" w:hAnsi="Times New Roman" w:eastAsia="仿宋_GB2312" w:cs="Times New Roman"/>
          <w:sz w:val="32"/>
          <w:szCs w:val="30"/>
          <w:lang w:eastAsia="zh-CN"/>
        </w:rPr>
        <w:t>决算数小于预算数的主要原因是本年度公积金的缴费基数调减，相应支出减少。</w:t>
      </w:r>
    </w:p>
    <w:p w14:paraId="3D315D10">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 w:cs="Times New Roman"/>
          <w:sz w:val="32"/>
        </w:rPr>
      </w:pPr>
      <w:r>
        <w:rPr>
          <w:rFonts w:hint="default" w:ascii="Times New Roman" w:hAnsi="Times New Roman" w:eastAsia="仿宋" w:cs="Times New Roman"/>
          <w:sz w:val="32"/>
        </w:rPr>
        <w:t xml:space="preserve">    </w:t>
      </w:r>
      <w:r>
        <w:rPr>
          <w:rFonts w:hint="default" w:ascii="Times New Roman" w:hAnsi="Times New Roman" w:eastAsia="黑体" w:cs="Times New Roman"/>
          <w:sz w:val="32"/>
        </w:rPr>
        <w:t>六、一般公共预算财政拨款基本支出决算情况说明</w:t>
      </w:r>
    </w:p>
    <w:p w14:paraId="6FF45859">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lang w:eastAsia="zh-CN"/>
        </w:rPr>
        <w:t>2025</w:t>
      </w:r>
      <w:r>
        <w:rPr>
          <w:rFonts w:hint="default" w:ascii="Times New Roman" w:hAnsi="Times New Roman" w:eastAsia="仿宋_GB2312" w:cs="Times New Roman"/>
          <w:sz w:val="32"/>
          <w:szCs w:val="30"/>
        </w:rPr>
        <w:t>年度一般公共预算财政拨款基本支出</w:t>
      </w:r>
      <w:r>
        <w:rPr>
          <w:rFonts w:hint="default" w:ascii="Times New Roman" w:hAnsi="Times New Roman" w:eastAsia="仿宋_GB2312" w:cs="Times New Roman"/>
          <w:sz w:val="32"/>
          <w:szCs w:val="30"/>
          <w:lang w:val="en-US" w:eastAsia="zh-CN"/>
        </w:rPr>
        <w:t>161.43</w:t>
      </w:r>
      <w:r>
        <w:rPr>
          <w:rFonts w:hint="default" w:ascii="Times New Roman" w:hAnsi="Times New Roman" w:eastAsia="仿宋_GB2312" w:cs="Times New Roman"/>
          <w:sz w:val="32"/>
          <w:szCs w:val="30"/>
        </w:rPr>
        <w:t>万元，其中：</w:t>
      </w:r>
    </w:p>
    <w:p w14:paraId="67FD00F4">
      <w:pPr>
        <w:keepNext w:val="0"/>
        <w:keepLines w:val="0"/>
        <w:pageBreakBefore w:val="0"/>
        <w:widowControl w:val="0"/>
        <w:kinsoku/>
        <w:wordWrap/>
        <w:overflowPunct/>
        <w:topLinePunct w:val="0"/>
        <w:autoSpaceDE/>
        <w:autoSpaceDN/>
        <w:bidi w:val="0"/>
        <w:adjustRightInd/>
        <w:snapToGrid/>
        <w:spacing w:line="550" w:lineRule="exact"/>
        <w:ind w:firstLine="618" w:firstLineChars="200"/>
        <w:textAlignment w:val="auto"/>
        <w:rPr>
          <w:rFonts w:hint="default" w:ascii="Times New Roman" w:hAnsi="Times New Roman" w:eastAsia="仿宋_GB2312" w:cs="Times New Roman"/>
          <w:sz w:val="32"/>
          <w:szCs w:val="30"/>
        </w:rPr>
      </w:pPr>
      <w:r>
        <w:rPr>
          <w:rFonts w:hint="default" w:ascii="Times New Roman" w:hAnsi="Times New Roman" w:eastAsia="仿宋_GB2312" w:cs="Times New Roman"/>
          <w:b/>
          <w:sz w:val="32"/>
          <w:szCs w:val="30"/>
        </w:rPr>
        <w:t>人员经费</w:t>
      </w:r>
      <w:r>
        <w:rPr>
          <w:rFonts w:hint="default" w:ascii="Times New Roman" w:hAnsi="Times New Roman" w:eastAsia="仿宋_GB2312" w:cs="Times New Roman"/>
          <w:b/>
          <w:sz w:val="32"/>
          <w:szCs w:val="30"/>
          <w:lang w:val="en-US" w:eastAsia="zh-CN"/>
        </w:rPr>
        <w:t>129.68</w:t>
      </w:r>
      <w:r>
        <w:rPr>
          <w:rFonts w:hint="default" w:ascii="Times New Roman" w:hAnsi="Times New Roman" w:eastAsia="仿宋_GB2312" w:cs="Times New Roman"/>
          <w:b/>
          <w:sz w:val="32"/>
          <w:szCs w:val="30"/>
        </w:rPr>
        <w:t>万元</w:t>
      </w:r>
      <w:r>
        <w:rPr>
          <w:rFonts w:hint="eastAsia" w:ascii="Times New Roman" w:hAnsi="Times New Roman" w:eastAsia="仿宋_GB2312" w:cs="Times New Roman"/>
          <w:b w:val="0"/>
          <w:bCs w:val="0"/>
          <w:sz w:val="32"/>
          <w:szCs w:val="30"/>
          <w:lang w:eastAsia="zh-CN"/>
        </w:rPr>
        <w:t>，</w:t>
      </w:r>
      <w:r>
        <w:rPr>
          <w:rFonts w:hint="default" w:ascii="Times New Roman" w:hAnsi="Times New Roman" w:eastAsia="仿宋_GB2312" w:cs="Times New Roman"/>
          <w:sz w:val="32"/>
          <w:szCs w:val="30"/>
        </w:rPr>
        <w:t>主要包括：基本工资、津贴补贴、奖金、机关事业单位基本养老保险缴费、职工基本医疗保险缴费、其他社会保障缴费、住房公积金、医疗费、其他工资福利支出、退休费</w:t>
      </w:r>
      <w:r>
        <w:rPr>
          <w:rFonts w:hint="default" w:ascii="Times New Roman" w:hAnsi="Times New Roman" w:eastAsia="仿宋_GB2312" w:cs="Times New Roman"/>
          <w:sz w:val="32"/>
          <w:szCs w:val="30"/>
          <w:lang w:eastAsia="zh-CN"/>
        </w:rPr>
        <w:t>、</w:t>
      </w:r>
      <w:r>
        <w:rPr>
          <w:rFonts w:hint="default" w:ascii="Times New Roman" w:hAnsi="Times New Roman" w:eastAsia="仿宋_GB2312" w:cs="Times New Roman"/>
          <w:sz w:val="32"/>
          <w:szCs w:val="30"/>
          <w:lang w:val="en-US" w:eastAsia="zh-CN"/>
        </w:rPr>
        <w:t>奖励金</w:t>
      </w:r>
      <w:r>
        <w:rPr>
          <w:rFonts w:hint="default" w:ascii="Times New Roman" w:hAnsi="Times New Roman" w:eastAsia="仿宋_GB2312" w:cs="Times New Roman"/>
          <w:sz w:val="32"/>
          <w:szCs w:val="30"/>
        </w:rPr>
        <w:t>。</w:t>
      </w:r>
    </w:p>
    <w:p w14:paraId="5B358D44">
      <w:pPr>
        <w:keepNext w:val="0"/>
        <w:keepLines w:val="0"/>
        <w:pageBreakBefore w:val="0"/>
        <w:widowControl w:val="0"/>
        <w:kinsoku/>
        <w:wordWrap/>
        <w:overflowPunct/>
        <w:topLinePunct w:val="0"/>
        <w:autoSpaceDE/>
        <w:autoSpaceDN/>
        <w:bidi w:val="0"/>
        <w:adjustRightInd/>
        <w:snapToGrid/>
        <w:spacing w:line="550" w:lineRule="exact"/>
        <w:ind w:firstLine="640"/>
        <w:textAlignment w:val="auto"/>
        <w:rPr>
          <w:rFonts w:hint="default" w:ascii="Times New Roman" w:hAnsi="Times New Roman" w:eastAsia="仿宋_GB2312" w:cs="Times New Roman"/>
          <w:sz w:val="32"/>
          <w:szCs w:val="30"/>
        </w:rPr>
      </w:pPr>
      <w:r>
        <w:rPr>
          <w:rFonts w:hint="default" w:ascii="Times New Roman" w:hAnsi="Times New Roman" w:eastAsia="仿宋_GB2312" w:cs="Times New Roman"/>
          <w:b/>
          <w:sz w:val="32"/>
        </w:rPr>
        <w:t>公用经费</w:t>
      </w:r>
      <w:r>
        <w:rPr>
          <w:rFonts w:hint="default" w:ascii="Times New Roman" w:hAnsi="Times New Roman" w:eastAsia="仿宋_GB2312" w:cs="Times New Roman"/>
          <w:b/>
          <w:sz w:val="32"/>
          <w:lang w:val="en-US" w:eastAsia="zh-CN"/>
        </w:rPr>
        <w:t>31.75</w:t>
      </w:r>
      <w:r>
        <w:rPr>
          <w:rFonts w:hint="default" w:ascii="Times New Roman" w:hAnsi="Times New Roman" w:eastAsia="仿宋_GB2312" w:cs="Times New Roman"/>
          <w:b/>
          <w:sz w:val="32"/>
        </w:rPr>
        <w:t>万元</w:t>
      </w:r>
      <w:r>
        <w:rPr>
          <w:rFonts w:hint="eastAsia" w:ascii="Times New Roman" w:hAnsi="Times New Roman" w:eastAsia="仿宋_GB2312" w:cs="Times New Roman"/>
          <w:b w:val="0"/>
          <w:bCs w:val="0"/>
          <w:sz w:val="32"/>
          <w:lang w:eastAsia="zh-CN"/>
        </w:rPr>
        <w:t>，</w:t>
      </w:r>
      <w:r>
        <w:rPr>
          <w:rFonts w:hint="default" w:ascii="Times New Roman" w:hAnsi="Times New Roman" w:eastAsia="仿宋_GB2312" w:cs="Times New Roman"/>
          <w:sz w:val="32"/>
          <w:szCs w:val="30"/>
        </w:rPr>
        <w:t>主要包括：办公费、印刷费、水费、</w:t>
      </w:r>
      <w:r>
        <w:rPr>
          <w:rFonts w:hint="default" w:ascii="Times New Roman" w:hAnsi="Times New Roman" w:eastAsia="仿宋_GB2312" w:cs="Times New Roman"/>
          <w:sz w:val="32"/>
          <w:szCs w:val="30"/>
          <w:lang w:val="en-US" w:eastAsia="zh-CN"/>
        </w:rPr>
        <w:t>电费、</w:t>
      </w:r>
      <w:r>
        <w:rPr>
          <w:rFonts w:hint="default" w:ascii="Times New Roman" w:hAnsi="Times New Roman" w:eastAsia="仿宋_GB2312" w:cs="Times New Roman"/>
          <w:sz w:val="32"/>
          <w:szCs w:val="30"/>
        </w:rPr>
        <w:t>邮电费、</w:t>
      </w:r>
      <w:r>
        <w:rPr>
          <w:rFonts w:hint="default" w:ascii="Times New Roman" w:hAnsi="Times New Roman" w:eastAsia="仿宋_GB2312" w:cs="Times New Roman"/>
          <w:sz w:val="32"/>
          <w:szCs w:val="30"/>
          <w:lang w:val="en-US" w:eastAsia="zh-CN"/>
        </w:rPr>
        <w:t>取暖费、物业管理费、</w:t>
      </w:r>
      <w:r>
        <w:rPr>
          <w:rFonts w:hint="default" w:ascii="Times New Roman" w:hAnsi="Times New Roman" w:eastAsia="仿宋_GB2312" w:cs="Times New Roman"/>
          <w:sz w:val="32"/>
          <w:szCs w:val="30"/>
        </w:rPr>
        <w:t>差旅费、</w:t>
      </w:r>
      <w:r>
        <w:rPr>
          <w:rFonts w:hint="default" w:ascii="Times New Roman" w:hAnsi="Times New Roman" w:eastAsia="仿宋_GB2312" w:cs="Times New Roman"/>
          <w:sz w:val="32"/>
          <w:szCs w:val="30"/>
          <w:lang w:val="en-US" w:eastAsia="zh-CN"/>
        </w:rPr>
        <w:t>维修（护）费、培训费、</w:t>
      </w:r>
      <w:r>
        <w:rPr>
          <w:rFonts w:hint="default" w:ascii="Times New Roman" w:hAnsi="Times New Roman" w:eastAsia="仿宋_GB2312" w:cs="Times New Roman"/>
          <w:sz w:val="32"/>
          <w:szCs w:val="30"/>
        </w:rPr>
        <w:t>公务接待费、劳务费、工会经费、福利费、其他交通费用、其他商品和服务支出、办公设备购置。</w:t>
      </w:r>
    </w:p>
    <w:p w14:paraId="76FBC01C">
      <w:pPr>
        <w:keepNext w:val="0"/>
        <w:keepLines w:val="0"/>
        <w:pageBreakBefore w:val="0"/>
        <w:widowControl w:val="0"/>
        <w:kinsoku/>
        <w:wordWrap/>
        <w:overflowPunct/>
        <w:topLinePunct w:val="0"/>
        <w:autoSpaceDE/>
        <w:autoSpaceDN/>
        <w:bidi w:val="0"/>
        <w:adjustRightInd/>
        <w:snapToGrid/>
        <w:spacing w:line="550" w:lineRule="exact"/>
        <w:ind w:firstLine="618" w:firstLineChars="200"/>
        <w:textAlignment w:val="auto"/>
        <w:rPr>
          <w:rFonts w:hint="default" w:ascii="Times New Roman" w:hAnsi="Times New Roman" w:eastAsia="黑体" w:cs="Times New Roman"/>
          <w:sz w:val="32"/>
          <w:szCs w:val="30"/>
        </w:rPr>
      </w:pPr>
      <w:r>
        <w:rPr>
          <w:rFonts w:hint="default" w:ascii="Times New Roman" w:hAnsi="Times New Roman" w:eastAsia="黑体" w:cs="Times New Roman"/>
          <w:sz w:val="32"/>
        </w:rPr>
        <w:t>七、政府性基金预算财政拨款收入支出决算情况说明</w:t>
      </w:r>
    </w:p>
    <w:p w14:paraId="63574631">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 w:cs="Times New Roman"/>
          <w:color w:val="auto"/>
          <w:sz w:val="32"/>
          <w:szCs w:val="30"/>
          <w:lang w:val="en-US"/>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color w:val="auto"/>
          <w:sz w:val="32"/>
          <w:szCs w:val="30"/>
        </w:rPr>
        <w:t xml:space="preserve"> </w:t>
      </w:r>
      <w:r>
        <w:rPr>
          <w:rFonts w:hint="default" w:ascii="Times New Roman" w:hAnsi="Times New Roman" w:eastAsia="黑体" w:cs="Times New Roman"/>
          <w:color w:val="auto"/>
          <w:sz w:val="32"/>
          <w:szCs w:val="30"/>
          <w:lang w:val="en-US" w:eastAsia="zh-CN"/>
        </w:rPr>
        <w:t xml:space="preserve"> </w:t>
      </w:r>
      <w:r>
        <w:rPr>
          <w:rFonts w:hint="default" w:ascii="Times New Roman" w:hAnsi="Times New Roman" w:eastAsia="仿宋_GB2312" w:cs="Times New Roman"/>
          <w:color w:val="auto"/>
          <w:sz w:val="32"/>
          <w:szCs w:val="30"/>
        </w:rPr>
        <w:t xml:space="preserve"> </w:t>
      </w:r>
      <w:r>
        <w:rPr>
          <w:rFonts w:hint="default" w:ascii="Times New Roman" w:hAnsi="Times New Roman" w:eastAsia="仿宋_GB2312" w:cs="Times New Roman"/>
          <w:color w:val="auto"/>
          <w:sz w:val="32"/>
          <w:szCs w:val="30"/>
          <w:lang w:val="en-US" w:eastAsia="zh-CN"/>
        </w:rPr>
        <w:t>本单位没有政府性基金预算财政拨款。</w:t>
      </w:r>
    </w:p>
    <w:p w14:paraId="28D0334F">
      <w:pPr>
        <w:keepNext w:val="0"/>
        <w:keepLines w:val="0"/>
        <w:pageBreakBefore w:val="0"/>
        <w:widowControl w:val="0"/>
        <w:kinsoku/>
        <w:wordWrap/>
        <w:overflowPunct/>
        <w:topLinePunct w:val="0"/>
        <w:autoSpaceDE/>
        <w:autoSpaceDN/>
        <w:bidi w:val="0"/>
        <w:adjustRightInd/>
        <w:snapToGrid/>
        <w:spacing w:line="550" w:lineRule="exact"/>
        <w:ind w:firstLine="618"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八、</w:t>
      </w:r>
      <w:r>
        <w:rPr>
          <w:rFonts w:hint="default" w:ascii="Times New Roman" w:hAnsi="Times New Roman" w:eastAsia="黑体" w:cs="Times New Roman"/>
          <w:sz w:val="32"/>
          <w:lang w:eastAsia="zh-CN"/>
        </w:rPr>
        <w:t>国有资本经营</w:t>
      </w:r>
      <w:r>
        <w:rPr>
          <w:rFonts w:hint="default" w:ascii="Times New Roman" w:hAnsi="Times New Roman" w:eastAsia="黑体" w:cs="Times New Roman"/>
          <w:sz w:val="32"/>
        </w:rPr>
        <w:t>预算财政拨款支出决算情况说明</w:t>
      </w:r>
    </w:p>
    <w:p w14:paraId="35CC7D7D">
      <w:pPr>
        <w:keepNext w:val="0"/>
        <w:keepLines w:val="0"/>
        <w:pageBreakBefore w:val="0"/>
        <w:widowControl w:val="0"/>
        <w:kinsoku/>
        <w:wordWrap/>
        <w:overflowPunct/>
        <w:topLinePunct w:val="0"/>
        <w:autoSpaceDE/>
        <w:autoSpaceDN/>
        <w:bidi w:val="0"/>
        <w:adjustRightInd/>
        <w:snapToGrid/>
        <w:spacing w:line="550" w:lineRule="exact"/>
        <w:ind w:firstLine="618" w:firstLineChars="200"/>
        <w:textAlignment w:val="auto"/>
        <w:rPr>
          <w:rFonts w:hint="default" w:ascii="Times New Roman" w:hAnsi="Times New Roman" w:eastAsia="仿宋_GB2312" w:cs="Times New Roman"/>
          <w:color w:val="auto"/>
          <w:sz w:val="32"/>
          <w:szCs w:val="30"/>
          <w:lang w:val="en-US" w:eastAsia="zh-CN"/>
        </w:rPr>
      </w:pPr>
      <w:r>
        <w:rPr>
          <w:rFonts w:hint="default" w:ascii="Times New Roman" w:hAnsi="Times New Roman" w:eastAsia="仿宋_GB2312" w:cs="Times New Roman"/>
          <w:color w:val="auto"/>
          <w:sz w:val="32"/>
          <w:szCs w:val="30"/>
          <w:lang w:val="en-US" w:eastAsia="zh-CN"/>
        </w:rPr>
        <w:t>本单位没有国有资本经营预算财政拨款。</w:t>
      </w:r>
    </w:p>
    <w:p w14:paraId="0BD36183">
      <w:pPr>
        <w:keepNext w:val="0"/>
        <w:keepLines w:val="0"/>
        <w:pageBreakBefore w:val="0"/>
        <w:widowControl w:val="0"/>
        <w:kinsoku/>
        <w:wordWrap/>
        <w:overflowPunct/>
        <w:topLinePunct w:val="0"/>
        <w:autoSpaceDE/>
        <w:autoSpaceDN/>
        <w:bidi w:val="0"/>
        <w:adjustRightInd/>
        <w:snapToGrid/>
        <w:spacing w:line="550" w:lineRule="exact"/>
        <w:ind w:firstLine="618" w:firstLineChars="200"/>
        <w:textAlignment w:val="auto"/>
        <w:rPr>
          <w:rFonts w:hint="default" w:ascii="Times New Roman" w:hAnsi="Times New Roman" w:eastAsia="黑体" w:cs="Times New Roman"/>
          <w:color w:val="121212"/>
          <w:sz w:val="32"/>
          <w:lang w:eastAsia="zh-CN"/>
        </w:rPr>
      </w:pPr>
      <w:r>
        <w:rPr>
          <w:rFonts w:hint="default" w:ascii="Times New Roman" w:hAnsi="Times New Roman" w:eastAsia="黑体" w:cs="Times New Roman"/>
          <w:sz w:val="32"/>
          <w:lang w:eastAsia="zh-CN"/>
        </w:rPr>
        <w:t>九、财政拨</w:t>
      </w:r>
      <w:r>
        <w:rPr>
          <w:rFonts w:hint="default" w:ascii="Times New Roman" w:hAnsi="Times New Roman" w:eastAsia="黑体" w:cs="Times New Roman"/>
          <w:color w:val="121212"/>
          <w:sz w:val="32"/>
          <w:lang w:eastAsia="zh-CN"/>
        </w:rPr>
        <w:t>款“三公”经费支出决算情况说明</w:t>
      </w:r>
    </w:p>
    <w:p w14:paraId="4FFD5B49">
      <w:pPr>
        <w:ind w:firstLine="618" w:firstLineChars="200"/>
        <w:rPr>
          <w:rFonts w:hint="eastAsia" w:ascii="楷体_GB2312" w:hAnsi="楷体_GB2312" w:eastAsia="楷体_GB2312" w:cs="楷体_GB2312"/>
          <w:color w:val="121212"/>
          <w:sz w:val="32"/>
          <w:highlight w:val="none"/>
          <w:lang w:eastAsia="zh-CN"/>
        </w:rPr>
      </w:pPr>
      <w:r>
        <w:rPr>
          <w:rFonts w:hint="eastAsia" w:ascii="楷体_GB2312" w:hAnsi="楷体_GB2312" w:eastAsia="楷体_GB2312" w:cs="楷体_GB2312"/>
          <w:color w:val="121212"/>
          <w:sz w:val="32"/>
          <w:highlight w:val="none"/>
          <w:lang w:eastAsia="zh-CN"/>
        </w:rPr>
        <w:t>（一）“三公”经费财政拨款支出决算总体情况说明</w:t>
      </w:r>
    </w:p>
    <w:p w14:paraId="6B098335">
      <w:pPr>
        <w:ind w:firstLine="618" w:firstLineChars="200"/>
        <w:rPr>
          <w:rFonts w:hint="default" w:ascii="Times New Roman" w:hAnsi="Times New Roman" w:eastAsia="仿宋" w:cs="Times New Roman"/>
          <w:color w:val="FF0000"/>
          <w:sz w:val="32"/>
          <w:szCs w:val="30"/>
          <w:lang w:eastAsia="zh-CN"/>
        </w:rPr>
      </w:pPr>
      <w:r>
        <w:rPr>
          <w:rFonts w:hint="default" w:ascii="Times New Roman" w:hAnsi="Times New Roman" w:eastAsia="仿宋_GB2312" w:cs="Times New Roman"/>
          <w:color w:val="121212"/>
          <w:sz w:val="32"/>
          <w:szCs w:val="30"/>
          <w:lang w:eastAsia="zh-CN"/>
        </w:rPr>
        <w:t>2025年度“三公”经费财政拨款支出预算为</w:t>
      </w:r>
      <w:r>
        <w:rPr>
          <w:rFonts w:hint="default" w:ascii="Times New Roman" w:hAnsi="Times New Roman" w:eastAsia="仿宋_GB2312" w:cs="Times New Roman"/>
          <w:color w:val="121212"/>
          <w:sz w:val="32"/>
          <w:szCs w:val="30"/>
          <w:lang w:val="en-US" w:eastAsia="zh-CN"/>
        </w:rPr>
        <w:t>0.</w:t>
      </w:r>
      <w:r>
        <w:rPr>
          <w:rFonts w:hint="eastAsia" w:ascii="Times New Roman" w:hAnsi="Times New Roman" w:eastAsia="仿宋_GB2312" w:cs="Times New Roman"/>
          <w:color w:val="121212"/>
          <w:sz w:val="32"/>
          <w:szCs w:val="30"/>
          <w:lang w:val="en-US" w:eastAsia="zh-CN"/>
        </w:rPr>
        <w:t>07</w:t>
      </w:r>
      <w:r>
        <w:rPr>
          <w:rFonts w:hint="default" w:ascii="Times New Roman" w:hAnsi="Times New Roman" w:eastAsia="仿宋_GB2312" w:cs="Times New Roman"/>
          <w:color w:val="121212"/>
          <w:sz w:val="32"/>
          <w:szCs w:val="30"/>
          <w:lang w:eastAsia="zh-CN"/>
        </w:rPr>
        <w:t>万元</w:t>
      </w:r>
      <w:r>
        <w:rPr>
          <w:rFonts w:hint="default" w:ascii="Times New Roman" w:hAnsi="Times New Roman" w:eastAsia="仿宋_GB2312" w:cs="Times New Roman"/>
          <w:color w:val="auto"/>
          <w:sz w:val="32"/>
          <w:szCs w:val="30"/>
          <w:lang w:eastAsia="zh-CN"/>
        </w:rPr>
        <w:t>，支出决算为</w:t>
      </w:r>
      <w:r>
        <w:rPr>
          <w:rFonts w:hint="default" w:ascii="Times New Roman" w:hAnsi="Times New Roman" w:eastAsia="仿宋_GB2312" w:cs="Times New Roman"/>
          <w:color w:val="auto"/>
          <w:sz w:val="32"/>
          <w:szCs w:val="30"/>
          <w:lang w:val="en-US" w:eastAsia="zh-CN"/>
        </w:rPr>
        <w:t>0.07</w:t>
      </w:r>
      <w:r>
        <w:rPr>
          <w:rFonts w:hint="default" w:ascii="Times New Roman" w:hAnsi="Times New Roman" w:eastAsia="仿宋_GB2312" w:cs="Times New Roman"/>
          <w:color w:val="auto"/>
          <w:sz w:val="32"/>
          <w:szCs w:val="30"/>
          <w:lang w:eastAsia="zh-CN"/>
        </w:rPr>
        <w:t>万</w:t>
      </w:r>
      <w:r>
        <w:rPr>
          <w:rFonts w:hint="default" w:ascii="Times New Roman" w:hAnsi="Times New Roman" w:eastAsia="仿宋_GB2312" w:cs="Times New Roman"/>
          <w:color w:val="auto"/>
          <w:sz w:val="32"/>
          <w:szCs w:val="30"/>
          <w:lang w:val="en-US" w:eastAsia="zh-CN"/>
        </w:rPr>
        <w:t>元</w:t>
      </w:r>
      <w:r>
        <w:rPr>
          <w:rFonts w:hint="eastAsia" w:ascii="Times New Roman" w:hAnsi="Times New Roman" w:eastAsia="仿宋_GB2312" w:cs="Times New Roman"/>
          <w:color w:val="auto"/>
          <w:sz w:val="32"/>
          <w:szCs w:val="30"/>
          <w:lang w:val="en-US" w:eastAsia="zh-CN"/>
        </w:rPr>
        <w:t>，完成预算的100</w:t>
      </w:r>
      <w:r>
        <w:rPr>
          <w:rFonts w:hint="default" w:ascii="Times New Roman" w:hAnsi="Times New Roman" w:eastAsia="仿宋_GB2312" w:cs="Times New Roman"/>
          <w:color w:val="auto"/>
          <w:sz w:val="32"/>
          <w:szCs w:val="30"/>
          <w:lang w:val="en-US" w:eastAsia="zh-CN"/>
        </w:rPr>
        <w:t>%</w:t>
      </w:r>
      <w:r>
        <w:rPr>
          <w:rFonts w:hint="eastAsia" w:ascii="Times New Roman" w:hAnsi="Times New Roman" w:eastAsia="仿宋_GB2312" w:cs="Times New Roman"/>
          <w:color w:val="auto"/>
          <w:sz w:val="32"/>
          <w:szCs w:val="30"/>
          <w:lang w:val="en-US" w:eastAsia="zh-CN"/>
        </w:rPr>
        <w:t>；</w:t>
      </w:r>
      <w:r>
        <w:rPr>
          <w:rFonts w:hint="default" w:ascii="Times New Roman" w:hAnsi="Times New Roman" w:eastAsia="仿宋_GB2312" w:cs="Times New Roman"/>
          <w:color w:val="auto"/>
          <w:sz w:val="32"/>
          <w:szCs w:val="30"/>
          <w:lang w:val="en-US" w:eastAsia="zh-CN"/>
        </w:rPr>
        <w:t>较2024年度增加0.07万元，增长100%，主要原因是</w:t>
      </w:r>
      <w:r>
        <w:rPr>
          <w:rFonts w:hint="eastAsia" w:ascii="Times New Roman" w:hAnsi="Times New Roman" w:eastAsia="仿宋_GB2312" w:cs="Times New Roman"/>
          <w:color w:val="auto"/>
          <w:sz w:val="32"/>
          <w:szCs w:val="30"/>
          <w:lang w:val="en-US" w:eastAsia="zh-CN"/>
        </w:rPr>
        <w:t>上年度没有接待任务，本年度有1次接待任务</w:t>
      </w:r>
      <w:r>
        <w:rPr>
          <w:rFonts w:hint="eastAsia" w:ascii="Times New Roman" w:hAnsi="Times New Roman" w:eastAsia="仿宋_GB2312" w:cs="Times New Roman"/>
          <w:color w:val="auto"/>
          <w:sz w:val="32"/>
          <w:szCs w:val="30"/>
          <w:lang w:eastAsia="zh-CN"/>
        </w:rPr>
        <w:t>，产生了公务接待费。</w:t>
      </w:r>
    </w:p>
    <w:p w14:paraId="3E38AEA1">
      <w:pPr>
        <w:ind w:firstLine="618" w:firstLineChars="200"/>
        <w:rPr>
          <w:rFonts w:hint="eastAsia" w:ascii="楷体_GB2312" w:hAnsi="楷体_GB2312" w:eastAsia="楷体_GB2312" w:cs="楷体_GB2312"/>
          <w:sz w:val="32"/>
          <w:highlight w:val="none"/>
          <w:lang w:eastAsia="zh-CN"/>
        </w:rPr>
      </w:pPr>
      <w:r>
        <w:rPr>
          <w:rFonts w:hint="eastAsia" w:ascii="楷体_GB2312" w:hAnsi="楷体_GB2312" w:eastAsia="楷体_GB2312" w:cs="楷体_GB2312"/>
          <w:sz w:val="32"/>
          <w:highlight w:val="none"/>
          <w:lang w:eastAsia="zh-CN"/>
        </w:rPr>
        <w:t>（二）“三公”经费财政拨款支出决算具体情况说明</w:t>
      </w:r>
    </w:p>
    <w:p w14:paraId="08883FFA">
      <w:pPr>
        <w:ind w:firstLine="618" w:firstLineChars="200"/>
        <w:rPr>
          <w:rFonts w:hint="default" w:ascii="Times New Roman" w:hAnsi="Times New Roman" w:eastAsia="仿宋" w:cs="Times New Roman"/>
          <w:color w:val="000000"/>
          <w:sz w:val="32"/>
          <w:szCs w:val="30"/>
        </w:rPr>
      </w:pPr>
      <w:r>
        <w:rPr>
          <w:rFonts w:hint="default" w:ascii="Times New Roman" w:hAnsi="Times New Roman" w:eastAsia="仿宋_GB2312" w:cs="Times New Roman"/>
          <w:sz w:val="32"/>
          <w:szCs w:val="30"/>
        </w:rPr>
        <w:t>1.因公出国（境）费预算为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万元,支出决算为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万元</w:t>
      </w:r>
      <w:r>
        <w:rPr>
          <w:rFonts w:hint="default" w:ascii="Times New Roman" w:hAnsi="Times New Roman" w:eastAsia="仿宋_GB2312" w:cs="Times New Roman"/>
          <w:sz w:val="32"/>
          <w:szCs w:val="30"/>
          <w:lang w:eastAsia="zh-CN"/>
        </w:rPr>
        <w:t>。</w:t>
      </w:r>
      <w:r>
        <w:rPr>
          <w:rFonts w:hint="eastAsia" w:ascii="Times New Roman" w:hAnsi="Times New Roman" w:eastAsia="仿宋_GB2312" w:cs="Times New Roman"/>
          <w:sz w:val="32"/>
          <w:szCs w:val="30"/>
          <w:lang w:eastAsia="zh-CN"/>
        </w:rPr>
        <w:t>支出决算与2024年度持平。</w:t>
      </w:r>
      <w:r>
        <w:rPr>
          <w:rFonts w:hint="default" w:ascii="Times New Roman" w:hAnsi="Times New Roman" w:eastAsia="仿宋_GB2312" w:cs="Times New Roman"/>
          <w:sz w:val="32"/>
          <w:szCs w:val="30"/>
        </w:rPr>
        <w:t>全年共有因公出国（境）团组</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个，因公出国（境）</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人次。</w:t>
      </w:r>
    </w:p>
    <w:p w14:paraId="316B4560">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rPr>
        <w:t>2.公务用车购置及运行费预算为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万元，支出决算为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万元</w:t>
      </w:r>
      <w:r>
        <w:rPr>
          <w:rFonts w:hint="default" w:ascii="Times New Roman" w:hAnsi="Times New Roman" w:eastAsia="仿宋_GB2312" w:cs="Times New Roman"/>
          <w:sz w:val="32"/>
          <w:szCs w:val="30"/>
          <w:lang w:eastAsia="zh-CN"/>
        </w:rPr>
        <w:t>。</w:t>
      </w:r>
      <w:r>
        <w:rPr>
          <w:rFonts w:hint="eastAsia" w:ascii="Times New Roman" w:hAnsi="Times New Roman" w:eastAsia="仿宋_GB2312" w:cs="Times New Roman"/>
          <w:sz w:val="32"/>
          <w:szCs w:val="30"/>
          <w:lang w:eastAsia="zh-CN"/>
        </w:rPr>
        <w:t>支出决算与2024年度持平。</w:t>
      </w:r>
      <w:r>
        <w:rPr>
          <w:rFonts w:hint="default" w:ascii="Times New Roman" w:hAnsi="Times New Roman" w:eastAsia="仿宋_GB2312" w:cs="Times New Roman"/>
          <w:sz w:val="32"/>
          <w:szCs w:val="30"/>
        </w:rPr>
        <w:t>其中：</w:t>
      </w:r>
    </w:p>
    <w:p w14:paraId="554DD9B4">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rPr>
        <w:t>公务用车购置费支出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万元</w:t>
      </w:r>
      <w:r>
        <w:rPr>
          <w:rFonts w:hint="default" w:ascii="Times New Roman" w:hAnsi="Times New Roman" w:eastAsia="仿宋_GB2312" w:cs="Times New Roman"/>
          <w:sz w:val="32"/>
          <w:szCs w:val="30"/>
          <w:lang w:eastAsia="zh-CN"/>
        </w:rPr>
        <w:t>。</w:t>
      </w:r>
      <w:r>
        <w:rPr>
          <w:rFonts w:hint="default" w:ascii="Times New Roman" w:hAnsi="Times New Roman" w:eastAsia="仿宋_GB2312" w:cs="Times New Roman"/>
          <w:kern w:val="0"/>
          <w:sz w:val="32"/>
          <w:szCs w:val="32"/>
        </w:rPr>
        <w:t>截至</w:t>
      </w:r>
      <w:r>
        <w:rPr>
          <w:rFonts w:hint="default" w:ascii="Times New Roman" w:hAnsi="Times New Roman" w:eastAsia="仿宋_GB2312" w:cs="Times New Roman"/>
          <w:kern w:val="0"/>
          <w:sz w:val="32"/>
          <w:szCs w:val="32"/>
          <w:lang w:eastAsia="zh-CN"/>
        </w:rPr>
        <w:t>2025</w:t>
      </w:r>
      <w:r>
        <w:rPr>
          <w:rFonts w:hint="default" w:ascii="Times New Roman" w:hAnsi="Times New Roman" w:eastAsia="仿宋_GB2312" w:cs="Times New Roman"/>
          <w:kern w:val="0"/>
          <w:sz w:val="32"/>
          <w:szCs w:val="32"/>
        </w:rPr>
        <w:t>年12月31日</w:t>
      </w:r>
      <w:r>
        <w:rPr>
          <w:rFonts w:hint="default" w:ascii="Times New Roman" w:hAnsi="Times New Roman" w:eastAsia="仿宋_GB2312" w:cs="Times New Roman"/>
          <w:sz w:val="32"/>
          <w:szCs w:val="30"/>
        </w:rPr>
        <w:t>，公务用车保有量为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辆,公务用车购置数为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辆。</w:t>
      </w:r>
    </w:p>
    <w:p w14:paraId="5E94172B">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rPr>
        <w:t>公务用车运行维护费支出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万元。</w:t>
      </w:r>
    </w:p>
    <w:p w14:paraId="1A945F13">
      <w:pPr>
        <w:ind w:firstLine="618" w:firstLineChars="200"/>
        <w:rPr>
          <w:rFonts w:hint="default" w:ascii="Times New Roman" w:hAnsi="Times New Roman" w:eastAsia="仿宋_GB2312" w:cs="Times New Roman"/>
          <w:sz w:val="32"/>
          <w:szCs w:val="30"/>
          <w:lang w:val="en-US" w:eastAsia="zh-CN"/>
        </w:rPr>
      </w:pPr>
      <w:r>
        <w:rPr>
          <w:rFonts w:hint="default" w:ascii="Times New Roman" w:hAnsi="Times New Roman" w:eastAsia="仿宋_GB2312" w:cs="Times New Roman"/>
          <w:color w:val="auto"/>
          <w:sz w:val="32"/>
          <w:szCs w:val="30"/>
          <w:highlight w:val="none"/>
        </w:rPr>
        <w:t>公务接待费预算为</w:t>
      </w:r>
      <w:r>
        <w:rPr>
          <w:rFonts w:hint="default" w:ascii="Times New Roman" w:hAnsi="Times New Roman" w:eastAsia="仿宋_GB2312" w:cs="Times New Roman"/>
          <w:color w:val="auto"/>
          <w:sz w:val="32"/>
          <w:szCs w:val="30"/>
          <w:highlight w:val="none"/>
          <w:lang w:val="en-US" w:eastAsia="zh-CN"/>
        </w:rPr>
        <w:t>0.07</w:t>
      </w:r>
      <w:r>
        <w:rPr>
          <w:rFonts w:hint="default" w:ascii="Times New Roman" w:hAnsi="Times New Roman" w:eastAsia="仿宋_GB2312" w:cs="Times New Roman"/>
          <w:color w:val="auto"/>
          <w:sz w:val="32"/>
          <w:szCs w:val="30"/>
          <w:highlight w:val="none"/>
        </w:rPr>
        <w:t>万元，支出决算为</w:t>
      </w:r>
      <w:r>
        <w:rPr>
          <w:rFonts w:hint="default" w:ascii="Times New Roman" w:hAnsi="Times New Roman" w:eastAsia="仿宋_GB2312" w:cs="Times New Roman"/>
          <w:color w:val="auto"/>
          <w:sz w:val="32"/>
          <w:szCs w:val="30"/>
          <w:highlight w:val="none"/>
          <w:lang w:val="en-US" w:eastAsia="zh-CN"/>
        </w:rPr>
        <w:t>0.07</w:t>
      </w:r>
      <w:r>
        <w:rPr>
          <w:rFonts w:hint="default" w:ascii="Times New Roman" w:hAnsi="Times New Roman" w:eastAsia="仿宋_GB2312" w:cs="Times New Roman"/>
          <w:color w:val="auto"/>
          <w:sz w:val="32"/>
          <w:szCs w:val="30"/>
          <w:highlight w:val="none"/>
        </w:rPr>
        <w:t>万元</w:t>
      </w:r>
      <w:r>
        <w:rPr>
          <w:rFonts w:hint="default" w:ascii="Times New Roman" w:hAnsi="Times New Roman" w:eastAsia="仿宋_GB2312" w:cs="Times New Roman"/>
          <w:sz w:val="32"/>
          <w:szCs w:val="30"/>
          <w:lang w:eastAsia="zh-CN"/>
        </w:rPr>
        <w:t>，</w:t>
      </w:r>
      <w:r>
        <w:rPr>
          <w:rFonts w:hint="default" w:ascii="Times New Roman" w:hAnsi="Times New Roman" w:eastAsia="仿宋_GB2312" w:cs="Times New Roman"/>
          <w:color w:val="auto"/>
          <w:sz w:val="32"/>
          <w:szCs w:val="30"/>
          <w:highlight w:val="none"/>
        </w:rPr>
        <w:t>决算数与预算数持平；</w:t>
      </w:r>
      <w:r>
        <w:rPr>
          <w:rFonts w:hint="default" w:ascii="Times New Roman" w:hAnsi="Times New Roman" w:eastAsia="仿宋_GB2312" w:cs="Times New Roman"/>
          <w:color w:val="auto"/>
          <w:sz w:val="32"/>
          <w:szCs w:val="30"/>
          <w:highlight w:val="none"/>
          <w:lang w:eastAsia="zh-CN"/>
        </w:rPr>
        <w:t>较</w:t>
      </w:r>
      <w:r>
        <w:rPr>
          <w:rFonts w:hint="default" w:ascii="Times New Roman" w:hAnsi="Times New Roman" w:eastAsia="仿宋_GB2312" w:cs="Times New Roman"/>
          <w:color w:val="auto"/>
          <w:sz w:val="32"/>
          <w:szCs w:val="30"/>
          <w:highlight w:val="none"/>
        </w:rPr>
        <w:t>202</w:t>
      </w:r>
      <w:r>
        <w:rPr>
          <w:rFonts w:hint="default" w:ascii="Times New Roman" w:hAnsi="Times New Roman" w:eastAsia="仿宋_GB2312" w:cs="Times New Roman"/>
          <w:color w:val="auto"/>
          <w:sz w:val="32"/>
          <w:szCs w:val="30"/>
          <w:highlight w:val="none"/>
          <w:lang w:val="en-US" w:eastAsia="zh-CN"/>
        </w:rPr>
        <w:t>4</w:t>
      </w:r>
      <w:r>
        <w:rPr>
          <w:rFonts w:hint="default" w:ascii="Times New Roman" w:hAnsi="Times New Roman" w:eastAsia="仿宋_GB2312" w:cs="Times New Roman"/>
          <w:color w:val="auto"/>
          <w:sz w:val="32"/>
          <w:szCs w:val="30"/>
          <w:highlight w:val="none"/>
        </w:rPr>
        <w:t>年度</w:t>
      </w:r>
      <w:r>
        <w:rPr>
          <w:rFonts w:hint="default" w:ascii="Times New Roman" w:hAnsi="Times New Roman" w:eastAsia="仿宋_GB2312" w:cs="Times New Roman"/>
          <w:color w:val="auto"/>
          <w:sz w:val="32"/>
          <w:szCs w:val="30"/>
          <w:highlight w:val="none"/>
          <w:lang w:val="en-US" w:eastAsia="zh-CN"/>
        </w:rPr>
        <w:t>增加0.07</w:t>
      </w:r>
      <w:r>
        <w:rPr>
          <w:rFonts w:hint="default" w:ascii="Times New Roman" w:hAnsi="Times New Roman" w:eastAsia="仿宋_GB2312" w:cs="Times New Roman"/>
          <w:color w:val="auto"/>
          <w:sz w:val="32"/>
          <w:szCs w:val="30"/>
          <w:highlight w:val="none"/>
          <w:lang w:eastAsia="zh-CN"/>
        </w:rPr>
        <w:t>万元，</w:t>
      </w:r>
      <w:r>
        <w:rPr>
          <w:rFonts w:hint="eastAsia" w:ascii="Times New Roman" w:hAnsi="Times New Roman" w:eastAsia="仿宋_GB2312" w:cs="Times New Roman"/>
          <w:color w:val="auto"/>
          <w:sz w:val="32"/>
          <w:szCs w:val="30"/>
          <w:highlight w:val="none"/>
          <w:lang w:eastAsia="zh-CN"/>
        </w:rPr>
        <w:t>增加100%，</w:t>
      </w:r>
      <w:r>
        <w:rPr>
          <w:rFonts w:hint="default" w:ascii="Times New Roman" w:hAnsi="Times New Roman" w:eastAsia="仿宋_GB2312" w:cs="Times New Roman"/>
          <w:color w:val="auto"/>
          <w:sz w:val="32"/>
          <w:szCs w:val="30"/>
          <w:highlight w:val="none"/>
          <w:lang w:val="en-US" w:eastAsia="zh-CN"/>
        </w:rPr>
        <w:t>主要原因</w:t>
      </w:r>
      <w:r>
        <w:rPr>
          <w:rFonts w:hint="default" w:ascii="Times New Roman" w:hAnsi="Times New Roman" w:eastAsia="仿宋_GB2312" w:cs="Times New Roman"/>
          <w:color w:val="auto"/>
          <w:sz w:val="32"/>
          <w:szCs w:val="30"/>
          <w:lang w:val="en-US" w:eastAsia="zh-CN"/>
        </w:rPr>
        <w:t>是</w:t>
      </w:r>
      <w:r>
        <w:rPr>
          <w:rFonts w:hint="eastAsia" w:ascii="Times New Roman" w:hAnsi="Times New Roman" w:eastAsia="仿宋_GB2312" w:cs="Times New Roman"/>
          <w:color w:val="auto"/>
          <w:sz w:val="32"/>
          <w:szCs w:val="30"/>
          <w:lang w:val="en-US" w:eastAsia="zh-CN"/>
        </w:rPr>
        <w:t>上年度没有接待任务，本年度有1次接待任务</w:t>
      </w:r>
      <w:r>
        <w:rPr>
          <w:rFonts w:hint="eastAsia" w:ascii="Times New Roman" w:hAnsi="Times New Roman" w:eastAsia="仿宋_GB2312" w:cs="Times New Roman"/>
          <w:color w:val="auto"/>
          <w:sz w:val="32"/>
          <w:szCs w:val="30"/>
          <w:lang w:eastAsia="zh-CN"/>
        </w:rPr>
        <w:t>，产生了公务接待费。</w:t>
      </w:r>
      <w:r>
        <w:rPr>
          <w:rFonts w:hint="default" w:ascii="Times New Roman" w:hAnsi="Times New Roman" w:eastAsia="仿宋_GB2312" w:cs="Times New Roman"/>
          <w:sz w:val="32"/>
          <w:szCs w:val="30"/>
        </w:rPr>
        <w:t>其中：</w:t>
      </w:r>
    </w:p>
    <w:p w14:paraId="20AB8022">
      <w:pPr>
        <w:ind w:firstLine="618"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0"/>
        </w:rPr>
        <w:t>外事接待费支出</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万元。全年共接待外事来访团组数</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个、来访外宾</w:t>
      </w:r>
      <w:r>
        <w:rPr>
          <w:rFonts w:hint="default" w:ascii="Times New Roman" w:hAnsi="Times New Roman" w:eastAsia="仿宋_GB2312" w:cs="Times New Roman"/>
          <w:sz w:val="32"/>
          <w:szCs w:val="30"/>
          <w:lang w:val="en-US" w:eastAsia="zh-CN"/>
        </w:rPr>
        <w:t>0</w:t>
      </w:r>
      <w:r>
        <w:rPr>
          <w:rFonts w:hint="default" w:ascii="Times New Roman" w:hAnsi="Times New Roman" w:eastAsia="仿宋_GB2312" w:cs="Times New Roman"/>
          <w:sz w:val="32"/>
          <w:szCs w:val="30"/>
        </w:rPr>
        <w:t>人次（不包括陪同人员）。</w:t>
      </w:r>
    </w:p>
    <w:p w14:paraId="7CA95064">
      <w:pPr>
        <w:ind w:firstLine="618"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rPr>
        <w:t>其他国内公务接待支出</w:t>
      </w:r>
      <w:r>
        <w:rPr>
          <w:rFonts w:hint="default" w:ascii="Times New Roman" w:hAnsi="Times New Roman" w:eastAsia="仿宋_GB2312" w:cs="Times New Roman"/>
          <w:sz w:val="32"/>
          <w:szCs w:val="30"/>
          <w:lang w:val="en-US" w:eastAsia="zh-CN"/>
        </w:rPr>
        <w:t>0.07</w:t>
      </w:r>
      <w:r>
        <w:rPr>
          <w:rFonts w:hint="default" w:ascii="Times New Roman" w:hAnsi="Times New Roman" w:eastAsia="仿宋_GB2312" w:cs="Times New Roman"/>
          <w:sz w:val="32"/>
          <w:szCs w:val="30"/>
        </w:rPr>
        <w:t>万元。</w:t>
      </w:r>
      <w:r>
        <w:rPr>
          <w:rFonts w:hint="default" w:ascii="Times New Roman" w:hAnsi="Times New Roman" w:eastAsia="仿宋_GB2312" w:cs="Times New Roman"/>
          <w:sz w:val="32"/>
          <w:szCs w:val="30"/>
          <w:highlight w:val="none"/>
        </w:rPr>
        <w:t>全年共接待国内来访团组</w:t>
      </w:r>
      <w:r>
        <w:rPr>
          <w:rFonts w:hint="default" w:ascii="Times New Roman" w:hAnsi="Times New Roman"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rPr>
        <w:t>个、来宾</w:t>
      </w:r>
      <w:r>
        <w:rPr>
          <w:rFonts w:hint="default" w:ascii="Times New Roman" w:hAnsi="Times New Roman" w:eastAsia="仿宋_GB2312" w:cs="Times New Roman"/>
          <w:color w:val="auto"/>
          <w:sz w:val="32"/>
          <w:szCs w:val="30"/>
          <w:highlight w:val="none"/>
          <w:lang w:val="en-US" w:eastAsia="zh-CN"/>
        </w:rPr>
        <w:t>5</w:t>
      </w:r>
      <w:r>
        <w:rPr>
          <w:rFonts w:hint="default" w:ascii="Times New Roman" w:hAnsi="Times New Roman" w:eastAsia="仿宋_GB2312" w:cs="Times New Roman"/>
          <w:color w:val="auto"/>
          <w:sz w:val="32"/>
          <w:szCs w:val="30"/>
          <w:highlight w:val="none"/>
        </w:rPr>
        <w:t>人次（不</w:t>
      </w:r>
      <w:r>
        <w:rPr>
          <w:rFonts w:hint="default" w:ascii="Times New Roman" w:hAnsi="Times New Roman" w:eastAsia="仿宋_GB2312" w:cs="Times New Roman"/>
          <w:sz w:val="32"/>
          <w:szCs w:val="30"/>
          <w:highlight w:val="none"/>
        </w:rPr>
        <w:t>包括陪同人员）。</w:t>
      </w:r>
    </w:p>
    <w:p w14:paraId="6CC43BDF">
      <w:pPr>
        <w:ind w:firstLine="696" w:firstLineChars="225"/>
        <w:rPr>
          <w:rFonts w:hint="default" w:ascii="Times New Roman" w:hAnsi="Times New Roman" w:eastAsia="黑体" w:cs="Times New Roman"/>
          <w:sz w:val="32"/>
        </w:rPr>
      </w:pPr>
      <w:r>
        <w:rPr>
          <w:rFonts w:hint="default" w:ascii="Times New Roman" w:hAnsi="Times New Roman" w:eastAsia="黑体" w:cs="Times New Roman"/>
          <w:sz w:val="32"/>
        </w:rPr>
        <w:t>十、</w:t>
      </w:r>
      <w:r>
        <w:rPr>
          <w:rFonts w:hint="default" w:ascii="Times New Roman" w:hAnsi="Times New Roman" w:eastAsia="黑体" w:cs="Times New Roman"/>
          <w:sz w:val="32"/>
          <w:szCs w:val="32"/>
        </w:rPr>
        <w:t>关于</w:t>
      </w:r>
      <w:r>
        <w:rPr>
          <w:rFonts w:hint="default" w:ascii="Times New Roman" w:hAnsi="Times New Roman" w:eastAsia="黑体" w:cs="Times New Roman"/>
          <w:sz w:val="32"/>
          <w:szCs w:val="32"/>
          <w:lang w:val="en" w:eastAsia="zh-CN"/>
        </w:rPr>
        <w:t>2025</w:t>
      </w:r>
      <w:r>
        <w:rPr>
          <w:rFonts w:hint="default" w:ascii="Times New Roman" w:hAnsi="Times New Roman" w:eastAsia="黑体" w:cs="Times New Roman"/>
          <w:sz w:val="32"/>
          <w:szCs w:val="32"/>
          <w:lang w:val="en"/>
        </w:rPr>
        <w:t>年度</w:t>
      </w:r>
      <w:r>
        <w:rPr>
          <w:rFonts w:hint="default" w:ascii="Times New Roman" w:hAnsi="Times New Roman" w:eastAsia="黑体" w:cs="Times New Roman"/>
          <w:sz w:val="32"/>
          <w:szCs w:val="32"/>
        </w:rPr>
        <w:t>绩效评价情况说明</w:t>
      </w:r>
    </w:p>
    <w:p w14:paraId="677212AD">
      <w:pPr>
        <w:ind w:firstLine="618" w:firstLineChars="200"/>
        <w:rPr>
          <w:rFonts w:hint="default" w:ascii="Times New Roman" w:hAnsi="Times New Roman" w:eastAsia="仿宋_GB2312" w:cs="Times New Roman"/>
          <w:color w:val="121212"/>
          <w:sz w:val="32"/>
          <w:szCs w:val="30"/>
        </w:rPr>
      </w:pPr>
      <w:r>
        <w:rPr>
          <w:rFonts w:hint="eastAsia" w:ascii="楷体_GB2312" w:hAnsi="楷体_GB2312" w:eastAsia="楷体_GB2312" w:cs="楷体_GB2312"/>
          <w:sz w:val="32"/>
          <w:szCs w:val="30"/>
        </w:rPr>
        <w:t>（一）绩效评价工作开展情况。</w:t>
      </w:r>
      <w:r>
        <w:rPr>
          <w:rFonts w:hint="default" w:ascii="Times New Roman" w:hAnsi="Times New Roman" w:eastAsia="仿宋_GB2312" w:cs="Times New Roman"/>
          <w:sz w:val="32"/>
          <w:szCs w:val="30"/>
        </w:rPr>
        <w:t>绩效评价工作开展情况说明为：根据预算绩效管理要求，本</w:t>
      </w:r>
      <w:r>
        <w:rPr>
          <w:rFonts w:hint="default" w:ascii="Times New Roman" w:hAnsi="Times New Roman" w:eastAsia="仿宋_GB2312" w:cs="Times New Roman"/>
          <w:sz w:val="32"/>
          <w:szCs w:val="30"/>
          <w:lang w:eastAsia="zh-CN"/>
        </w:rPr>
        <w:t>单位</w:t>
      </w:r>
      <w:r>
        <w:rPr>
          <w:rFonts w:hint="default" w:ascii="Times New Roman" w:hAnsi="Times New Roman" w:eastAsia="仿宋_GB2312" w:cs="Times New Roman"/>
          <w:sz w:val="32"/>
          <w:szCs w:val="30"/>
        </w:rPr>
        <w:t>组织对</w:t>
      </w:r>
      <w:r>
        <w:rPr>
          <w:rFonts w:hint="default" w:ascii="Times New Roman" w:hAnsi="Times New Roman" w:eastAsia="仿宋_GB2312" w:cs="Times New Roman"/>
          <w:sz w:val="32"/>
          <w:szCs w:val="30"/>
          <w:lang w:eastAsia="zh-CN"/>
        </w:rPr>
        <w:t>2025</w:t>
      </w:r>
      <w:r>
        <w:rPr>
          <w:rFonts w:hint="default" w:ascii="Times New Roman" w:hAnsi="Times New Roman" w:eastAsia="仿宋_GB2312" w:cs="Times New Roman"/>
          <w:sz w:val="32"/>
          <w:szCs w:val="30"/>
        </w:rPr>
        <w:t>年度一般公共预算项目支出全面开展绩效自评，其</w:t>
      </w:r>
      <w:r>
        <w:rPr>
          <w:rFonts w:hint="default" w:ascii="Times New Roman" w:hAnsi="Times New Roman" w:eastAsia="仿宋_GB2312" w:cs="Times New Roman"/>
          <w:color w:val="auto"/>
          <w:sz w:val="32"/>
          <w:szCs w:val="30"/>
        </w:rPr>
        <w:t>中，一级项目</w:t>
      </w:r>
      <w:r>
        <w:rPr>
          <w:rFonts w:hint="default" w:ascii="Times New Roman" w:hAnsi="Times New Roman" w:eastAsia="仿宋_GB2312" w:cs="Times New Roman"/>
          <w:color w:val="auto"/>
          <w:sz w:val="32"/>
          <w:szCs w:val="30"/>
          <w:lang w:val="en-US" w:eastAsia="zh-CN"/>
        </w:rPr>
        <w:t>1</w:t>
      </w:r>
      <w:r>
        <w:rPr>
          <w:rFonts w:hint="default" w:ascii="Times New Roman" w:hAnsi="Times New Roman" w:eastAsia="仿宋_GB2312" w:cs="Times New Roman"/>
          <w:color w:val="auto"/>
          <w:sz w:val="32"/>
          <w:szCs w:val="30"/>
        </w:rPr>
        <w:t>个，二级项目</w:t>
      </w:r>
      <w:r>
        <w:rPr>
          <w:rFonts w:hint="default" w:ascii="Times New Roman" w:hAnsi="Times New Roman" w:eastAsia="仿宋_GB2312" w:cs="Times New Roman"/>
          <w:color w:val="auto"/>
          <w:sz w:val="32"/>
          <w:szCs w:val="30"/>
          <w:lang w:val="en-US" w:eastAsia="zh-CN"/>
        </w:rPr>
        <w:t>1</w:t>
      </w:r>
      <w:r>
        <w:rPr>
          <w:rFonts w:hint="default" w:ascii="Times New Roman" w:hAnsi="Times New Roman" w:eastAsia="仿宋_GB2312" w:cs="Times New Roman"/>
          <w:color w:val="auto"/>
          <w:sz w:val="32"/>
          <w:szCs w:val="30"/>
        </w:rPr>
        <w:t>个，共涉</w:t>
      </w:r>
      <w:r>
        <w:rPr>
          <w:rFonts w:hint="default" w:ascii="Times New Roman" w:hAnsi="Times New Roman" w:eastAsia="仿宋_GB2312" w:cs="Times New Roman"/>
          <w:color w:val="121212"/>
          <w:sz w:val="32"/>
          <w:szCs w:val="30"/>
        </w:rPr>
        <w:t>及资金</w:t>
      </w:r>
      <w:r>
        <w:rPr>
          <w:rFonts w:hint="default" w:ascii="Times New Roman" w:hAnsi="Times New Roman" w:eastAsia="仿宋_GB2312" w:cs="Times New Roman"/>
          <w:color w:val="121212"/>
          <w:sz w:val="32"/>
          <w:szCs w:val="30"/>
          <w:lang w:val="en-US" w:eastAsia="zh-CN"/>
        </w:rPr>
        <w:t>31.36</w:t>
      </w:r>
      <w:r>
        <w:rPr>
          <w:rFonts w:hint="default" w:ascii="Times New Roman" w:hAnsi="Times New Roman" w:eastAsia="仿宋_GB2312" w:cs="Times New Roman"/>
          <w:color w:val="121212"/>
          <w:sz w:val="32"/>
          <w:szCs w:val="30"/>
        </w:rPr>
        <w:t>万元，占一般公共预算项目支出总额的</w:t>
      </w:r>
      <w:r>
        <w:rPr>
          <w:rFonts w:hint="default" w:ascii="Times New Roman" w:hAnsi="Times New Roman" w:eastAsia="仿宋_GB2312" w:cs="Times New Roman"/>
          <w:color w:val="121212"/>
          <w:sz w:val="32"/>
          <w:szCs w:val="30"/>
          <w:lang w:val="en-US" w:eastAsia="zh-CN"/>
        </w:rPr>
        <w:t>100</w:t>
      </w:r>
      <w:r>
        <w:rPr>
          <w:rFonts w:hint="default" w:ascii="Times New Roman" w:hAnsi="Times New Roman" w:eastAsia="仿宋_GB2312" w:cs="Times New Roman"/>
          <w:color w:val="121212"/>
          <w:sz w:val="32"/>
          <w:szCs w:val="30"/>
        </w:rPr>
        <w:t>%。</w:t>
      </w:r>
      <w:r>
        <w:rPr>
          <w:rFonts w:hint="default" w:ascii="Times New Roman" w:hAnsi="Times New Roman" w:eastAsia="仿宋_GB2312" w:cs="Times New Roman"/>
          <w:color w:val="121212"/>
          <w:sz w:val="32"/>
          <w:szCs w:val="30"/>
          <w:lang w:eastAsia="zh-CN"/>
        </w:rPr>
        <w:t>本单位无</w:t>
      </w:r>
      <w:r>
        <w:rPr>
          <w:rFonts w:hint="default" w:ascii="Times New Roman" w:hAnsi="Times New Roman" w:eastAsia="仿宋_GB2312" w:cs="Times New Roman"/>
          <w:color w:val="121212"/>
          <w:sz w:val="32"/>
          <w:szCs w:val="30"/>
        </w:rPr>
        <w:t>政府性基金预算</w:t>
      </w:r>
      <w:r>
        <w:rPr>
          <w:rFonts w:hint="default" w:ascii="Times New Roman" w:hAnsi="Times New Roman" w:eastAsia="仿宋_GB2312" w:cs="Times New Roman"/>
          <w:color w:val="121212"/>
          <w:sz w:val="32"/>
          <w:szCs w:val="30"/>
          <w:lang w:eastAsia="zh-CN"/>
        </w:rPr>
        <w:t>和</w:t>
      </w:r>
      <w:r>
        <w:rPr>
          <w:rFonts w:hint="default" w:ascii="Times New Roman" w:hAnsi="Times New Roman" w:eastAsia="仿宋_GB2312" w:cs="Times New Roman"/>
          <w:color w:val="121212"/>
          <w:sz w:val="32"/>
          <w:szCs w:val="30"/>
        </w:rPr>
        <w:t>国有资本经营预算</w:t>
      </w:r>
      <w:r>
        <w:rPr>
          <w:rFonts w:hint="default" w:ascii="Times New Roman" w:hAnsi="Times New Roman" w:eastAsia="仿宋_GB2312" w:cs="Times New Roman"/>
          <w:color w:val="121212"/>
          <w:sz w:val="32"/>
          <w:szCs w:val="30"/>
          <w:lang w:eastAsia="zh-CN"/>
        </w:rPr>
        <w:t>，不开展相关</w:t>
      </w:r>
      <w:r>
        <w:rPr>
          <w:rFonts w:hint="default" w:ascii="Times New Roman" w:hAnsi="Times New Roman" w:eastAsia="仿宋_GB2312" w:cs="Times New Roman"/>
          <w:color w:val="121212"/>
          <w:sz w:val="32"/>
          <w:szCs w:val="30"/>
        </w:rPr>
        <w:t>项目绩效自评。</w:t>
      </w:r>
    </w:p>
    <w:p w14:paraId="1E475B84">
      <w:pPr>
        <w:ind w:firstLine="618" w:firstLineChars="200"/>
        <w:rPr>
          <w:rFonts w:hint="default" w:ascii="Times New Roman" w:hAnsi="Times New Roman" w:eastAsia="仿宋_GB2312" w:cs="Times New Roman"/>
          <w:color w:val="121212"/>
          <w:sz w:val="32"/>
          <w:szCs w:val="30"/>
        </w:rPr>
      </w:pPr>
      <w:r>
        <w:rPr>
          <w:rFonts w:hint="eastAsia" w:ascii="Times New Roman" w:hAnsi="Times New Roman" w:eastAsia="仿宋_GB2312" w:cs="Times New Roman"/>
          <w:color w:val="121212"/>
          <w:sz w:val="32"/>
          <w:szCs w:val="30"/>
          <w:lang w:eastAsia="zh-CN"/>
        </w:rPr>
        <w:t>部门</w:t>
      </w:r>
      <w:r>
        <w:rPr>
          <w:rFonts w:hint="default" w:ascii="Times New Roman" w:hAnsi="Times New Roman" w:eastAsia="仿宋_GB2312" w:cs="Times New Roman"/>
          <w:color w:val="121212"/>
          <w:sz w:val="32"/>
          <w:szCs w:val="30"/>
          <w:lang w:eastAsia="zh-CN"/>
        </w:rPr>
        <w:t>绩效</w:t>
      </w:r>
      <w:r>
        <w:rPr>
          <w:rFonts w:hint="default" w:ascii="Times New Roman" w:hAnsi="Times New Roman" w:eastAsia="仿宋_GB2312" w:cs="Times New Roman"/>
          <w:color w:val="121212"/>
          <w:sz w:val="32"/>
          <w:szCs w:val="30"/>
        </w:rPr>
        <w:t>评价</w:t>
      </w:r>
      <w:r>
        <w:rPr>
          <w:rFonts w:hint="default" w:ascii="Times New Roman" w:hAnsi="Times New Roman" w:eastAsia="仿宋_GB2312" w:cs="Times New Roman"/>
          <w:color w:val="121212"/>
          <w:sz w:val="32"/>
          <w:szCs w:val="30"/>
          <w:lang w:eastAsia="zh-CN"/>
        </w:rPr>
        <w:t>和</w:t>
      </w:r>
      <w:r>
        <w:rPr>
          <w:rFonts w:hint="eastAsia" w:ascii="Times New Roman" w:hAnsi="Times New Roman" w:eastAsia="仿宋_GB2312" w:cs="Times New Roman"/>
          <w:color w:val="121212"/>
          <w:sz w:val="32"/>
          <w:szCs w:val="30"/>
          <w:lang w:eastAsia="zh-CN"/>
        </w:rPr>
        <w:t>部门</w:t>
      </w:r>
      <w:r>
        <w:rPr>
          <w:rFonts w:hint="default" w:ascii="Times New Roman" w:hAnsi="Times New Roman" w:eastAsia="仿宋_GB2312" w:cs="Times New Roman"/>
          <w:color w:val="121212"/>
          <w:sz w:val="32"/>
          <w:szCs w:val="30"/>
        </w:rPr>
        <w:t>整体支出绩效评价</w:t>
      </w:r>
      <w:r>
        <w:rPr>
          <w:rFonts w:hint="default" w:ascii="Times New Roman" w:hAnsi="Times New Roman" w:eastAsia="仿宋_GB2312" w:cs="Times New Roman"/>
          <w:color w:val="121212"/>
          <w:sz w:val="32"/>
          <w:szCs w:val="30"/>
          <w:lang w:eastAsia="zh-CN"/>
        </w:rPr>
        <w:t>由吉林省统计局开展，评价情况及评价结果</w:t>
      </w:r>
      <w:r>
        <w:rPr>
          <w:rFonts w:hint="default" w:ascii="Times New Roman" w:hAnsi="Times New Roman" w:eastAsia="仿宋_GB2312" w:cs="Times New Roman"/>
          <w:color w:val="121212"/>
          <w:sz w:val="32"/>
          <w:szCs w:val="30"/>
        </w:rPr>
        <w:t>在</w:t>
      </w:r>
      <w:r>
        <w:rPr>
          <w:rFonts w:hint="default" w:ascii="Times New Roman" w:hAnsi="Times New Roman" w:eastAsia="仿宋_GB2312" w:cs="Times New Roman"/>
          <w:color w:val="121212"/>
          <w:sz w:val="32"/>
          <w:szCs w:val="30"/>
          <w:lang w:eastAsia="zh-CN"/>
        </w:rPr>
        <w:t>吉林省统计局</w:t>
      </w:r>
      <w:r>
        <w:rPr>
          <w:rFonts w:hint="default" w:ascii="Times New Roman" w:hAnsi="Times New Roman" w:eastAsia="仿宋_GB2312" w:cs="Times New Roman"/>
          <w:color w:val="121212"/>
          <w:sz w:val="32"/>
          <w:szCs w:val="30"/>
          <w:lang w:val="en-US" w:eastAsia="zh-CN"/>
        </w:rPr>
        <w:t>单位</w:t>
      </w:r>
      <w:r>
        <w:rPr>
          <w:rFonts w:hint="default" w:ascii="Times New Roman" w:hAnsi="Times New Roman" w:eastAsia="仿宋_GB2312" w:cs="Times New Roman"/>
          <w:color w:val="121212"/>
          <w:sz w:val="32"/>
          <w:szCs w:val="30"/>
          <w:lang w:eastAsia="zh-CN"/>
        </w:rPr>
        <w:t>决</w:t>
      </w:r>
      <w:r>
        <w:rPr>
          <w:rFonts w:hint="default" w:ascii="Times New Roman" w:hAnsi="Times New Roman" w:eastAsia="仿宋_GB2312" w:cs="Times New Roman"/>
          <w:color w:val="121212"/>
          <w:sz w:val="32"/>
          <w:szCs w:val="30"/>
        </w:rPr>
        <w:t>算公开中统一体现，我单位不再另行</w:t>
      </w:r>
      <w:r>
        <w:rPr>
          <w:rFonts w:hint="default" w:ascii="Times New Roman" w:hAnsi="Times New Roman" w:eastAsia="仿宋_GB2312" w:cs="Times New Roman"/>
          <w:color w:val="121212"/>
          <w:sz w:val="32"/>
          <w:szCs w:val="30"/>
          <w:lang w:eastAsia="zh-CN"/>
        </w:rPr>
        <w:t>公开说明</w:t>
      </w:r>
      <w:r>
        <w:rPr>
          <w:rFonts w:hint="default" w:ascii="Times New Roman" w:hAnsi="Times New Roman" w:eastAsia="仿宋_GB2312" w:cs="Times New Roman"/>
          <w:color w:val="121212"/>
          <w:sz w:val="32"/>
          <w:szCs w:val="30"/>
        </w:rPr>
        <w:t>。</w:t>
      </w:r>
    </w:p>
    <w:p w14:paraId="371A6179">
      <w:pPr>
        <w:numPr>
          <w:ilvl w:val="0"/>
          <w:numId w:val="1"/>
        </w:numPr>
        <w:ind w:firstLine="618" w:firstLineChars="200"/>
        <w:rPr>
          <w:rFonts w:hint="default" w:ascii="Times New Roman" w:hAnsi="Times New Roman" w:eastAsia="仿宋_GB2312" w:cs="Times New Roman"/>
          <w:color w:val="121212"/>
          <w:sz w:val="32"/>
          <w:szCs w:val="30"/>
        </w:rPr>
      </w:pPr>
      <w:r>
        <w:rPr>
          <w:rFonts w:hint="eastAsia" w:ascii="楷体_GB2312" w:hAnsi="楷体_GB2312" w:eastAsia="楷体_GB2312" w:cs="楷体_GB2312"/>
          <w:color w:val="121212"/>
          <w:sz w:val="32"/>
          <w:szCs w:val="30"/>
        </w:rPr>
        <w:t>项目绩效自评结果。</w:t>
      </w:r>
    </w:p>
    <w:p w14:paraId="02FA4992">
      <w:pPr>
        <w:ind w:firstLine="696" w:firstLineChars="225"/>
        <w:rPr>
          <w:rFonts w:hint="default" w:ascii="Times New Roman" w:hAnsi="Times New Roman" w:eastAsia="仿宋_GB2312" w:cs="Times New Roman"/>
          <w:color w:val="auto"/>
          <w:sz w:val="32"/>
          <w:szCs w:val="30"/>
          <w:lang w:val="en-US" w:eastAsia="zh-CN"/>
        </w:rPr>
      </w:pPr>
      <w:r>
        <w:rPr>
          <w:rFonts w:hint="default" w:ascii="Times New Roman" w:hAnsi="Times New Roman" w:eastAsia="仿宋_GB2312" w:cs="Times New Roman"/>
          <w:color w:val="121212"/>
          <w:sz w:val="32"/>
          <w:szCs w:val="30"/>
          <w:lang w:val="en-US" w:eastAsia="zh-CN"/>
        </w:rPr>
        <w:t>综合统计业务费</w:t>
      </w:r>
      <w:r>
        <w:rPr>
          <w:rFonts w:hint="default" w:ascii="Times New Roman" w:hAnsi="Times New Roman" w:eastAsia="仿宋_GB2312" w:cs="Times New Roman"/>
          <w:color w:val="121212"/>
          <w:sz w:val="32"/>
          <w:szCs w:val="30"/>
        </w:rPr>
        <w:t>项目绩效自评情况：根据年初设定的绩效目标，项目绩效自评得分为</w:t>
      </w:r>
      <w:r>
        <w:rPr>
          <w:rFonts w:hint="default" w:ascii="Times New Roman" w:hAnsi="Times New Roman" w:eastAsia="仿宋_GB2312" w:cs="Times New Roman"/>
          <w:color w:val="121212"/>
          <w:sz w:val="32"/>
          <w:szCs w:val="30"/>
          <w:lang w:val="en-US" w:eastAsia="zh-CN"/>
        </w:rPr>
        <w:t>100</w:t>
      </w:r>
      <w:r>
        <w:rPr>
          <w:rFonts w:hint="default" w:ascii="Times New Roman" w:hAnsi="Times New Roman" w:eastAsia="仿宋_GB2312" w:cs="Times New Roman"/>
          <w:color w:val="121212"/>
          <w:sz w:val="32"/>
          <w:szCs w:val="30"/>
        </w:rPr>
        <w:t>分。项目</w:t>
      </w:r>
      <w:r>
        <w:rPr>
          <w:rFonts w:hint="default" w:ascii="Times New Roman" w:hAnsi="Times New Roman" w:eastAsia="仿宋_GB2312" w:cs="Times New Roman"/>
          <w:sz w:val="32"/>
          <w:szCs w:val="30"/>
        </w:rPr>
        <w:t>全年预算数为</w:t>
      </w:r>
      <w:r>
        <w:rPr>
          <w:rFonts w:hint="default" w:ascii="Times New Roman" w:hAnsi="Times New Roman" w:eastAsia="仿宋_GB2312" w:cs="Times New Roman"/>
          <w:sz w:val="32"/>
          <w:szCs w:val="30"/>
          <w:lang w:val="en-US" w:eastAsia="zh-CN"/>
        </w:rPr>
        <w:t>31.36</w:t>
      </w:r>
      <w:r>
        <w:rPr>
          <w:rFonts w:hint="default" w:ascii="Times New Roman" w:hAnsi="Times New Roman" w:eastAsia="仿宋_GB2312" w:cs="Times New Roman"/>
          <w:sz w:val="32"/>
          <w:szCs w:val="30"/>
        </w:rPr>
        <w:t>万元，执行数为</w:t>
      </w:r>
      <w:r>
        <w:rPr>
          <w:rFonts w:hint="default" w:ascii="Times New Roman" w:hAnsi="Times New Roman" w:eastAsia="仿宋_GB2312" w:cs="Times New Roman"/>
          <w:sz w:val="32"/>
          <w:szCs w:val="30"/>
          <w:lang w:val="en-US" w:eastAsia="zh-CN"/>
        </w:rPr>
        <w:t>31.36</w:t>
      </w:r>
      <w:r>
        <w:rPr>
          <w:rFonts w:hint="default" w:ascii="Times New Roman" w:hAnsi="Times New Roman" w:eastAsia="仿宋_GB2312" w:cs="Times New Roman"/>
          <w:sz w:val="32"/>
          <w:szCs w:val="30"/>
        </w:rPr>
        <w:t>万</w:t>
      </w:r>
      <w:r>
        <w:rPr>
          <w:rFonts w:hint="default" w:ascii="Times New Roman" w:hAnsi="Times New Roman" w:eastAsia="仿宋_GB2312" w:cs="Times New Roman"/>
          <w:color w:val="auto"/>
          <w:sz w:val="32"/>
          <w:szCs w:val="30"/>
        </w:rPr>
        <w:t>元，完成预算的</w:t>
      </w:r>
      <w:r>
        <w:rPr>
          <w:rFonts w:hint="default" w:ascii="Times New Roman" w:hAnsi="Times New Roman" w:eastAsia="仿宋_GB2312" w:cs="Times New Roman"/>
          <w:color w:val="auto"/>
          <w:sz w:val="32"/>
          <w:szCs w:val="30"/>
          <w:lang w:val="en-US" w:eastAsia="zh-CN"/>
        </w:rPr>
        <w:t>100</w:t>
      </w:r>
      <w:r>
        <w:rPr>
          <w:rFonts w:hint="default" w:ascii="Times New Roman" w:hAnsi="Times New Roman" w:eastAsia="仿宋_GB2312" w:cs="Times New Roman"/>
          <w:color w:val="auto"/>
          <w:sz w:val="32"/>
          <w:szCs w:val="30"/>
        </w:rPr>
        <w:t>%。项目绩效目标完成情况：</w:t>
      </w:r>
      <w:r>
        <w:rPr>
          <w:rFonts w:hint="default" w:ascii="Times New Roman" w:hAnsi="Times New Roman" w:eastAsia="仿宋_GB2312" w:cs="Times New Roman"/>
          <w:sz w:val="32"/>
          <w:szCs w:val="30"/>
        </w:rPr>
        <w:t>按时开展了统计调查、统计监测、统计分析、统计报告等相关统计工作。不断提升统计服务质量，为市委</w:t>
      </w:r>
      <w:r>
        <w:rPr>
          <w:rFonts w:hint="default" w:ascii="Times New Roman" w:hAnsi="Times New Roman" w:eastAsia="仿宋_GB2312" w:cs="Times New Roman"/>
          <w:sz w:val="32"/>
          <w:szCs w:val="30"/>
          <w:lang w:eastAsia="zh-CN"/>
        </w:rPr>
        <w:t>、</w:t>
      </w:r>
      <w:r>
        <w:rPr>
          <w:rFonts w:hint="default" w:ascii="Times New Roman" w:hAnsi="Times New Roman" w:eastAsia="仿宋_GB2312" w:cs="Times New Roman"/>
          <w:sz w:val="32"/>
          <w:szCs w:val="30"/>
        </w:rPr>
        <w:t>市政府提供经济运行各项指标及经济运行分析预测，研判经济发展态势。</w:t>
      </w:r>
      <w:r>
        <w:rPr>
          <w:rFonts w:hint="default" w:ascii="Times New Roman" w:hAnsi="Times New Roman" w:eastAsia="仿宋_GB2312" w:cs="Times New Roman"/>
          <w:color w:val="auto"/>
          <w:sz w:val="32"/>
          <w:szCs w:val="30"/>
          <w:lang w:val="en-US" w:eastAsia="zh-CN"/>
        </w:rPr>
        <w:t>发现的主要问题和原因：无。下一步整改措施：无。</w:t>
      </w:r>
    </w:p>
    <w:p w14:paraId="31BDBA14">
      <w:pPr>
        <w:ind w:firstLine="696" w:firstLineChars="225"/>
        <w:rPr>
          <w:rFonts w:hint="default" w:ascii="Times New Roman" w:hAnsi="Times New Roman" w:eastAsia="黑体" w:cs="Times New Roman"/>
          <w:sz w:val="32"/>
        </w:rPr>
      </w:pPr>
      <w:r>
        <w:rPr>
          <w:rFonts w:hint="default" w:ascii="Times New Roman" w:hAnsi="Times New Roman" w:eastAsia="黑体" w:cs="Times New Roman"/>
          <w:sz w:val="32"/>
        </w:rPr>
        <w:t>十一、其他重要事项的情况说明</w:t>
      </w:r>
    </w:p>
    <w:p w14:paraId="285DB897">
      <w:pPr>
        <w:ind w:firstLine="618" w:firstLineChars="200"/>
        <w:rPr>
          <w:rFonts w:hint="eastAsia" w:ascii="楷体_GB2312" w:hAnsi="楷体_GB2312" w:eastAsia="楷体_GB2312" w:cs="楷体_GB2312"/>
          <w:b/>
          <w:bCs/>
          <w:sz w:val="32"/>
          <w:szCs w:val="30"/>
          <w:lang w:val="en-US" w:eastAsia="zh-CN"/>
        </w:rPr>
      </w:pPr>
      <w:r>
        <w:rPr>
          <w:rFonts w:hint="eastAsia" w:ascii="楷体_GB2312" w:hAnsi="楷体_GB2312" w:eastAsia="楷体_GB2312" w:cs="楷体_GB2312"/>
          <w:sz w:val="32"/>
          <w:highlight w:val="none"/>
          <w:lang w:val="en-US" w:eastAsia="zh-CN"/>
        </w:rPr>
        <w:t>（一）机关运行经费支出情况</w:t>
      </w:r>
    </w:p>
    <w:p w14:paraId="39DAA4DB">
      <w:pPr>
        <w:numPr>
          <w:ilvl w:val="0"/>
          <w:numId w:val="0"/>
        </w:numPr>
        <w:ind w:firstLine="618" w:firstLineChars="200"/>
        <w:rPr>
          <w:rFonts w:hint="default" w:ascii="Times New Roman" w:hAnsi="Times New Roman" w:eastAsia="仿宋_GB2312" w:cs="Times New Roman"/>
          <w:color w:val="FF0000"/>
          <w:sz w:val="32"/>
          <w:szCs w:val="30"/>
          <w:highlight w:val="yellow"/>
          <w:lang w:val="en-US" w:eastAsia="zh-CN"/>
        </w:rPr>
      </w:pPr>
      <w:r>
        <w:rPr>
          <w:rFonts w:hint="default" w:ascii="Times New Roman" w:hAnsi="Times New Roman" w:eastAsia="仿宋_GB2312" w:cs="Times New Roman"/>
          <w:sz w:val="32"/>
          <w:szCs w:val="30"/>
          <w:lang w:val="en-US" w:eastAsia="zh-CN"/>
        </w:rPr>
        <w:t>本单位机关运行经费支出31.75万元，比年初预算数减</w:t>
      </w:r>
      <w:r>
        <w:rPr>
          <w:rFonts w:hint="default" w:ascii="Times New Roman" w:hAnsi="Times New Roman" w:eastAsia="仿宋_GB2312" w:cs="Times New Roman"/>
          <w:color w:val="auto"/>
          <w:sz w:val="32"/>
          <w:szCs w:val="30"/>
          <w:lang w:val="en-US" w:eastAsia="zh-CN"/>
        </w:rPr>
        <w:t>少0.24万元，降低0.75%，</w:t>
      </w:r>
      <w:r>
        <w:rPr>
          <w:rFonts w:hint="default" w:ascii="Times New Roman" w:hAnsi="Times New Roman" w:eastAsia="仿宋_GB2312" w:cs="Times New Roman"/>
          <w:color w:val="auto"/>
          <w:sz w:val="32"/>
          <w:szCs w:val="30"/>
          <w:highlight w:val="none"/>
          <w:lang w:val="en-US" w:eastAsia="zh-CN"/>
        </w:rPr>
        <w:t>主要原因是我单位认真贯彻落实中共中央八项规定精神和省财政厅“过紧日子”有关要求，厉行节约，从严管理机关运行经费支出，所以本年度机关运行经费支出比上年度减少。</w:t>
      </w:r>
    </w:p>
    <w:p w14:paraId="26C262D5">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楷体_GB2312" w:hAnsi="楷体_GB2312" w:eastAsia="楷体_GB2312" w:cs="楷体_GB2312"/>
          <w:sz w:val="32"/>
          <w:highlight w:val="none"/>
          <w:lang w:val="en-US" w:eastAsia="zh-CN"/>
        </w:rPr>
      </w:pPr>
      <w:r>
        <w:rPr>
          <w:rFonts w:hint="default" w:ascii="Times New Roman" w:hAnsi="Times New Roman" w:eastAsia="仿宋" w:cs="Times New Roman"/>
          <w:sz w:val="32"/>
        </w:rPr>
        <w:t xml:space="preserve">  </w:t>
      </w:r>
      <w:r>
        <w:rPr>
          <w:rFonts w:hint="default" w:ascii="楷体_GB2312" w:hAnsi="楷体_GB2312" w:eastAsia="楷体_GB2312" w:cs="楷体_GB2312"/>
          <w:sz w:val="32"/>
          <w:highlight w:val="none"/>
          <w:lang w:val="en-US" w:eastAsia="zh-CN"/>
        </w:rPr>
        <w:t xml:space="preserve">  （二）政府采购支出情况</w:t>
      </w:r>
    </w:p>
    <w:p w14:paraId="418344F5">
      <w:pPr>
        <w:ind w:firstLine="618" w:firstLineChars="200"/>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年度政府采购支出总额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万元，其中：政府采购货物支出</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万元、政府采购工程支出</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万元、政府采购服务支出</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万元。授予中小企业合同金额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万元，其中：授予小微企业合同金额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w:t>
      </w:r>
      <w:r>
        <w:rPr>
          <w:rFonts w:hint="default" w:ascii="Times New Roman" w:hAnsi="Times New Roman" w:eastAsia="仿宋_GB2312" w:cs="Times New Roman"/>
          <w:sz w:val="32"/>
          <w:szCs w:val="30"/>
          <w:lang w:eastAsia="zh-CN"/>
        </w:rPr>
        <w:t>。</w:t>
      </w:r>
    </w:p>
    <w:p w14:paraId="44D1F5C9">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 w:cs="Times New Roman"/>
          <w:sz w:val="32"/>
        </w:rPr>
      </w:pPr>
      <w:r>
        <w:rPr>
          <w:rFonts w:hint="default" w:ascii="Times New Roman" w:hAnsi="Times New Roman" w:eastAsia="仿宋" w:cs="Times New Roman"/>
          <w:sz w:val="32"/>
        </w:rPr>
        <w:t xml:space="preserve">   </w:t>
      </w:r>
      <w:r>
        <w:rPr>
          <w:rFonts w:hint="default" w:ascii="Times New Roman" w:hAnsi="Times New Roman" w:eastAsia="仿宋_GB2312" w:cs="Times New Roman"/>
          <w:sz w:val="32"/>
          <w:highlight w:val="none"/>
          <w:lang w:val="en-US" w:eastAsia="zh-CN"/>
        </w:rPr>
        <w:t xml:space="preserve"> </w:t>
      </w:r>
      <w:r>
        <w:rPr>
          <w:rFonts w:hint="default" w:ascii="楷体_GB2312" w:hAnsi="楷体_GB2312" w:eastAsia="楷体_GB2312" w:cs="楷体_GB2312"/>
          <w:sz w:val="32"/>
          <w:highlight w:val="none"/>
          <w:lang w:val="en-US" w:eastAsia="zh-CN"/>
        </w:rPr>
        <w:t>（三）国有资产占用情况</w:t>
      </w:r>
    </w:p>
    <w:p w14:paraId="01C5FB5A">
      <w:pPr>
        <w:spacing w:line="580" w:lineRule="exact"/>
        <w:ind w:firstLine="618" w:firstLineChars="200"/>
        <w:rPr>
          <w:rFonts w:hint="default" w:ascii="Times New Roman" w:hAnsi="Times New Roman" w:eastAsia="仿宋_GB2312" w:cs="Times New Roman"/>
          <w:sz w:val="32"/>
          <w:szCs w:val="30"/>
          <w:lang w:val="en-US" w:eastAsia="zh-CN"/>
        </w:rPr>
      </w:pPr>
      <w:r>
        <w:rPr>
          <w:rFonts w:hint="default" w:ascii="Times New Roman" w:hAnsi="Times New Roman" w:eastAsia="仿宋_GB2312" w:cs="Times New Roman"/>
          <w:sz w:val="32"/>
          <w:szCs w:val="30"/>
          <w:lang w:val="en-US" w:eastAsia="zh-CN"/>
        </w:rPr>
        <w:t>截至2025年12月31日，和龙市统计局共有车辆0辆；</w:t>
      </w:r>
      <w:r>
        <w:rPr>
          <w:rFonts w:hint="default" w:ascii="Times New Roman" w:hAnsi="Times New Roman" w:eastAsia="仿宋_GB2312" w:cs="Times New Roman"/>
          <w:sz w:val="32"/>
          <w:szCs w:val="30"/>
          <w:highlight w:val="none"/>
        </w:rPr>
        <w:t>其中，</w:t>
      </w:r>
      <w:r>
        <w:rPr>
          <w:rFonts w:hint="default" w:ascii="Times New Roman" w:hAnsi="Times New Roman" w:eastAsia="仿宋_GB2312" w:cs="Times New Roman"/>
          <w:kern w:val="0"/>
          <w:sz w:val="32"/>
          <w:szCs w:val="32"/>
          <w:highlight w:val="none"/>
        </w:rPr>
        <w:t>副部（省）级及以上领导用车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辆、主要负责人用车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辆、机要通信用车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辆、应急保障用车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辆、执法执勤用车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辆、特种专业技术用车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辆、离退休干部用车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辆、其他用车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w:t>
      </w:r>
      <w:r>
        <w:rPr>
          <w:rFonts w:hint="default" w:ascii="Times New Roman" w:hAnsi="Times New Roman" w:eastAsia="仿宋_GB2312" w:cs="Times New Roman"/>
          <w:sz w:val="32"/>
          <w:szCs w:val="30"/>
          <w:lang w:val="en-US" w:eastAsia="zh-CN"/>
        </w:rPr>
        <w:t>单位价值100万元（含）以上设备（不含车辆）0台（套）。</w:t>
      </w:r>
    </w:p>
    <w:p w14:paraId="26DC54ED">
      <w:pPr>
        <w:keepNext w:val="0"/>
        <w:keepLines w:val="0"/>
        <w:pageBreakBefore w:val="0"/>
        <w:widowControl w:val="0"/>
        <w:kinsoku/>
        <w:wordWrap/>
        <w:overflowPunct/>
        <w:topLinePunct w:val="0"/>
        <w:autoSpaceDE/>
        <w:autoSpaceDN/>
        <w:bidi w:val="0"/>
        <w:adjustRightInd/>
        <w:snapToGrid/>
        <w:spacing w:line="550" w:lineRule="exact"/>
        <w:ind w:firstLine="618" w:firstLineChars="200"/>
        <w:textAlignment w:val="auto"/>
        <w:rPr>
          <w:rFonts w:hint="default" w:ascii="Times New Roman" w:hAnsi="Times New Roman" w:eastAsia="仿宋_GB2312" w:cs="Times New Roman"/>
          <w:sz w:val="32"/>
          <w:szCs w:val="30"/>
          <w:lang w:val="en-US" w:eastAsia="zh-CN"/>
        </w:rPr>
      </w:pPr>
    </w:p>
    <w:p w14:paraId="3940622D">
      <w:pPr>
        <w:jc w:val="center"/>
        <w:rPr>
          <w:rFonts w:hint="default" w:ascii="Times New Roman" w:hAnsi="Times New Roman" w:eastAsia="方正小标宋简体" w:cs="Times New Roman"/>
          <w:sz w:val="44"/>
        </w:rPr>
      </w:pPr>
    </w:p>
    <w:p w14:paraId="22575A05">
      <w:pPr>
        <w:jc w:val="center"/>
        <w:rPr>
          <w:rFonts w:hint="default" w:ascii="Times New Roman" w:hAnsi="Times New Roman" w:eastAsia="方正小标宋简体" w:cs="Times New Roman"/>
          <w:sz w:val="44"/>
        </w:rPr>
      </w:pPr>
    </w:p>
    <w:p w14:paraId="02B5B4D5">
      <w:pPr>
        <w:jc w:val="center"/>
        <w:rPr>
          <w:rFonts w:hint="default" w:ascii="Times New Roman" w:hAnsi="Times New Roman" w:eastAsia="方正小标宋简体" w:cs="Times New Roman"/>
          <w:sz w:val="44"/>
        </w:rPr>
      </w:pPr>
    </w:p>
    <w:p w14:paraId="15C25E59">
      <w:pPr>
        <w:jc w:val="center"/>
        <w:rPr>
          <w:rFonts w:hint="default" w:ascii="Times New Roman" w:hAnsi="Times New Roman" w:eastAsia="方正小标宋简体" w:cs="Times New Roman"/>
          <w:sz w:val="44"/>
        </w:rPr>
      </w:pPr>
    </w:p>
    <w:p w14:paraId="0983A381">
      <w:pPr>
        <w:jc w:val="center"/>
        <w:rPr>
          <w:rFonts w:hint="default" w:ascii="Times New Roman" w:hAnsi="Times New Roman" w:eastAsia="方正小标宋简体" w:cs="Times New Roman"/>
          <w:sz w:val="44"/>
        </w:rPr>
      </w:pPr>
    </w:p>
    <w:p w14:paraId="0B1F5EA3">
      <w:pPr>
        <w:jc w:val="center"/>
        <w:rPr>
          <w:rFonts w:hint="default" w:ascii="Times New Roman" w:hAnsi="Times New Roman" w:eastAsia="方正小标宋简体" w:cs="Times New Roman"/>
          <w:sz w:val="44"/>
        </w:rPr>
      </w:pPr>
    </w:p>
    <w:p w14:paraId="26391CD2">
      <w:pPr>
        <w:jc w:val="center"/>
        <w:rPr>
          <w:rFonts w:hint="default" w:ascii="Times New Roman" w:hAnsi="Times New Roman" w:eastAsia="方正小标宋简体" w:cs="Times New Roman"/>
          <w:sz w:val="44"/>
        </w:rPr>
      </w:pPr>
    </w:p>
    <w:p w14:paraId="7DF59A8E">
      <w:pPr>
        <w:jc w:val="center"/>
        <w:rPr>
          <w:rFonts w:hint="default" w:ascii="Times New Roman" w:hAnsi="Times New Roman" w:eastAsia="方正小标宋简体" w:cs="Times New Roman"/>
          <w:sz w:val="44"/>
        </w:rPr>
      </w:pPr>
      <w:r>
        <w:rPr>
          <w:rFonts w:hint="default" w:ascii="Times New Roman" w:hAnsi="Times New Roman" w:eastAsia="方正小标宋简体" w:cs="Times New Roman"/>
          <w:sz w:val="44"/>
        </w:rPr>
        <w:t>第四部分  名词解释</w:t>
      </w:r>
    </w:p>
    <w:p w14:paraId="34577A76">
      <w:pPr>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eastAsia="仿宋" w:cs="Times New Roman"/>
          <w:sz w:val="32"/>
        </w:rPr>
      </w:pPr>
    </w:p>
    <w:p w14:paraId="1F234DD9">
      <w:pPr>
        <w:spacing w:line="560" w:lineRule="exact"/>
        <w:ind w:firstLine="618" w:firstLineChars="200"/>
        <w:rPr>
          <w:rFonts w:hint="eastAsia" w:eastAsia="仿宋_GB2312"/>
          <w:sz w:val="32"/>
        </w:rPr>
      </w:pPr>
      <w:r>
        <w:rPr>
          <w:rFonts w:hint="eastAsia" w:eastAsia="黑体" w:cs="黑体"/>
          <w:sz w:val="32"/>
        </w:rPr>
        <w:t>一、财政拨款收入</w:t>
      </w:r>
      <w:r>
        <w:rPr>
          <w:rFonts w:hint="eastAsia" w:eastAsia="仿宋_GB2312"/>
          <w:b/>
          <w:bCs/>
          <w:sz w:val="32"/>
        </w:rPr>
        <w:t>：</w:t>
      </w:r>
      <w:r>
        <w:rPr>
          <w:rFonts w:hint="eastAsia" w:eastAsia="仿宋_GB2312"/>
          <w:sz w:val="32"/>
        </w:rPr>
        <w:t>指单位从同级财政</w:t>
      </w:r>
      <w:r>
        <w:rPr>
          <w:rFonts w:hint="eastAsia" w:eastAsia="仿宋_GB2312"/>
          <w:sz w:val="32"/>
          <w:lang w:eastAsia="zh-CN"/>
        </w:rPr>
        <w:t>单位</w:t>
      </w:r>
      <w:r>
        <w:rPr>
          <w:rFonts w:hint="eastAsia" w:eastAsia="仿宋_GB2312"/>
          <w:sz w:val="32"/>
        </w:rPr>
        <w:t>取得的财政预算资金。</w:t>
      </w:r>
    </w:p>
    <w:p w14:paraId="549B50D4">
      <w:pPr>
        <w:spacing w:line="560" w:lineRule="exact"/>
        <w:ind w:firstLine="618" w:firstLineChars="200"/>
        <w:rPr>
          <w:rFonts w:hint="eastAsia" w:eastAsia="仿宋_GB2312"/>
          <w:sz w:val="32"/>
        </w:rPr>
      </w:pPr>
      <w:r>
        <w:rPr>
          <w:rFonts w:hint="eastAsia" w:eastAsia="黑体" w:cs="黑体"/>
          <w:sz w:val="32"/>
        </w:rPr>
        <w:t>二、上级补助收入</w:t>
      </w:r>
      <w:r>
        <w:rPr>
          <w:rFonts w:hint="eastAsia" w:eastAsia="仿宋_GB2312"/>
          <w:b/>
          <w:bCs/>
          <w:sz w:val="32"/>
        </w:rPr>
        <w:t>：</w:t>
      </w:r>
      <w:r>
        <w:rPr>
          <w:rFonts w:hint="eastAsia" w:eastAsia="仿宋_GB2312"/>
          <w:sz w:val="32"/>
        </w:rPr>
        <w:t>指从主管</w:t>
      </w:r>
      <w:r>
        <w:rPr>
          <w:rFonts w:hint="eastAsia" w:eastAsia="仿宋_GB2312"/>
          <w:sz w:val="32"/>
          <w:lang w:eastAsia="zh-CN"/>
        </w:rPr>
        <w:t>单位</w:t>
      </w:r>
      <w:r>
        <w:rPr>
          <w:rFonts w:hint="eastAsia" w:eastAsia="仿宋_GB2312"/>
          <w:sz w:val="32"/>
        </w:rPr>
        <w:t>或上级单位取得的非财政补助收入。</w:t>
      </w:r>
    </w:p>
    <w:p w14:paraId="04046DF4">
      <w:pPr>
        <w:spacing w:line="560" w:lineRule="exact"/>
        <w:ind w:firstLine="618" w:firstLineChars="200"/>
        <w:rPr>
          <w:rFonts w:hint="eastAsia" w:eastAsia="仿宋_GB2312"/>
          <w:sz w:val="32"/>
        </w:rPr>
      </w:pPr>
      <w:r>
        <w:rPr>
          <w:rFonts w:hint="eastAsia" w:eastAsia="黑体" w:cs="黑体"/>
          <w:sz w:val="32"/>
        </w:rPr>
        <w:t>三、事业收入</w:t>
      </w:r>
      <w:r>
        <w:rPr>
          <w:rFonts w:hint="eastAsia" w:eastAsia="仿宋_GB2312"/>
          <w:b/>
          <w:bCs/>
          <w:sz w:val="32"/>
        </w:rPr>
        <w:t>：</w:t>
      </w:r>
      <w:r>
        <w:rPr>
          <w:rFonts w:hint="eastAsia" w:eastAsia="仿宋_GB2312"/>
          <w:sz w:val="32"/>
        </w:rPr>
        <w:t>指事业单位开展专业业务活动及辅助活动取得的收入。</w:t>
      </w:r>
    </w:p>
    <w:p w14:paraId="42EF117E">
      <w:pPr>
        <w:spacing w:line="560" w:lineRule="exact"/>
        <w:ind w:firstLine="618" w:firstLineChars="200"/>
        <w:rPr>
          <w:rFonts w:hint="eastAsia" w:eastAsia="仿宋_GB2312"/>
          <w:sz w:val="32"/>
        </w:rPr>
      </w:pPr>
      <w:r>
        <w:rPr>
          <w:rFonts w:hint="eastAsia" w:eastAsia="黑体" w:cs="黑体"/>
          <w:sz w:val="32"/>
        </w:rPr>
        <w:t>四、经营收入：</w:t>
      </w:r>
      <w:r>
        <w:rPr>
          <w:rFonts w:hint="eastAsia" w:eastAsia="仿宋_GB2312"/>
          <w:sz w:val="32"/>
        </w:rPr>
        <w:t>指事业单位在专业业务活动及其辅助活动之外开展非独立核算经营活动取得的收入。</w:t>
      </w:r>
    </w:p>
    <w:p w14:paraId="56ADB17A">
      <w:pPr>
        <w:autoSpaceDN w:val="0"/>
        <w:spacing w:line="560" w:lineRule="exact"/>
        <w:ind w:firstLine="618" w:firstLineChars="200"/>
        <w:rPr>
          <w:rFonts w:hint="eastAsia" w:eastAsia="仿宋_GB2312"/>
          <w:sz w:val="32"/>
        </w:rPr>
      </w:pPr>
      <w:r>
        <w:rPr>
          <w:rFonts w:hint="eastAsia" w:eastAsia="黑体" w:cs="黑体"/>
          <w:sz w:val="32"/>
        </w:rPr>
        <w:t>五、附属单位上缴收入：</w:t>
      </w:r>
      <w:r>
        <w:rPr>
          <w:rFonts w:hint="eastAsia" w:eastAsia="仿宋_GB2312"/>
          <w:sz w:val="32"/>
        </w:rPr>
        <w:t>指事业单位附属独立核算单位按照有关规定上缴的收入。</w:t>
      </w:r>
    </w:p>
    <w:p w14:paraId="031EC288">
      <w:pPr>
        <w:autoSpaceDN w:val="0"/>
        <w:spacing w:line="560" w:lineRule="exact"/>
        <w:ind w:firstLine="618" w:firstLineChars="200"/>
        <w:rPr>
          <w:rFonts w:hint="eastAsia" w:eastAsia="仿宋_GB2312"/>
          <w:sz w:val="32"/>
        </w:rPr>
      </w:pPr>
      <w:r>
        <w:rPr>
          <w:rFonts w:hint="eastAsia" w:eastAsia="黑体" w:cs="黑体"/>
          <w:sz w:val="32"/>
        </w:rPr>
        <w:t>六、其他收入：</w:t>
      </w:r>
      <w:r>
        <w:rPr>
          <w:rFonts w:hint="eastAsia" w:eastAsia="仿宋_GB2312"/>
          <w:sz w:val="32"/>
        </w:rPr>
        <w:t>指除上述收入以外的各项收入。包括未纳入财政预算或财政专户管理的投资收益、银行存款利息收入、租金收入、捐赠收入、现金盘盈收入、存货盘盈收入、收回已核销应收及预付款项、无法偿付的应付及预收款项，从省级财政以外的同级单位取得的经费、从省财政以外其他财政取得的经费，以及行政单位收到的财政专户管理资金等。</w:t>
      </w:r>
    </w:p>
    <w:p w14:paraId="522CA4D6">
      <w:pPr>
        <w:autoSpaceDN w:val="0"/>
        <w:spacing w:line="560" w:lineRule="exact"/>
        <w:ind w:firstLine="618" w:firstLineChars="200"/>
        <w:rPr>
          <w:rFonts w:hint="eastAsia" w:eastAsia="仿宋_GB2312"/>
          <w:sz w:val="32"/>
        </w:rPr>
      </w:pPr>
      <w:r>
        <w:rPr>
          <w:rFonts w:hint="eastAsia" w:eastAsia="黑体" w:cs="黑体"/>
          <w:color w:val="auto"/>
          <w:sz w:val="32"/>
        </w:rPr>
        <w:t>七、使用非财政拨款结余（含专用结余）：</w:t>
      </w:r>
      <w:r>
        <w:rPr>
          <w:rFonts w:hint="eastAsia" w:eastAsia="仿宋_GB2312"/>
          <w:color w:val="auto"/>
          <w:sz w:val="32"/>
        </w:rPr>
        <w:t>指</w:t>
      </w:r>
      <w:r>
        <w:rPr>
          <w:rFonts w:hint="eastAsia" w:eastAsia="仿宋_GB2312"/>
          <w:sz w:val="32"/>
        </w:rPr>
        <w:t>事业单位按照预算管理要求使用非财政拨款结余弥补收支差额的金额，以及使用专用结余安排支出的金额。</w:t>
      </w:r>
    </w:p>
    <w:p w14:paraId="3B504EEB">
      <w:pPr>
        <w:autoSpaceDN w:val="0"/>
        <w:spacing w:line="560" w:lineRule="exact"/>
        <w:ind w:firstLine="618" w:firstLineChars="200"/>
        <w:rPr>
          <w:rFonts w:hint="eastAsia" w:eastAsia="仿宋_GB2312"/>
          <w:sz w:val="32"/>
        </w:rPr>
      </w:pPr>
      <w:r>
        <w:rPr>
          <w:rFonts w:hint="eastAsia" w:eastAsia="黑体" w:cs="黑体"/>
          <w:sz w:val="32"/>
        </w:rPr>
        <w:t>八、年初结转和结余：</w:t>
      </w:r>
      <w:r>
        <w:rPr>
          <w:rFonts w:hint="eastAsia" w:eastAsia="仿宋_GB2312"/>
          <w:sz w:val="32"/>
        </w:rPr>
        <w:t>指单位以前年度未支出、结转到本年继续按有关规定用途使用的资金，或项目完成等产生的结余资金。</w:t>
      </w:r>
    </w:p>
    <w:p w14:paraId="177163DF">
      <w:pPr>
        <w:autoSpaceDN w:val="0"/>
        <w:spacing w:line="560" w:lineRule="exact"/>
        <w:ind w:firstLine="618" w:firstLineChars="200"/>
        <w:rPr>
          <w:rFonts w:hint="eastAsia" w:eastAsia="仿宋_GB2312"/>
          <w:sz w:val="32"/>
        </w:rPr>
      </w:pPr>
      <w:r>
        <w:rPr>
          <w:rFonts w:hint="eastAsia" w:eastAsia="黑体" w:cs="黑体"/>
          <w:color w:val="auto"/>
          <w:sz w:val="32"/>
        </w:rPr>
        <w:t>九、结余分配：</w:t>
      </w:r>
      <w:r>
        <w:rPr>
          <w:rFonts w:hint="eastAsia" w:eastAsia="仿宋_GB2312"/>
          <w:color w:val="auto"/>
          <w:sz w:val="32"/>
        </w:rPr>
        <w:t>指</w:t>
      </w:r>
      <w:r>
        <w:rPr>
          <w:rFonts w:hint="eastAsia" w:eastAsia="仿宋_GB2312"/>
          <w:sz w:val="32"/>
        </w:rPr>
        <w:t>事业单位按照会计制度规定缴纳的所得税、提取的专用结余以及转入非财政拨款结余的金额等。</w:t>
      </w:r>
    </w:p>
    <w:p w14:paraId="2D7DFD59">
      <w:pPr>
        <w:autoSpaceDN w:val="0"/>
        <w:spacing w:line="560" w:lineRule="exact"/>
        <w:ind w:firstLine="618" w:firstLineChars="200"/>
        <w:rPr>
          <w:rFonts w:hint="eastAsia" w:eastAsia="仿宋_GB2312"/>
          <w:sz w:val="32"/>
        </w:rPr>
      </w:pPr>
      <w:r>
        <w:rPr>
          <w:rFonts w:hint="eastAsia" w:eastAsia="黑体" w:cs="黑体"/>
          <w:sz w:val="32"/>
        </w:rPr>
        <w:t>十、年末结转和结余：</w:t>
      </w:r>
      <w:r>
        <w:rPr>
          <w:rFonts w:hint="eastAsia" w:eastAsia="仿宋_GB2312"/>
          <w:sz w:val="32"/>
        </w:rPr>
        <w:t>指单位按有关规定结转到下年或以后年度继续使用的资金，或项目完成等产生的结余资金。</w:t>
      </w:r>
    </w:p>
    <w:p w14:paraId="6334B78A">
      <w:pPr>
        <w:autoSpaceDN w:val="0"/>
        <w:spacing w:line="560" w:lineRule="exact"/>
        <w:ind w:firstLine="618" w:firstLineChars="200"/>
        <w:rPr>
          <w:rFonts w:hint="eastAsia" w:eastAsia="仿宋_GB2312"/>
          <w:sz w:val="32"/>
        </w:rPr>
      </w:pPr>
      <w:r>
        <w:rPr>
          <w:rFonts w:hint="eastAsia" w:eastAsia="黑体" w:cs="黑体"/>
          <w:sz w:val="32"/>
        </w:rPr>
        <w:t>十一、基本支出：</w:t>
      </w:r>
      <w:r>
        <w:rPr>
          <w:rFonts w:hint="eastAsia" w:eastAsia="仿宋_GB2312"/>
          <w:sz w:val="32"/>
        </w:rPr>
        <w:t>指为保障机构正常运转、完成日常工作任务而发生的人员支出和公用支出。</w:t>
      </w:r>
    </w:p>
    <w:p w14:paraId="5C84482F">
      <w:pPr>
        <w:autoSpaceDN w:val="0"/>
        <w:spacing w:line="560" w:lineRule="exact"/>
        <w:ind w:firstLine="618" w:firstLineChars="200"/>
        <w:rPr>
          <w:rFonts w:hint="eastAsia" w:eastAsia="仿宋_GB2312"/>
          <w:sz w:val="32"/>
        </w:rPr>
      </w:pPr>
      <w:r>
        <w:rPr>
          <w:rFonts w:hint="eastAsia" w:eastAsia="黑体" w:cs="黑体"/>
          <w:sz w:val="32"/>
        </w:rPr>
        <w:t>十二、项目支出：</w:t>
      </w:r>
      <w:r>
        <w:rPr>
          <w:rFonts w:hint="eastAsia" w:eastAsia="仿宋_GB2312"/>
          <w:sz w:val="32"/>
        </w:rPr>
        <w:t>指在基本支出之外为完成特定行政任务或事业发展目标所发生的支出。</w:t>
      </w:r>
    </w:p>
    <w:p w14:paraId="5F16F7EE">
      <w:pPr>
        <w:autoSpaceDN w:val="0"/>
        <w:spacing w:line="560" w:lineRule="exact"/>
        <w:ind w:firstLine="618" w:firstLineChars="200"/>
        <w:rPr>
          <w:rFonts w:hint="eastAsia" w:eastAsia="仿宋_GB2312"/>
          <w:sz w:val="32"/>
        </w:rPr>
      </w:pPr>
      <w:r>
        <w:rPr>
          <w:rFonts w:hint="eastAsia" w:eastAsia="黑体" w:cs="黑体"/>
          <w:sz w:val="32"/>
        </w:rPr>
        <w:t>十三、经营支出：</w:t>
      </w:r>
      <w:r>
        <w:rPr>
          <w:rFonts w:hint="eastAsia" w:eastAsia="仿宋_GB2312"/>
          <w:sz w:val="32"/>
        </w:rPr>
        <w:t>指事业单位在专业业务活动及其辅助活动之外开展非独立核算经营活动发生的支出。</w:t>
      </w:r>
    </w:p>
    <w:p w14:paraId="36F04EB2">
      <w:pPr>
        <w:autoSpaceDN w:val="0"/>
        <w:spacing w:line="560" w:lineRule="exact"/>
        <w:ind w:firstLine="618" w:firstLineChars="200"/>
        <w:rPr>
          <w:rFonts w:hint="eastAsia" w:eastAsia="仿宋_GB2312"/>
          <w:sz w:val="32"/>
        </w:rPr>
      </w:pPr>
      <w:r>
        <w:rPr>
          <w:rFonts w:hint="eastAsia" w:eastAsia="黑体" w:cs="黑体"/>
          <w:sz w:val="32"/>
        </w:rPr>
        <w:t>十四、上缴上级支出：</w:t>
      </w:r>
      <w:r>
        <w:rPr>
          <w:rFonts w:hint="eastAsia" w:eastAsia="仿宋_GB2312"/>
          <w:sz w:val="32"/>
        </w:rPr>
        <w:t>指事业单位按照有关规定上缴上级单位的支出。</w:t>
      </w:r>
    </w:p>
    <w:p w14:paraId="2778A40E">
      <w:pPr>
        <w:autoSpaceDN w:val="0"/>
        <w:spacing w:line="560" w:lineRule="exact"/>
        <w:ind w:firstLine="618" w:firstLineChars="200"/>
        <w:rPr>
          <w:rFonts w:hint="eastAsia" w:ascii="Times New Roman" w:hAnsi="Times New Roman" w:eastAsia="仿宋_GB2312" w:cs="Times New Roman"/>
          <w:sz w:val="32"/>
        </w:rPr>
      </w:pPr>
      <w:r>
        <w:rPr>
          <w:rFonts w:hint="eastAsia" w:eastAsia="黑体" w:cs="黑体"/>
          <w:sz w:val="32"/>
        </w:rPr>
        <w:t>十五、对附属单位补助支出：</w:t>
      </w:r>
      <w:r>
        <w:rPr>
          <w:rFonts w:hint="eastAsia" w:ascii="Times New Roman" w:hAnsi="Times New Roman" w:eastAsia="仿宋_GB2312" w:cs="Times New Roman"/>
          <w:sz w:val="32"/>
        </w:rPr>
        <w:t>指事业单位用财政补助收入之外的收入，对附属单位补助发生的支出。</w:t>
      </w:r>
    </w:p>
    <w:p w14:paraId="52C1F23C">
      <w:pPr>
        <w:keepNext w:val="0"/>
        <w:keepLines w:val="0"/>
        <w:pageBreakBefore w:val="0"/>
        <w:widowControl w:val="0"/>
        <w:numPr>
          <w:ilvl w:val="0"/>
          <w:numId w:val="0"/>
        </w:numPr>
        <w:kinsoku/>
        <w:wordWrap/>
        <w:overflowPunct/>
        <w:topLinePunct w:val="0"/>
        <w:autoSpaceDE/>
        <w:autoSpaceDN w:val="0"/>
        <w:bidi w:val="0"/>
        <w:adjustRightInd/>
        <w:snapToGrid/>
        <w:spacing w:line="600" w:lineRule="exact"/>
        <w:ind w:leftChars="0" w:firstLine="618" w:firstLineChars="200"/>
        <w:textAlignment w:val="auto"/>
        <w:rPr>
          <w:rFonts w:ascii="仿宋" w:hAnsi="仿宋" w:eastAsia="仿宋"/>
          <w:color w:val="121212"/>
          <w:sz w:val="32"/>
        </w:rPr>
      </w:pPr>
      <w:r>
        <w:rPr>
          <w:rFonts w:hint="eastAsia" w:ascii="Times New Roman" w:hAnsi="Times New Roman" w:eastAsia="黑体" w:cs="黑体"/>
          <w:sz w:val="32"/>
          <w:lang w:eastAsia="zh-CN"/>
        </w:rPr>
        <w:t>十</w:t>
      </w:r>
      <w:r>
        <w:rPr>
          <w:rFonts w:hint="eastAsia" w:ascii="Times New Roman" w:hAnsi="Times New Roman" w:eastAsia="黑体" w:cs="黑体"/>
          <w:sz w:val="32"/>
          <w:lang w:val="en-US" w:eastAsia="zh-CN"/>
        </w:rPr>
        <w:t>六</w:t>
      </w:r>
      <w:r>
        <w:rPr>
          <w:rFonts w:hint="eastAsia" w:ascii="Times New Roman" w:hAnsi="Times New Roman" w:eastAsia="黑体" w:cs="黑体"/>
          <w:sz w:val="32"/>
          <w:lang w:eastAsia="zh-CN"/>
        </w:rPr>
        <w:t>、</w:t>
      </w:r>
      <w:r>
        <w:rPr>
          <w:rFonts w:hint="eastAsia" w:ascii="Times New Roman" w:hAnsi="Times New Roman" w:eastAsia="黑体" w:cs="黑体"/>
          <w:sz w:val="32"/>
        </w:rPr>
        <w:t>“三公”经费：</w:t>
      </w:r>
      <w:r>
        <w:rPr>
          <w:rFonts w:hint="eastAsia" w:ascii="Times New Roman" w:hAnsi="Times New Roman" w:eastAsia="仿宋_GB2312" w:cs="Times New Roman"/>
          <w:sz w:val="32"/>
        </w:rPr>
        <w:t>纳入省级财政预决算管理的“三公”经费，是指</w:t>
      </w:r>
      <w:r>
        <w:rPr>
          <w:rFonts w:hint="eastAsia" w:ascii="Times New Roman" w:hAnsi="Times New Roman" w:eastAsia="仿宋_GB2312" w:cs="Times New Roman"/>
          <w:sz w:val="32"/>
          <w:lang w:eastAsia="zh-CN"/>
        </w:rPr>
        <w:t>延吉市统计局</w:t>
      </w:r>
      <w:r>
        <w:rPr>
          <w:rFonts w:hint="eastAsia" w:ascii="Times New Roman" w:hAnsi="Times New Roman" w:eastAsia="仿宋_GB2312" w:cs="Times New Roman"/>
          <w:sz w:val="32"/>
        </w:rPr>
        <w:t>用财政拨款安排的因公出国（境）费、公务用车购置及运行费和公务接待费。是党政机关维持运转或完成特定工作任务所开支的相关支出，是政府行政开支的一部分。其中，因公出国（境）费反映公务出国（境）的国际旅费、国外城市间交通费、住宿费、伙食费、</w:t>
      </w:r>
      <w:r>
        <w:rPr>
          <w:rFonts w:hint="eastAsia" w:ascii="Times New Roman" w:hAnsi="Times New Roman" w:eastAsia="仿宋_GB2312" w:cs="Times New Roman"/>
          <w:color w:val="121212"/>
          <w:sz w:val="32"/>
        </w:rPr>
        <w:t>培训费等支出；公务用车购置及运行费反映单位公务用车车辆购置支出（含车辆购置税）及燃料费、维修费、过桥过路费、保险费等支出；公务接待费反映单位按规定开支的各类公务接待（含外宾接待）支出。</w:t>
      </w:r>
    </w:p>
    <w:p w14:paraId="0FA1E436">
      <w:pPr>
        <w:keepNext w:val="0"/>
        <w:keepLines w:val="0"/>
        <w:pageBreakBefore w:val="0"/>
        <w:widowControl w:val="0"/>
        <w:kinsoku/>
        <w:wordWrap/>
        <w:overflowPunct/>
        <w:topLinePunct w:val="0"/>
        <w:autoSpaceDE/>
        <w:autoSpaceDN w:val="0"/>
        <w:bidi w:val="0"/>
        <w:adjustRightInd/>
        <w:snapToGrid/>
        <w:spacing w:line="600" w:lineRule="exact"/>
        <w:ind w:firstLine="618" w:firstLineChars="200"/>
        <w:textAlignment w:val="auto"/>
        <w:rPr>
          <w:rFonts w:hint="eastAsia" w:ascii="Times New Roman" w:hAnsi="Times New Roman" w:eastAsia="仿宋_GB2312" w:cs="Times New Roman"/>
          <w:sz w:val="32"/>
        </w:rPr>
      </w:pPr>
      <w:r>
        <w:rPr>
          <w:rFonts w:hint="eastAsia" w:ascii="Times New Roman" w:hAnsi="Times New Roman" w:eastAsia="黑体" w:cs="黑体"/>
          <w:sz w:val="32"/>
          <w:lang w:eastAsia="zh-CN"/>
        </w:rPr>
        <w:t>十</w:t>
      </w:r>
      <w:r>
        <w:rPr>
          <w:rFonts w:hint="eastAsia" w:ascii="Times New Roman" w:hAnsi="Times New Roman" w:eastAsia="黑体" w:cs="黑体"/>
          <w:sz w:val="32"/>
          <w:lang w:val="en-US" w:eastAsia="zh-CN"/>
        </w:rPr>
        <w:t>七</w:t>
      </w:r>
      <w:r>
        <w:rPr>
          <w:rFonts w:hint="eastAsia" w:ascii="Times New Roman" w:hAnsi="Times New Roman" w:eastAsia="黑体" w:cs="黑体"/>
          <w:sz w:val="32"/>
          <w:lang w:eastAsia="zh-CN"/>
        </w:rPr>
        <w:t>、机关运行经费：</w:t>
      </w:r>
      <w:r>
        <w:rPr>
          <w:rFonts w:hint="eastAsia" w:ascii="Times New Roman" w:hAnsi="Times New Roman" w:eastAsia="仿宋_GB2312" w:cs="Times New Roman"/>
          <w:sz w:val="32"/>
          <w:lang w:eastAsia="zh-CN"/>
        </w:rPr>
        <w:t>指</w:t>
      </w:r>
      <w:r>
        <w:rPr>
          <w:rFonts w:hint="eastAsia" w:ascii="Times New Roman" w:hAnsi="Times New Roman" w:eastAsia="仿宋_GB2312" w:cs="Times New Roman"/>
          <w:sz w:val="32"/>
        </w:rPr>
        <w:t>为保障行政单位（含参照公务员法管理的事业单位）运行用于购买货物和服务的各项资金，包括办公及印刷费、邮电费、差旅费、会议费、福利费、日常</w:t>
      </w:r>
      <w:r>
        <w:rPr>
          <w:rFonts w:hint="eastAsia" w:ascii="Times New Roman" w:hAnsi="Times New Roman" w:eastAsia="仿宋_GB2312" w:cs="Times New Roman"/>
          <w:color w:val="121212"/>
          <w:sz w:val="32"/>
        </w:rPr>
        <w:t>维修费、专用材料及一般设备购置费、办公用房水电费、办公用房取暖费</w:t>
      </w:r>
      <w:r>
        <w:rPr>
          <w:rFonts w:hint="eastAsia" w:ascii="Times New Roman" w:hAnsi="Times New Roman" w:eastAsia="仿宋_GB2312" w:cs="Times New Roman"/>
          <w:color w:val="121212"/>
          <w:sz w:val="32"/>
          <w:lang w:eastAsia="zh-CN"/>
        </w:rPr>
        <w:t>、办公用房物业管理费</w:t>
      </w:r>
      <w:r>
        <w:rPr>
          <w:rFonts w:hint="eastAsia" w:ascii="Times New Roman" w:hAnsi="Times New Roman" w:eastAsia="仿宋_GB2312" w:cs="Times New Roman"/>
          <w:color w:val="121212"/>
          <w:sz w:val="32"/>
        </w:rPr>
        <w:t>以及其他费用。</w:t>
      </w:r>
    </w:p>
    <w:p w14:paraId="0E20078F">
      <w:pPr>
        <w:pStyle w:val="95"/>
        <w:keepNext w:val="0"/>
        <w:keepLines w:val="0"/>
        <w:pageBreakBefore w:val="0"/>
        <w:widowControl w:val="0"/>
        <w:kinsoku/>
        <w:wordWrap/>
        <w:overflowPunct/>
        <w:topLinePunct w:val="0"/>
        <w:autoSpaceDE/>
        <w:bidi w:val="0"/>
        <w:adjustRightInd/>
        <w:snapToGrid/>
        <w:spacing w:line="600" w:lineRule="exact"/>
        <w:ind w:firstLine="643"/>
        <w:textAlignment w:val="auto"/>
        <w:rPr>
          <w:rFonts w:hint="default" w:ascii="Times New Roman" w:hAnsi="Times New Roman" w:eastAsia="仿宋_GB2312" w:cs="Times New Roman"/>
          <w:color w:val="121212"/>
          <w:kern w:val="2"/>
          <w:sz w:val="32"/>
          <w:lang w:val="en-US" w:eastAsia="zh-CN" w:bidi="ar-SA"/>
        </w:rPr>
      </w:pPr>
      <w:r>
        <w:rPr>
          <w:rFonts w:hint="default" w:ascii="黑体" w:hAnsi="黑体" w:eastAsia="黑体" w:cs="黑体"/>
          <w:b w:val="0"/>
          <w:bCs w:val="0"/>
          <w:kern w:val="2"/>
          <w:sz w:val="32"/>
          <w:szCs w:val="20"/>
          <w:highlight w:val="none"/>
          <w:lang w:val="en-US" w:eastAsia="zh-CN" w:bidi="ar-SA"/>
        </w:rPr>
        <w:t>十</w:t>
      </w:r>
      <w:r>
        <w:rPr>
          <w:rFonts w:hint="eastAsia" w:ascii="黑体" w:hAnsi="黑体" w:eastAsia="黑体" w:cs="黑体"/>
          <w:b w:val="0"/>
          <w:bCs w:val="0"/>
          <w:kern w:val="2"/>
          <w:sz w:val="32"/>
          <w:szCs w:val="20"/>
          <w:highlight w:val="none"/>
          <w:lang w:val="en-US" w:eastAsia="zh-CN" w:bidi="ar-SA"/>
        </w:rPr>
        <w:t>八</w:t>
      </w:r>
      <w:r>
        <w:rPr>
          <w:rFonts w:hint="default" w:ascii="黑体" w:hAnsi="黑体" w:eastAsia="黑体" w:cs="黑体"/>
          <w:b w:val="0"/>
          <w:bCs w:val="0"/>
          <w:kern w:val="2"/>
          <w:sz w:val="32"/>
          <w:szCs w:val="20"/>
          <w:highlight w:val="none"/>
          <w:lang w:val="en-US" w:eastAsia="zh-CN" w:bidi="ar-SA"/>
        </w:rPr>
        <w:t>、一般公共服务支出（类）统计信息事务（款）行政运行（项）：</w:t>
      </w:r>
      <w:r>
        <w:rPr>
          <w:rFonts w:hint="default" w:ascii="Times New Roman" w:hAnsi="Times New Roman" w:eastAsia="仿宋_GB2312" w:cs="Times New Roman"/>
          <w:color w:val="121212"/>
          <w:kern w:val="2"/>
          <w:sz w:val="32"/>
          <w:lang w:val="en-US" w:eastAsia="zh-CN" w:bidi="ar-SA"/>
        </w:rPr>
        <w:t>指和龙市统计局用于机构正常运行、开展日常工作的基本支出。</w:t>
      </w:r>
    </w:p>
    <w:p w14:paraId="258A8610">
      <w:pPr>
        <w:pStyle w:val="95"/>
        <w:keepNext w:val="0"/>
        <w:keepLines w:val="0"/>
        <w:pageBreakBefore w:val="0"/>
        <w:widowControl w:val="0"/>
        <w:kinsoku/>
        <w:wordWrap/>
        <w:overflowPunct/>
        <w:topLinePunct w:val="0"/>
        <w:autoSpaceDE/>
        <w:bidi w:val="0"/>
        <w:adjustRightInd/>
        <w:snapToGrid/>
        <w:spacing w:line="600" w:lineRule="exact"/>
        <w:ind w:firstLine="643"/>
        <w:textAlignment w:val="auto"/>
        <w:rPr>
          <w:rFonts w:hint="default" w:ascii="Times New Roman" w:hAnsi="Times New Roman" w:eastAsia="仿宋" w:cs="Times New Roman"/>
        </w:rPr>
      </w:pPr>
      <w:r>
        <w:rPr>
          <w:rFonts w:hint="default" w:ascii="黑体" w:hAnsi="黑体" w:eastAsia="黑体" w:cs="黑体"/>
          <w:b w:val="0"/>
          <w:bCs w:val="0"/>
          <w:kern w:val="2"/>
          <w:sz w:val="32"/>
          <w:szCs w:val="20"/>
          <w:highlight w:val="none"/>
          <w:lang w:val="en-US" w:eastAsia="zh-CN" w:bidi="ar-SA"/>
        </w:rPr>
        <w:t>十</w:t>
      </w:r>
      <w:r>
        <w:rPr>
          <w:rFonts w:hint="eastAsia" w:ascii="黑体" w:hAnsi="黑体" w:eastAsia="黑体" w:cs="黑体"/>
          <w:b w:val="0"/>
          <w:bCs w:val="0"/>
          <w:kern w:val="2"/>
          <w:sz w:val="32"/>
          <w:szCs w:val="20"/>
          <w:highlight w:val="none"/>
          <w:lang w:val="en-US" w:eastAsia="zh-CN" w:bidi="ar-SA"/>
        </w:rPr>
        <w:t>九</w:t>
      </w:r>
      <w:r>
        <w:rPr>
          <w:rFonts w:hint="default" w:ascii="黑体" w:hAnsi="黑体" w:eastAsia="黑体" w:cs="黑体"/>
          <w:b w:val="0"/>
          <w:bCs w:val="0"/>
          <w:kern w:val="2"/>
          <w:sz w:val="32"/>
          <w:szCs w:val="20"/>
          <w:highlight w:val="none"/>
          <w:lang w:val="en-US" w:eastAsia="zh-CN" w:bidi="ar-SA"/>
        </w:rPr>
        <w:t>、一般公共服务支出（类）统计信息事务（款）一般行政管理事务（项）：</w:t>
      </w:r>
      <w:r>
        <w:rPr>
          <w:rFonts w:hint="default" w:ascii="Times New Roman" w:hAnsi="Times New Roman" w:eastAsia="仿宋_GB2312" w:cs="Times New Roman"/>
          <w:color w:val="121212"/>
          <w:kern w:val="2"/>
          <w:sz w:val="32"/>
          <w:lang w:val="en-US" w:eastAsia="zh-CN" w:bidi="ar-SA"/>
        </w:rPr>
        <w:t>指和龙市统计局开展统计工作等未单独设置项级科目的其他项目支出。</w:t>
      </w:r>
    </w:p>
    <w:p w14:paraId="4ED8AD3C">
      <w:pPr>
        <w:pStyle w:val="95"/>
        <w:keepNext w:val="0"/>
        <w:keepLines w:val="0"/>
        <w:pageBreakBefore w:val="0"/>
        <w:widowControl w:val="0"/>
        <w:kinsoku/>
        <w:wordWrap/>
        <w:overflowPunct/>
        <w:topLinePunct w:val="0"/>
        <w:autoSpaceDE/>
        <w:bidi w:val="0"/>
        <w:adjustRightInd/>
        <w:snapToGrid/>
        <w:spacing w:line="600" w:lineRule="exact"/>
        <w:ind w:firstLine="643"/>
        <w:textAlignment w:val="auto"/>
        <w:rPr>
          <w:rFonts w:hint="default" w:ascii="Times New Roman" w:hAnsi="Times New Roman" w:eastAsia="仿宋" w:cs="Times New Roman"/>
        </w:rPr>
      </w:pPr>
      <w:r>
        <w:rPr>
          <w:rFonts w:hint="eastAsia" w:ascii="黑体" w:hAnsi="黑体" w:eastAsia="黑体" w:cs="黑体"/>
          <w:b w:val="0"/>
          <w:bCs w:val="0"/>
          <w:kern w:val="2"/>
          <w:sz w:val="32"/>
          <w:szCs w:val="20"/>
          <w:highlight w:val="none"/>
          <w:lang w:val="en-US" w:eastAsia="zh-CN" w:bidi="ar-SA"/>
        </w:rPr>
        <w:t>二十</w:t>
      </w:r>
      <w:r>
        <w:rPr>
          <w:rFonts w:hint="default" w:ascii="黑体" w:hAnsi="黑体" w:eastAsia="黑体" w:cs="黑体"/>
          <w:b w:val="0"/>
          <w:bCs w:val="0"/>
          <w:kern w:val="2"/>
          <w:sz w:val="32"/>
          <w:szCs w:val="20"/>
          <w:highlight w:val="none"/>
          <w:lang w:val="en-US" w:eastAsia="zh-CN" w:bidi="ar-SA"/>
        </w:rPr>
        <w:t>、社会保障和就业支出（类）行政事业单位养老支出（款）行政单位离退休（项）：</w:t>
      </w:r>
      <w:r>
        <w:rPr>
          <w:rFonts w:hint="default" w:ascii="Times New Roman" w:hAnsi="Times New Roman" w:eastAsia="仿宋_GB2312" w:cs="Times New Roman"/>
          <w:color w:val="121212"/>
          <w:kern w:val="2"/>
          <w:sz w:val="32"/>
          <w:lang w:val="en-US" w:eastAsia="zh-CN" w:bidi="ar-SA"/>
        </w:rPr>
        <w:t>指和龙市统计局开支的离退休经费。</w:t>
      </w:r>
    </w:p>
    <w:p w14:paraId="5CD2BED7">
      <w:pPr>
        <w:pStyle w:val="95"/>
        <w:keepNext w:val="0"/>
        <w:keepLines w:val="0"/>
        <w:pageBreakBefore w:val="0"/>
        <w:widowControl w:val="0"/>
        <w:kinsoku/>
        <w:wordWrap/>
        <w:overflowPunct/>
        <w:topLinePunct w:val="0"/>
        <w:autoSpaceDE/>
        <w:bidi w:val="0"/>
        <w:adjustRightInd/>
        <w:snapToGrid/>
        <w:spacing w:line="600" w:lineRule="exact"/>
        <w:ind w:firstLine="643"/>
        <w:textAlignment w:val="auto"/>
        <w:rPr>
          <w:rFonts w:hint="default" w:ascii="Times New Roman" w:hAnsi="Times New Roman" w:eastAsia="仿宋_GB2312" w:cs="Times New Roman"/>
          <w:color w:val="121212"/>
          <w:kern w:val="2"/>
          <w:sz w:val="32"/>
          <w:lang w:val="en-US" w:eastAsia="zh-CN" w:bidi="ar-SA"/>
        </w:rPr>
      </w:pPr>
      <w:r>
        <w:rPr>
          <w:rFonts w:hint="eastAsia" w:ascii="黑体" w:hAnsi="黑体" w:eastAsia="黑体" w:cs="黑体"/>
          <w:b w:val="0"/>
          <w:bCs w:val="0"/>
          <w:kern w:val="2"/>
          <w:sz w:val="32"/>
          <w:szCs w:val="20"/>
          <w:highlight w:val="none"/>
          <w:lang w:val="en-US" w:eastAsia="zh-CN" w:bidi="ar-SA"/>
        </w:rPr>
        <w:t>二十一</w:t>
      </w:r>
      <w:r>
        <w:rPr>
          <w:rFonts w:hint="default" w:ascii="黑体" w:hAnsi="黑体" w:eastAsia="黑体" w:cs="黑体"/>
          <w:b w:val="0"/>
          <w:bCs w:val="0"/>
          <w:kern w:val="2"/>
          <w:sz w:val="32"/>
          <w:szCs w:val="20"/>
          <w:highlight w:val="none"/>
          <w:lang w:val="en-US" w:eastAsia="zh-CN" w:bidi="ar-SA"/>
        </w:rPr>
        <w:t>、社会保障和就业支出（类）行政事业单位养老支出（款）机关事业单位基本养老保险缴费支出（项）：</w:t>
      </w:r>
      <w:r>
        <w:rPr>
          <w:rFonts w:hint="default" w:ascii="Times New Roman" w:hAnsi="Times New Roman" w:eastAsia="仿宋_GB2312" w:cs="Times New Roman"/>
          <w:color w:val="121212"/>
          <w:kern w:val="2"/>
          <w:sz w:val="32"/>
          <w:lang w:val="en-US" w:eastAsia="zh-CN" w:bidi="ar-SA"/>
        </w:rPr>
        <w:t>指和龙市统计局机关事业单位实施养老保险制度由单位缴纳的基本养老保险缴费支出。</w:t>
      </w:r>
    </w:p>
    <w:p w14:paraId="6CEC57BA">
      <w:pPr>
        <w:pStyle w:val="95"/>
        <w:keepNext w:val="0"/>
        <w:keepLines w:val="0"/>
        <w:pageBreakBefore w:val="0"/>
        <w:widowControl w:val="0"/>
        <w:kinsoku/>
        <w:wordWrap/>
        <w:overflowPunct/>
        <w:topLinePunct w:val="0"/>
        <w:autoSpaceDE/>
        <w:bidi w:val="0"/>
        <w:adjustRightInd/>
        <w:snapToGrid/>
        <w:spacing w:line="600" w:lineRule="exact"/>
        <w:ind w:firstLine="643"/>
        <w:textAlignment w:val="auto"/>
        <w:rPr>
          <w:rFonts w:hint="default" w:ascii="Times New Roman" w:hAnsi="Times New Roman" w:eastAsia="仿宋" w:cs="Times New Roman"/>
          <w:lang w:eastAsia="zh-CN"/>
        </w:rPr>
      </w:pPr>
      <w:r>
        <w:rPr>
          <w:rFonts w:hint="default" w:ascii="黑体" w:hAnsi="黑体" w:eastAsia="黑体" w:cs="黑体"/>
          <w:b w:val="0"/>
          <w:bCs w:val="0"/>
          <w:kern w:val="2"/>
          <w:sz w:val="32"/>
          <w:szCs w:val="20"/>
          <w:highlight w:val="none"/>
          <w:lang w:val="en-US" w:eastAsia="zh-CN" w:bidi="ar-SA"/>
        </w:rPr>
        <w:t>二十</w:t>
      </w:r>
      <w:r>
        <w:rPr>
          <w:rFonts w:hint="eastAsia" w:ascii="黑体" w:hAnsi="黑体" w:eastAsia="黑体" w:cs="黑体"/>
          <w:b w:val="0"/>
          <w:bCs w:val="0"/>
          <w:kern w:val="2"/>
          <w:sz w:val="32"/>
          <w:szCs w:val="20"/>
          <w:highlight w:val="none"/>
          <w:lang w:val="en-US" w:eastAsia="zh-CN" w:bidi="ar-SA"/>
        </w:rPr>
        <w:t>二</w:t>
      </w:r>
      <w:r>
        <w:rPr>
          <w:rFonts w:hint="default" w:ascii="黑体" w:hAnsi="黑体" w:eastAsia="黑体" w:cs="黑体"/>
          <w:b w:val="0"/>
          <w:bCs w:val="0"/>
          <w:kern w:val="2"/>
          <w:sz w:val="32"/>
          <w:szCs w:val="20"/>
          <w:highlight w:val="none"/>
          <w:lang w:val="en-US" w:eastAsia="zh-CN" w:bidi="ar-SA"/>
        </w:rPr>
        <w:t>、卫生健康支出（类）行政事业单位医疗（款）行政单位医疗（项）：</w:t>
      </w:r>
      <w:r>
        <w:rPr>
          <w:rFonts w:hint="default" w:ascii="Times New Roman" w:hAnsi="Times New Roman" w:eastAsia="仿宋_GB2312" w:cs="Times New Roman"/>
          <w:color w:val="121212"/>
          <w:kern w:val="2"/>
          <w:sz w:val="32"/>
          <w:lang w:val="en-US" w:eastAsia="zh-CN" w:bidi="ar-SA"/>
        </w:rPr>
        <w:t>指财政部门集中安排的行政单位基本医疗保险缴费经费，未参加医疗保险的行政单位的公费医疗经费，按国家规定享受离休人员、红军老战士待遇人员的医疗经费。</w:t>
      </w:r>
    </w:p>
    <w:p w14:paraId="78CCE467">
      <w:pPr>
        <w:pStyle w:val="95"/>
        <w:keepNext w:val="0"/>
        <w:keepLines w:val="0"/>
        <w:pageBreakBefore w:val="0"/>
        <w:widowControl w:val="0"/>
        <w:kinsoku/>
        <w:wordWrap/>
        <w:overflowPunct/>
        <w:topLinePunct w:val="0"/>
        <w:autoSpaceDE/>
        <w:bidi w:val="0"/>
        <w:adjustRightInd/>
        <w:snapToGrid/>
        <w:spacing w:line="600" w:lineRule="exact"/>
        <w:ind w:firstLine="643"/>
        <w:textAlignment w:val="auto"/>
        <w:rPr>
          <w:rFonts w:hint="default" w:ascii="Times New Roman" w:hAnsi="Times New Roman" w:eastAsia="仿宋_GB2312" w:cs="Times New Roman"/>
          <w:color w:val="121212"/>
          <w:kern w:val="2"/>
          <w:sz w:val="32"/>
          <w:lang w:val="en-US" w:eastAsia="zh-CN" w:bidi="ar-SA"/>
        </w:rPr>
      </w:pPr>
      <w:r>
        <w:rPr>
          <w:rFonts w:hint="default" w:ascii="黑体" w:hAnsi="黑体" w:eastAsia="黑体" w:cs="黑体"/>
          <w:b w:val="0"/>
          <w:bCs w:val="0"/>
          <w:kern w:val="2"/>
          <w:sz w:val="32"/>
          <w:szCs w:val="20"/>
          <w:highlight w:val="none"/>
          <w:lang w:val="en-US" w:eastAsia="zh-CN" w:bidi="ar-SA"/>
        </w:rPr>
        <w:t>二十</w:t>
      </w:r>
      <w:r>
        <w:rPr>
          <w:rFonts w:hint="eastAsia" w:ascii="黑体" w:hAnsi="黑体" w:eastAsia="黑体" w:cs="黑体"/>
          <w:b w:val="0"/>
          <w:bCs w:val="0"/>
          <w:kern w:val="2"/>
          <w:sz w:val="32"/>
          <w:szCs w:val="20"/>
          <w:highlight w:val="none"/>
          <w:lang w:val="en-US" w:eastAsia="zh-CN" w:bidi="ar-SA"/>
        </w:rPr>
        <w:t>三</w:t>
      </w:r>
      <w:r>
        <w:rPr>
          <w:rFonts w:hint="default" w:ascii="黑体" w:hAnsi="黑体" w:eastAsia="黑体" w:cs="黑体"/>
          <w:b w:val="0"/>
          <w:bCs w:val="0"/>
          <w:kern w:val="2"/>
          <w:sz w:val="32"/>
          <w:szCs w:val="20"/>
          <w:highlight w:val="none"/>
          <w:lang w:val="en-US" w:eastAsia="zh-CN" w:bidi="ar-SA"/>
        </w:rPr>
        <w:t>、住房保障支出（类）住房改革支出（款）住房公积金（项）：</w:t>
      </w:r>
      <w:r>
        <w:rPr>
          <w:rFonts w:hint="default" w:ascii="Times New Roman" w:hAnsi="Times New Roman" w:eastAsia="仿宋_GB2312" w:cs="Times New Roman"/>
          <w:color w:val="121212"/>
          <w:kern w:val="2"/>
          <w:sz w:val="32"/>
          <w:lang w:val="en-US" w:eastAsia="zh-CN" w:bidi="ar-SA"/>
        </w:rPr>
        <w:t>指和龙市统计局按照人力资源和社会保障部、财政部规定的基本工资和津贴补贴以及规定比例为职工缴纳的住房公积金。</w:t>
      </w:r>
    </w:p>
    <w:p w14:paraId="1923FCEB">
      <w:pPr>
        <w:autoSpaceDN w:val="0"/>
        <w:spacing w:line="360" w:lineRule="auto"/>
        <w:ind w:firstLine="618" w:firstLineChars="200"/>
        <w:rPr>
          <w:rFonts w:hint="eastAsia" w:ascii="Times New Roman" w:hAnsi="Times New Roman" w:eastAsia="仿宋_GB2312"/>
          <w:color w:val="FF0000"/>
          <w:sz w:val="32"/>
          <w:highlight w:val="none"/>
          <w:lang w:eastAsia="zh-CN"/>
        </w:rPr>
      </w:pPr>
    </w:p>
    <w:sectPr>
      <w:footerReference r:id="rId4" w:type="default"/>
      <w:pgSz w:w="11906" w:h="16838"/>
      <w:pgMar w:top="2098" w:right="1587" w:bottom="2098" w:left="1587" w:header="851" w:footer="992" w:gutter="0"/>
      <w:pgNumType w:fmt="decimal"/>
      <w:cols w:space="720" w:num="1"/>
      <w:rtlGutter w:val="0"/>
      <w:docGrid w:type="linesAndChars" w:linePitch="574"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DA2FF">
    <w:pPr>
      <w:pStyle w:val="7"/>
      <w:framePr w:wrap="around" w:vAnchor="text" w:hAnchor="margin" w:xAlign="center" w:yAlign="top"/>
      <w:pBdr>
        <w:between w:val="none" w:color="auto" w:sz="0" w:space="0"/>
      </w:pBdr>
    </w:pPr>
    <w:r>
      <w:fldChar w:fldCharType="begin"/>
    </w:r>
    <w:r>
      <w:rPr>
        <w:rStyle w:val="13"/>
      </w:rPr>
      <w:instrText xml:space="preserve"> PAGE  </w:instrText>
    </w:r>
    <w:r>
      <w:fldChar w:fldCharType="separate"/>
    </w:r>
    <w:r>
      <w:rPr>
        <w:rStyle w:val="13"/>
      </w:rPr>
      <w:t>2</w:t>
    </w:r>
    <w:r>
      <w:fldChar w:fldCharType="end"/>
    </w:r>
  </w:p>
  <w:p w14:paraId="7FC0FB2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AAC2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C1D7F2">
                          <w:pPr>
                            <w:pStyle w:val="7"/>
                            <w:pBdr>
                              <w:between w:val="none" w:color="auto" w:sz="0" w:space="0"/>
                            </w:pBd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height:144pt;width:144pt;mso-position-horizontal:center;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1FC1D7F2">
                    <w:pPr>
                      <w:pStyle w:val="7"/>
                      <w:pBdr>
                        <w:between w:val="none" w:color="auto" w:sz="0" w:space="0"/>
                      </w:pBd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6E55A6"/>
    <w:multiLevelType w:val="singleLevel"/>
    <w:tmpl w:val="286E55A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9"/>
  <w:drawingGridVerticalSpacing w:val="287"/>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6D494A21"/>
    <w:rsid w:val="7EAB691D"/>
    <w:rsid w:val="F73DEC9C"/>
    <w:rsid w:val="FDBB211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link w:val="12"/>
    <w:qFormat/>
    <w:uiPriority w:val="0"/>
    <w:rPr>
      <w:rFonts w:eastAsia="宋体"/>
      <w:sz w:val="21"/>
      <w:szCs w:val="20"/>
    </w:rPr>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widowControl/>
      <w:spacing w:after="120"/>
      <w:ind w:left="420" w:leftChars="200"/>
      <w:jc w:val="left"/>
    </w:pPr>
    <w:rPr>
      <w:rFonts w:ascii="宋体" w:hAnsi="宋体" w:eastAsia="宋体" w:cs="宋体"/>
      <w:kern w:val="0"/>
      <w:sz w:val="24"/>
    </w:rPr>
  </w:style>
  <w:style w:type="paragraph" w:styleId="5">
    <w:name w:val="Body Text"/>
    <w:basedOn w:val="1"/>
    <w:qFormat/>
    <w:uiPriority w:val="0"/>
    <w:pPr>
      <w:spacing w:after="120"/>
    </w:pPr>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Body Text First Indent"/>
    <w:basedOn w:val="5"/>
    <w:qFormat/>
    <w:uiPriority w:val="0"/>
    <w:pPr>
      <w:ind w:firstLine="420" w:firstLineChars="100"/>
    </w:pPr>
  </w:style>
  <w:style w:type="paragraph" w:customStyle="1" w:styleId="12">
    <w:name w:val=" Char"/>
    <w:basedOn w:val="1"/>
    <w:link w:val="11"/>
    <w:qFormat/>
    <w:uiPriority w:val="0"/>
    <w:pPr>
      <w:widowControl/>
      <w:spacing w:after="160" w:line="240" w:lineRule="exact"/>
      <w:jc w:val="left"/>
    </w:pPr>
    <w:rPr>
      <w:rFonts w:eastAsia="宋体"/>
      <w:sz w:val="21"/>
      <w:szCs w:val="20"/>
    </w:rPr>
  </w:style>
  <w:style w:type="character" w:styleId="13">
    <w:name w:val="page number"/>
    <w:basedOn w:val="11"/>
    <w:qFormat/>
    <w:uiPriority w:val="0"/>
  </w:style>
  <w:style w:type="character" w:customStyle="1" w:styleId="14">
    <w:name w:val="批注框文本 字符"/>
    <w:link w:val="6"/>
    <w:qFormat/>
    <w:uiPriority w:val="0"/>
    <w:rPr>
      <w:rFonts w:eastAsia="宋体"/>
      <w:kern w:val="2"/>
      <w:sz w:val="18"/>
      <w:szCs w:val="18"/>
    </w:rPr>
  </w:style>
  <w:style w:type="character" w:customStyle="1" w:styleId="15">
    <w:name w:val="页码 New"/>
    <w:basedOn w:val="11"/>
    <w:qFormat/>
    <w:uiPriority w:val="0"/>
  </w:style>
  <w:style w:type="character" w:customStyle="1" w:styleId="16">
    <w:name w:val="页码 New New New New New New"/>
    <w:basedOn w:val="11"/>
    <w:qFormat/>
    <w:uiPriority w:val="0"/>
  </w:style>
  <w:style w:type="character" w:customStyle="1" w:styleId="17">
    <w:name w:val="font31"/>
    <w:basedOn w:val="11"/>
    <w:qFormat/>
    <w:uiPriority w:val="0"/>
    <w:rPr>
      <w:rFonts w:hint="eastAsia" w:ascii="宋体" w:hAnsi="宋体" w:eastAsia="宋体" w:cs="宋体"/>
      <w:color w:val="000000"/>
      <w:sz w:val="20"/>
      <w:szCs w:val="20"/>
      <w:u w:val="none"/>
    </w:rPr>
  </w:style>
  <w:style w:type="character" w:customStyle="1" w:styleId="18">
    <w:name w:val="页码 New New New"/>
    <w:basedOn w:val="11"/>
    <w:qFormat/>
    <w:uiPriority w:val="0"/>
  </w:style>
  <w:style w:type="character" w:customStyle="1" w:styleId="19">
    <w:name w:val="font01"/>
    <w:basedOn w:val="11"/>
    <w:qFormat/>
    <w:uiPriority w:val="0"/>
    <w:rPr>
      <w:rFonts w:hint="eastAsia" w:ascii="宋体" w:hAnsi="宋体" w:eastAsia="宋体" w:cs="宋体"/>
      <w:color w:val="000000"/>
      <w:sz w:val="24"/>
      <w:szCs w:val="24"/>
      <w:u w:val="none"/>
    </w:rPr>
  </w:style>
  <w:style w:type="character" w:customStyle="1" w:styleId="20">
    <w:name w:val="页码 New New New New"/>
    <w:basedOn w:val="11"/>
    <w:qFormat/>
    <w:uiPriority w:val="0"/>
  </w:style>
  <w:style w:type="character" w:customStyle="1" w:styleId="21">
    <w:name w:val="页码 New New New New New"/>
    <w:basedOn w:val="11"/>
    <w:qFormat/>
    <w:uiPriority w:val="0"/>
  </w:style>
  <w:style w:type="character" w:customStyle="1" w:styleId="22">
    <w:name w:val="页码 New New"/>
    <w:basedOn w:val="11"/>
    <w:qFormat/>
    <w:uiPriority w:val="0"/>
  </w:style>
  <w:style w:type="character" w:customStyle="1" w:styleId="23">
    <w:name w:val="font51"/>
    <w:basedOn w:val="11"/>
    <w:qFormat/>
    <w:uiPriority w:val="0"/>
    <w:rPr>
      <w:rFonts w:hint="eastAsia" w:ascii="华文中宋" w:hAnsi="华文中宋" w:eastAsia="华文中宋" w:cs="华文中宋"/>
      <w:color w:val="000000"/>
      <w:sz w:val="32"/>
      <w:szCs w:val="32"/>
      <w:u w:val="none"/>
    </w:rPr>
  </w:style>
  <w:style w:type="character" w:customStyle="1" w:styleId="24">
    <w:name w:val="font41"/>
    <w:qFormat/>
    <w:uiPriority w:val="0"/>
    <w:rPr>
      <w:rFonts w:hint="eastAsia" w:ascii="宋体" w:hAnsi="宋体" w:eastAsia="宋体" w:cs="宋体"/>
      <w:color w:val="000000"/>
      <w:sz w:val="20"/>
      <w:szCs w:val="20"/>
      <w:u w:val="none"/>
    </w:rPr>
  </w:style>
  <w:style w:type="paragraph" w:customStyle="1" w:styleId="25">
    <w:name w:val="页脚 New New New New New New New New New New New New"/>
    <w:basedOn w:val="26"/>
    <w:qFormat/>
    <w:uiPriority w:val="0"/>
    <w:pPr>
      <w:tabs>
        <w:tab w:val="center" w:pos="4153"/>
        <w:tab w:val="right" w:pos="8306"/>
      </w:tabs>
      <w:snapToGrid w:val="0"/>
      <w:jc w:val="left"/>
    </w:pPr>
    <w:rPr>
      <w:sz w:val="18"/>
      <w:szCs w:val="18"/>
    </w:rPr>
  </w:style>
  <w:style w:type="paragraph" w:customStyle="1" w:styleId="26">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7">
    <w:name w:val="页眉 New New New New New New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28">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眉 New New New New New New New New New New New New New New New New New New New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页眉 New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32">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页眉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34">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5">
    <w:name w:val="页脚 New New New New New New New New New New New New New New New New New New New New New New New New"/>
    <w:basedOn w:val="36"/>
    <w:qFormat/>
    <w:uiPriority w:val="0"/>
    <w:pPr>
      <w:tabs>
        <w:tab w:val="center" w:pos="4153"/>
        <w:tab w:val="right" w:pos="8306"/>
      </w:tabs>
      <w:snapToGrid w:val="0"/>
      <w:jc w:val="left"/>
    </w:pPr>
    <w:rPr>
      <w:sz w:val="18"/>
      <w:szCs w:val="18"/>
    </w:rPr>
  </w:style>
  <w:style w:type="paragraph" w:customStyle="1" w:styleId="36">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页脚 New New New New New New New New New New New New New New New New New New New New New New New New New New"/>
    <w:basedOn w:val="38"/>
    <w:qFormat/>
    <w:uiPriority w:val="0"/>
    <w:pPr>
      <w:tabs>
        <w:tab w:val="center" w:pos="4153"/>
        <w:tab w:val="right" w:pos="8306"/>
      </w:tabs>
      <w:snapToGrid w:val="0"/>
      <w:jc w:val="left"/>
    </w:pPr>
    <w:rPr>
      <w:sz w:val="18"/>
      <w:szCs w:val="18"/>
    </w:rPr>
  </w:style>
  <w:style w:type="paragraph" w:customStyle="1" w:styleId="38">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9">
    <w:name w:val="页脚 New New New New New"/>
    <w:basedOn w:val="40"/>
    <w:qFormat/>
    <w:uiPriority w:val="0"/>
    <w:pPr>
      <w:tabs>
        <w:tab w:val="center" w:pos="4153"/>
        <w:tab w:val="right" w:pos="8306"/>
      </w:tabs>
      <w:snapToGrid w:val="0"/>
      <w:jc w:val="left"/>
    </w:pPr>
    <w:rPr>
      <w:sz w:val="18"/>
      <w:szCs w:val="18"/>
    </w:rPr>
  </w:style>
  <w:style w:type="paragraph" w:customStyle="1" w:styleId="40">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1">
    <w:name w:val="页眉 New New New New New New New New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脚 New New New New New New New New New New New New New New New New"/>
    <w:basedOn w:val="44"/>
    <w:qFormat/>
    <w:uiPriority w:val="0"/>
    <w:pPr>
      <w:tabs>
        <w:tab w:val="center" w:pos="4153"/>
        <w:tab w:val="right" w:pos="8306"/>
      </w:tabs>
      <w:snapToGrid w:val="0"/>
      <w:jc w:val="left"/>
    </w:pPr>
    <w:rPr>
      <w:sz w:val="18"/>
      <w:szCs w:val="18"/>
    </w:rPr>
  </w:style>
  <w:style w:type="paragraph" w:customStyle="1" w:styleId="44">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页眉 New New New New New New New New New New New New New New New New New New New"/>
    <w:basedOn w:val="46"/>
    <w:qFormat/>
    <w:uiPriority w:val="0"/>
    <w:pPr>
      <w:pBdr>
        <w:bottom w:val="single" w:color="auto" w:sz="6" w:space="1"/>
      </w:pBdr>
      <w:tabs>
        <w:tab w:val="center" w:pos="4153"/>
        <w:tab w:val="right" w:pos="8306"/>
      </w:tabs>
      <w:snapToGrid w:val="0"/>
      <w:jc w:val="center"/>
    </w:pPr>
    <w:rPr>
      <w:sz w:val="18"/>
      <w:szCs w:val="18"/>
    </w:rPr>
  </w:style>
  <w:style w:type="paragraph" w:customStyle="1" w:styleId="46">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7">
    <w:name w:val="页眉 New New New New New New New New New New New New New New New New New New New New New New New New New New"/>
    <w:basedOn w:val="38"/>
    <w:qFormat/>
    <w:uiPriority w:val="0"/>
    <w:pPr>
      <w:pBdr>
        <w:bottom w:val="single" w:color="auto" w:sz="6" w:space="1"/>
      </w:pBdr>
      <w:tabs>
        <w:tab w:val="center" w:pos="4153"/>
        <w:tab w:val="right" w:pos="8306"/>
      </w:tabs>
      <w:snapToGrid w:val="0"/>
      <w:jc w:val="center"/>
    </w:pPr>
    <w:rPr>
      <w:sz w:val="18"/>
      <w:szCs w:val="18"/>
    </w:rPr>
  </w:style>
  <w:style w:type="paragraph" w:customStyle="1" w:styleId="48">
    <w:name w:val="页脚 New New New New New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49">
    <w:name w:val="页脚 New"/>
    <w:basedOn w:val="50"/>
    <w:qFormat/>
    <w:uiPriority w:val="0"/>
    <w:pPr>
      <w:tabs>
        <w:tab w:val="center" w:pos="4153"/>
        <w:tab w:val="right" w:pos="8306"/>
      </w:tabs>
      <w:snapToGrid w:val="0"/>
      <w:jc w:val="left"/>
    </w:pPr>
    <w:rPr>
      <w:rFonts w:eastAsia="仿宋_GB2312"/>
      <w:kern w:val="2"/>
      <w:sz w:val="18"/>
    </w:rPr>
  </w:style>
  <w:style w:type="paragraph" w:customStyle="1" w:styleId="50">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1">
    <w:name w:val="页眉 New New New New New New New New New New New New New New New New New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52">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3">
    <w:name w:val="页脚 New New New New New New New New New New New New New New New New New New New New New New"/>
    <w:basedOn w:val="54"/>
    <w:qFormat/>
    <w:uiPriority w:val="0"/>
    <w:pPr>
      <w:tabs>
        <w:tab w:val="center" w:pos="4153"/>
        <w:tab w:val="right" w:pos="8306"/>
      </w:tabs>
      <w:snapToGrid w:val="0"/>
      <w:jc w:val="left"/>
    </w:pPr>
    <w:rPr>
      <w:sz w:val="18"/>
      <w:szCs w:val="18"/>
    </w:rPr>
  </w:style>
  <w:style w:type="paragraph" w:customStyle="1" w:styleId="54">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5">
    <w:name w:val="页脚 New New New New New New New New New New New New New New New New New New New New New"/>
    <w:basedOn w:val="56"/>
    <w:qFormat/>
    <w:uiPriority w:val="0"/>
    <w:pPr>
      <w:tabs>
        <w:tab w:val="center" w:pos="4153"/>
        <w:tab w:val="right" w:pos="8306"/>
      </w:tabs>
      <w:snapToGrid w:val="0"/>
      <w:jc w:val="left"/>
    </w:pPr>
    <w:rPr>
      <w:sz w:val="18"/>
      <w:szCs w:val="18"/>
    </w:rPr>
  </w:style>
  <w:style w:type="paragraph" w:customStyle="1" w:styleId="56">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7">
    <w:name w:val="页脚 New New New"/>
    <w:basedOn w:val="58"/>
    <w:qFormat/>
    <w:uiPriority w:val="0"/>
    <w:pPr>
      <w:tabs>
        <w:tab w:val="center" w:pos="4153"/>
        <w:tab w:val="right" w:pos="8306"/>
      </w:tabs>
      <w:snapToGrid w:val="0"/>
      <w:jc w:val="left"/>
    </w:pPr>
    <w:rPr>
      <w:rFonts w:eastAsia="仿宋_GB2312"/>
      <w:kern w:val="2"/>
      <w:sz w:val="18"/>
    </w:rPr>
  </w:style>
  <w:style w:type="paragraph" w:customStyle="1" w:styleId="58">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9">
    <w:name w:val="页脚 New New"/>
    <w:basedOn w:val="60"/>
    <w:qFormat/>
    <w:uiPriority w:val="0"/>
    <w:pPr>
      <w:tabs>
        <w:tab w:val="center" w:pos="4153"/>
        <w:tab w:val="right" w:pos="8306"/>
      </w:tabs>
      <w:snapToGrid w:val="0"/>
      <w:jc w:val="left"/>
    </w:pPr>
    <w:rPr>
      <w:rFonts w:eastAsia="仿宋_GB2312"/>
      <w:kern w:val="2"/>
      <w:sz w:val="18"/>
    </w:rPr>
  </w:style>
  <w:style w:type="paragraph" w:customStyle="1" w:styleId="60">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1">
    <w:name w:val="页脚 New New New New New New New"/>
    <w:basedOn w:val="62"/>
    <w:qFormat/>
    <w:uiPriority w:val="0"/>
    <w:pPr>
      <w:tabs>
        <w:tab w:val="center" w:pos="4153"/>
        <w:tab w:val="right" w:pos="8306"/>
      </w:tabs>
      <w:snapToGrid w:val="0"/>
      <w:jc w:val="left"/>
    </w:pPr>
    <w:rPr>
      <w:sz w:val="18"/>
      <w:szCs w:val="18"/>
    </w:rPr>
  </w:style>
  <w:style w:type="paragraph" w:customStyle="1" w:styleId="62">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3">
    <w:name w:val="页眉 New New New New New New New New New New New New New New New New New New New New New New New New New"/>
    <w:basedOn w:val="64"/>
    <w:qFormat/>
    <w:uiPriority w:val="0"/>
    <w:pPr>
      <w:pBdr>
        <w:bottom w:val="single" w:color="auto" w:sz="6" w:space="1"/>
      </w:pBdr>
      <w:tabs>
        <w:tab w:val="center" w:pos="4153"/>
        <w:tab w:val="right" w:pos="8306"/>
      </w:tabs>
      <w:snapToGrid w:val="0"/>
      <w:jc w:val="center"/>
    </w:pPr>
    <w:rPr>
      <w:sz w:val="18"/>
      <w:szCs w:val="18"/>
    </w:rPr>
  </w:style>
  <w:style w:type="paragraph" w:customStyle="1" w:styleId="64">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5">
    <w:name w:val="页眉 New New New New New New New New New New New New New New"/>
    <w:basedOn w:val="66"/>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7">
    <w:name w:val="页脚 New New New New"/>
    <w:basedOn w:val="68"/>
    <w:qFormat/>
    <w:uiPriority w:val="0"/>
    <w:pPr>
      <w:tabs>
        <w:tab w:val="center" w:pos="4153"/>
        <w:tab w:val="right" w:pos="8306"/>
      </w:tabs>
      <w:snapToGrid w:val="0"/>
      <w:jc w:val="left"/>
    </w:pPr>
    <w:rPr>
      <w:rFonts w:eastAsia="仿宋_GB2312"/>
      <w:kern w:val="2"/>
      <w:sz w:val="18"/>
    </w:rPr>
  </w:style>
  <w:style w:type="paragraph" w:customStyle="1" w:styleId="68">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9">
    <w:name w:val="p0"/>
    <w:basedOn w:val="68"/>
    <w:qFormat/>
    <w:uiPriority w:val="0"/>
    <w:pPr>
      <w:widowControl/>
    </w:pPr>
    <w:rPr>
      <w:rFonts w:eastAsia="宋体"/>
      <w:kern w:val="0"/>
      <w:szCs w:val="32"/>
    </w:rPr>
  </w:style>
  <w:style w:type="paragraph" w:customStyle="1" w:styleId="70">
    <w:name w:val="页脚 New New New New New New New New New New New New New New New New New New New New New New New New New"/>
    <w:basedOn w:val="64"/>
    <w:qFormat/>
    <w:uiPriority w:val="0"/>
    <w:pPr>
      <w:tabs>
        <w:tab w:val="center" w:pos="4153"/>
        <w:tab w:val="right" w:pos="8306"/>
      </w:tabs>
      <w:snapToGrid w:val="0"/>
      <w:jc w:val="left"/>
    </w:pPr>
    <w:rPr>
      <w:rFonts w:eastAsia="仿宋_GB2312"/>
      <w:kern w:val="2"/>
      <w:sz w:val="18"/>
    </w:rPr>
  </w:style>
  <w:style w:type="paragraph" w:customStyle="1" w:styleId="71">
    <w:name w:val="页脚 New New New New New New New New New New New"/>
    <w:basedOn w:val="72"/>
    <w:qFormat/>
    <w:uiPriority w:val="0"/>
    <w:pPr>
      <w:tabs>
        <w:tab w:val="center" w:pos="4153"/>
        <w:tab w:val="right" w:pos="8306"/>
      </w:tabs>
      <w:snapToGrid w:val="0"/>
      <w:jc w:val="left"/>
    </w:pPr>
    <w:rPr>
      <w:sz w:val="18"/>
      <w:szCs w:val="18"/>
    </w:rPr>
  </w:style>
  <w:style w:type="paragraph" w:customStyle="1" w:styleId="72">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3">
    <w:name w:val="页脚 New New New New New New New New New New New New New New New New New New New New New New New"/>
    <w:basedOn w:val="74"/>
    <w:qFormat/>
    <w:uiPriority w:val="0"/>
    <w:pPr>
      <w:tabs>
        <w:tab w:val="center" w:pos="4153"/>
        <w:tab w:val="right" w:pos="8306"/>
      </w:tabs>
      <w:snapToGrid w:val="0"/>
      <w:jc w:val="left"/>
    </w:pPr>
    <w:rPr>
      <w:sz w:val="18"/>
      <w:szCs w:val="18"/>
    </w:rPr>
  </w:style>
  <w:style w:type="paragraph" w:customStyle="1" w:styleId="74">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5">
    <w:name w:val="页眉 New New New New New New New New"/>
    <w:basedOn w:val="76"/>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7">
    <w:name w:val="页眉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页眉 New New New New New New New New New New New New New New New New New New New New New"/>
    <w:basedOn w:val="56"/>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眉 New New New New New New New New New New New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页脚 New New New New New New New New"/>
    <w:basedOn w:val="76"/>
    <w:qFormat/>
    <w:uiPriority w:val="0"/>
    <w:pPr>
      <w:tabs>
        <w:tab w:val="center" w:pos="4153"/>
        <w:tab w:val="right" w:pos="8306"/>
      </w:tabs>
      <w:snapToGrid w:val="0"/>
      <w:jc w:val="left"/>
    </w:pPr>
    <w:rPr>
      <w:sz w:val="18"/>
      <w:szCs w:val="18"/>
    </w:rPr>
  </w:style>
  <w:style w:type="paragraph" w:customStyle="1" w:styleId="81">
    <w:name w:val="页眉 New"/>
    <w:basedOn w:val="50"/>
    <w:qFormat/>
    <w:uiPriority w:val="0"/>
    <w:pPr>
      <w:pBdr>
        <w:bottom w:val="single" w:color="auto" w:sz="6" w:space="1"/>
      </w:pBdr>
      <w:tabs>
        <w:tab w:val="center" w:pos="4153"/>
        <w:tab w:val="right" w:pos="8306"/>
      </w:tabs>
      <w:snapToGrid w:val="0"/>
      <w:jc w:val="center"/>
    </w:pPr>
    <w:rPr>
      <w:sz w:val="18"/>
      <w:szCs w:val="18"/>
    </w:rPr>
  </w:style>
  <w:style w:type="paragraph" w:customStyle="1" w:styleId="82">
    <w:name w:val="页脚 New New New New New New New New New New New New New New New New New"/>
    <w:basedOn w:val="42"/>
    <w:qFormat/>
    <w:uiPriority w:val="0"/>
    <w:pPr>
      <w:tabs>
        <w:tab w:val="center" w:pos="4153"/>
        <w:tab w:val="right" w:pos="8306"/>
      </w:tabs>
      <w:snapToGrid w:val="0"/>
      <w:jc w:val="left"/>
    </w:pPr>
    <w:rPr>
      <w:sz w:val="18"/>
      <w:szCs w:val="18"/>
    </w:rPr>
  </w:style>
  <w:style w:type="paragraph" w:customStyle="1" w:styleId="83">
    <w:name w:val="页脚 New New New New New New New New New New New New New New New New New New"/>
    <w:basedOn w:val="52"/>
    <w:qFormat/>
    <w:uiPriority w:val="0"/>
    <w:pPr>
      <w:tabs>
        <w:tab w:val="center" w:pos="4153"/>
        <w:tab w:val="right" w:pos="8306"/>
      </w:tabs>
      <w:snapToGrid w:val="0"/>
      <w:jc w:val="left"/>
    </w:pPr>
    <w:rPr>
      <w:sz w:val="18"/>
      <w:szCs w:val="18"/>
    </w:rPr>
  </w:style>
  <w:style w:type="paragraph" w:customStyle="1" w:styleId="84">
    <w:name w:val="页眉 New New New New New New New New New New New New New New New New New New New New New New New"/>
    <w:basedOn w:val="74"/>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页眉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86">
    <w:name w:val="页眉 New New New New New"/>
    <w:basedOn w:val="40"/>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页眉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88">
    <w:name w:val="Table Text"/>
    <w:basedOn w:val="1"/>
    <w:semiHidden/>
    <w:qFormat/>
    <w:uiPriority w:val="0"/>
    <w:rPr>
      <w:rFonts w:ascii="华文细黑" w:hAnsi="华文细黑" w:eastAsia="华文细黑" w:cs="华文细黑"/>
      <w:sz w:val="16"/>
      <w:szCs w:val="16"/>
      <w:lang w:val="en-US" w:eastAsia="en-US" w:bidi="ar-SA"/>
    </w:rPr>
  </w:style>
  <w:style w:type="paragraph" w:customStyle="1" w:styleId="89">
    <w:name w:val="页眉 New New New New New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90">
    <w:name w:val="页眉 New New New New New New New New New New New New"/>
    <w:basedOn w:val="26"/>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页眉 New New New New New New New New New New New"/>
    <w:basedOn w:val="72"/>
    <w:qFormat/>
    <w:uiPriority w:val="0"/>
    <w:pPr>
      <w:pBdr>
        <w:bottom w:val="single" w:color="auto" w:sz="6" w:space="1"/>
      </w:pBdr>
      <w:tabs>
        <w:tab w:val="center" w:pos="4153"/>
        <w:tab w:val="right" w:pos="8306"/>
      </w:tabs>
      <w:snapToGrid w:val="0"/>
      <w:jc w:val="center"/>
    </w:pPr>
    <w:rPr>
      <w:sz w:val="18"/>
      <w:szCs w:val="18"/>
    </w:rPr>
  </w:style>
  <w:style w:type="paragraph" w:customStyle="1" w:styleId="92">
    <w:name w:val="页脚 New New New New New New New New New New New New New New New"/>
    <w:basedOn w:val="93"/>
    <w:qFormat/>
    <w:uiPriority w:val="0"/>
    <w:pPr>
      <w:tabs>
        <w:tab w:val="center" w:pos="4153"/>
        <w:tab w:val="right" w:pos="8306"/>
      </w:tabs>
      <w:snapToGrid w:val="0"/>
      <w:jc w:val="left"/>
    </w:pPr>
    <w:rPr>
      <w:sz w:val="18"/>
      <w:szCs w:val="18"/>
    </w:rPr>
  </w:style>
  <w:style w:type="paragraph" w:customStyle="1" w:styleId="93">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94">
    <w:name w:val="页脚 New New New New New New New New New New"/>
    <w:basedOn w:val="28"/>
    <w:qFormat/>
    <w:uiPriority w:val="0"/>
    <w:pPr>
      <w:tabs>
        <w:tab w:val="center" w:pos="4153"/>
        <w:tab w:val="right" w:pos="8306"/>
      </w:tabs>
      <w:snapToGrid w:val="0"/>
      <w:jc w:val="left"/>
    </w:pPr>
    <w:rPr>
      <w:sz w:val="18"/>
      <w:szCs w:val="18"/>
    </w:rPr>
  </w:style>
  <w:style w:type="paragraph" w:customStyle="1" w:styleId="95">
    <w:name w:val="缩进自定义正文样式1"/>
    <w:basedOn w:val="1"/>
    <w:qFormat/>
    <w:uiPriority w:val="0"/>
    <w:pPr>
      <w:ind w:firstLine="640" w:firstLineChars="200"/>
      <w:jc w:val="left"/>
    </w:pPr>
    <w:rPr>
      <w:rFonts w:ascii="仿宋_GB2312" w:hAnsi="仿宋" w:eastAsia="仿宋_GB2312"/>
      <w:kern w:val="0"/>
      <w:sz w:val="32"/>
      <w:szCs w:val="28"/>
    </w:rPr>
  </w:style>
  <w:style w:type="paragraph" w:customStyle="1" w:styleId="96">
    <w:name w:val="页脚 New New New New New New New New New New New New New New"/>
    <w:basedOn w:val="66"/>
    <w:qFormat/>
    <w:uiPriority w:val="0"/>
    <w:pPr>
      <w:tabs>
        <w:tab w:val="center" w:pos="4153"/>
        <w:tab w:val="right" w:pos="8306"/>
      </w:tabs>
      <w:snapToGrid w:val="0"/>
      <w:jc w:val="left"/>
    </w:pPr>
    <w:rPr>
      <w:rFonts w:eastAsia="仿宋_GB2312"/>
      <w:kern w:val="2"/>
      <w:sz w:val="18"/>
    </w:rPr>
  </w:style>
  <w:style w:type="paragraph" w:customStyle="1" w:styleId="97">
    <w:name w:val="页眉 New New New New New New New New New"/>
    <w:basedOn w:val="98"/>
    <w:qFormat/>
    <w:uiPriority w:val="0"/>
    <w:pPr>
      <w:pBdr>
        <w:bottom w:val="single" w:color="auto" w:sz="6" w:space="1"/>
      </w:pBdr>
      <w:tabs>
        <w:tab w:val="center" w:pos="4153"/>
        <w:tab w:val="right" w:pos="8306"/>
      </w:tabs>
      <w:snapToGrid w:val="0"/>
      <w:jc w:val="center"/>
    </w:pPr>
    <w:rPr>
      <w:sz w:val="18"/>
      <w:szCs w:val="18"/>
    </w:rPr>
  </w:style>
  <w:style w:type="paragraph" w:customStyle="1" w:styleId="98">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99">
    <w:name w:val="页脚 New New New New New New"/>
    <w:basedOn w:val="34"/>
    <w:qFormat/>
    <w:uiPriority w:val="0"/>
    <w:pPr>
      <w:tabs>
        <w:tab w:val="center" w:pos="4153"/>
        <w:tab w:val="right" w:pos="8306"/>
      </w:tabs>
      <w:snapToGrid w:val="0"/>
      <w:jc w:val="left"/>
    </w:pPr>
    <w:rPr>
      <w:sz w:val="18"/>
      <w:szCs w:val="18"/>
    </w:rPr>
  </w:style>
  <w:style w:type="paragraph" w:customStyle="1" w:styleId="100">
    <w:name w:val="页眉 New New New New New New New New New New New New New New New New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101">
    <w:name w:val="页眉 New New New New New New New New New New New New New New New New New New New New New New"/>
    <w:basedOn w:val="54"/>
    <w:qFormat/>
    <w:uiPriority w:val="0"/>
    <w:pPr>
      <w:pBdr>
        <w:bottom w:val="single" w:color="auto" w:sz="6" w:space="1"/>
      </w:pBdr>
      <w:tabs>
        <w:tab w:val="center" w:pos="4153"/>
        <w:tab w:val="right" w:pos="8306"/>
      </w:tabs>
      <w:snapToGrid w:val="0"/>
      <w:jc w:val="center"/>
    </w:pPr>
    <w:rPr>
      <w:sz w:val="18"/>
      <w:szCs w:val="18"/>
    </w:rPr>
  </w:style>
  <w:style w:type="paragraph" w:customStyle="1" w:styleId="102">
    <w:name w:val="页脚 New New New New New New New New New"/>
    <w:basedOn w:val="98"/>
    <w:qFormat/>
    <w:uiPriority w:val="0"/>
    <w:pPr>
      <w:tabs>
        <w:tab w:val="center" w:pos="4153"/>
        <w:tab w:val="right" w:pos="8306"/>
      </w:tabs>
      <w:snapToGrid w:val="0"/>
      <w:jc w:val="left"/>
    </w:pPr>
    <w:rPr>
      <w:sz w:val="18"/>
      <w:szCs w:val="18"/>
    </w:rPr>
  </w:style>
  <w:style w:type="paragraph" w:customStyle="1" w:styleId="103">
    <w:name w:val="页脚 New New New New New New New New New New New New New New New New New New New"/>
    <w:basedOn w:val="46"/>
    <w:qFormat/>
    <w:uiPriority w:val="0"/>
    <w:pPr>
      <w:tabs>
        <w:tab w:val="center" w:pos="4153"/>
        <w:tab w:val="right" w:pos="8306"/>
      </w:tabs>
      <w:snapToGrid w:val="0"/>
      <w:jc w:val="left"/>
    </w:pPr>
    <w:rPr>
      <w:sz w:val="18"/>
      <w:szCs w:val="18"/>
    </w:rPr>
  </w:style>
  <w:style w:type="paragraph" w:customStyle="1" w:styleId="104">
    <w:name w:val="页眉 New New New New New New New New New New New New New New New"/>
    <w:basedOn w:val="93"/>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脚 New New New New New New New New New New New New New"/>
    <w:basedOn w:val="32"/>
    <w:qFormat/>
    <w:uiPriority w:val="0"/>
    <w:pPr>
      <w:tabs>
        <w:tab w:val="center" w:pos="4153"/>
        <w:tab w:val="right" w:pos="8306"/>
      </w:tabs>
      <w:snapToGrid w:val="0"/>
      <w:jc w:val="left"/>
    </w:pPr>
    <w:rPr>
      <w:sz w:val="18"/>
      <w:szCs w:val="18"/>
    </w:rPr>
  </w:style>
  <w:style w:type="table" w:customStyle="1" w:styleId="10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9240</Words>
  <Characters>10904</Characters>
  <Lines>54</Lines>
  <Paragraphs>15</Paragraphs>
  <TotalTime>0</TotalTime>
  <ScaleCrop>false</ScaleCrop>
  <LinksUpToDate>false</LinksUpToDate>
  <CharactersWithSpaces>11552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2024-07-31T08:08:00Z</dcterms:created>
  <dc:creator>王志强</dc:creator>
  <cp:lastModifiedBy>user</cp:lastModifiedBy>
  <cp:lastPrinted>2026-08-20T01:46:00Z</cp:lastPrinted>
  <dcterms:modified xsi:type="dcterms:W3CDTF">2026-08-31T09:23:10Z</dcterms:modified>
  <dc:title>2015年度部门决算公开模板</dc:title>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F85D0EFD549D0C0ECDD3946AE5CA98BF_43</vt:lpwstr>
  </property>
  <property fmtid="{D5CDD505-2E9C-101B-9397-08002B2CF9AE}" pid="4" name="KSOTemplateDocerSaveRecord">
    <vt:lpwstr>eyJoZGlkIjoiMGI4MGI1NTZhNjUwYTZhMjg2MjQ3MTgyNmNmODA3MDEiLCJ1c2VySWQiOiIzNDIyNzI0MzUifQ==</vt:lpwstr>
  </property>
</Properties>
</file>