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AEFA7">
      <w:pPr>
        <w:spacing w:afterLines="30" w:line="520" w:lineRule="exact"/>
        <w:jc w:val="center"/>
        <w:rPr>
          <w:rFonts w:eastAsia="黑体"/>
          <w:color w:val="000000"/>
          <w:sz w:val="36"/>
          <w:szCs w:val="36"/>
        </w:rPr>
      </w:pPr>
    </w:p>
    <w:p w14:paraId="6C195D85">
      <w:pPr>
        <w:spacing w:afterLines="30" w:line="520" w:lineRule="exact"/>
        <w:jc w:val="center"/>
        <w:rPr>
          <w:rFonts w:eastAsia="黑体"/>
          <w:color w:val="000000"/>
          <w:sz w:val="36"/>
          <w:szCs w:val="36"/>
        </w:rPr>
      </w:pPr>
    </w:p>
    <w:p w14:paraId="0BB96E82">
      <w:pPr>
        <w:spacing w:afterLines="30" w:line="520" w:lineRule="exact"/>
        <w:jc w:val="center"/>
        <w:rPr>
          <w:rFonts w:eastAsia="黑体"/>
          <w:color w:val="000000"/>
          <w:sz w:val="36"/>
          <w:szCs w:val="36"/>
        </w:rPr>
      </w:pPr>
    </w:p>
    <w:p w14:paraId="3EF1750A">
      <w:pPr>
        <w:spacing w:afterLines="30" w:line="520" w:lineRule="exact"/>
        <w:jc w:val="center"/>
        <w:rPr>
          <w:rFonts w:eastAsia="黑体"/>
          <w:color w:val="000000"/>
          <w:sz w:val="36"/>
          <w:szCs w:val="36"/>
        </w:rPr>
      </w:pPr>
    </w:p>
    <w:p w14:paraId="4C5B1F07">
      <w:pPr>
        <w:spacing w:afterLines="30" w:line="520" w:lineRule="exact"/>
        <w:jc w:val="center"/>
        <w:rPr>
          <w:rFonts w:eastAsia="黑体"/>
          <w:color w:val="000000"/>
          <w:sz w:val="36"/>
          <w:szCs w:val="36"/>
        </w:rPr>
      </w:pPr>
    </w:p>
    <w:p w14:paraId="74466887">
      <w:pPr>
        <w:spacing w:afterLines="30" w:line="520" w:lineRule="exact"/>
        <w:jc w:val="center"/>
        <w:rPr>
          <w:rFonts w:eastAsia="黑体"/>
          <w:color w:val="000000"/>
          <w:sz w:val="36"/>
          <w:szCs w:val="36"/>
        </w:rPr>
      </w:pPr>
      <w:r>
        <w:drawing>
          <wp:anchor distT="0" distB="0" distL="114300" distR="114300" simplePos="0" relativeHeight="251659264" behindDoc="0" locked="0" layoutInCell="0" allowOverlap="1">
            <wp:simplePos x="0" y="0"/>
            <wp:positionH relativeFrom="column">
              <wp:posOffset>1714500</wp:posOffset>
            </wp:positionH>
            <wp:positionV relativeFrom="paragraph">
              <wp:posOffset>78740</wp:posOffset>
            </wp:positionV>
            <wp:extent cx="1828800" cy="1433195"/>
            <wp:effectExtent l="0" t="0" r="0" b="0"/>
            <wp:wrapNone/>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828800" cy="1433195"/>
                    </a:xfrm>
                    <a:prstGeom prst="rect">
                      <a:avLst/>
                    </a:prstGeom>
                    <a:noFill/>
                    <a:ln>
                      <a:noFill/>
                    </a:ln>
                  </pic:spPr>
                </pic:pic>
              </a:graphicData>
            </a:graphic>
          </wp:anchor>
        </w:drawing>
      </w:r>
    </w:p>
    <w:p w14:paraId="61D72EA9">
      <w:pPr>
        <w:spacing w:afterLines="30" w:line="520" w:lineRule="exact"/>
        <w:jc w:val="center"/>
        <w:rPr>
          <w:rFonts w:eastAsia="黑体"/>
          <w:color w:val="000000"/>
          <w:sz w:val="36"/>
          <w:szCs w:val="36"/>
        </w:rPr>
      </w:pPr>
    </w:p>
    <w:p w14:paraId="4A319B29">
      <w:pPr>
        <w:spacing w:afterLines="30" w:line="520" w:lineRule="exact"/>
        <w:jc w:val="center"/>
        <w:rPr>
          <w:rFonts w:eastAsia="黑体"/>
          <w:color w:val="000000"/>
          <w:sz w:val="36"/>
          <w:szCs w:val="36"/>
        </w:rPr>
      </w:pPr>
    </w:p>
    <w:p w14:paraId="79340429">
      <w:pPr>
        <w:spacing w:afterLines="30" w:line="520" w:lineRule="exact"/>
        <w:jc w:val="center"/>
        <w:rPr>
          <w:rFonts w:eastAsia="黑体"/>
          <w:color w:val="000000"/>
          <w:sz w:val="36"/>
          <w:szCs w:val="36"/>
        </w:rPr>
      </w:pPr>
    </w:p>
    <w:p w14:paraId="6E87C1BE">
      <w:pPr>
        <w:jc w:val="center"/>
        <w:rPr>
          <w:rFonts w:eastAsia="黑体"/>
          <w:color w:val="000000"/>
          <w:sz w:val="36"/>
          <w:szCs w:val="36"/>
        </w:rPr>
      </w:pPr>
    </w:p>
    <w:p w14:paraId="5EB06DE2">
      <w:pPr>
        <w:jc w:val="center"/>
        <w:rPr>
          <w:rFonts w:hint="eastAsia" w:ascii="方正小标宋_GBK" w:hAnsi="方正小标宋_GBK" w:eastAsia="方正小标宋_GBK" w:cs="方正小标宋_GBK"/>
          <w:b w:val="0"/>
          <w:bCs/>
          <w:color w:val="000000"/>
          <w:kern w:val="0"/>
          <w:sz w:val="72"/>
          <w:szCs w:val="72"/>
        </w:rPr>
      </w:pPr>
      <w:r>
        <w:rPr>
          <w:rFonts w:hint="eastAsia" w:ascii="方正小标宋_GBK" w:hAnsi="方正小标宋_GBK" w:eastAsia="方正小标宋_GBK" w:cs="方正小标宋_GBK"/>
          <w:b w:val="0"/>
          <w:bCs/>
          <w:color w:val="000000"/>
          <w:kern w:val="0"/>
          <w:sz w:val="72"/>
          <w:szCs w:val="72"/>
        </w:rPr>
        <w:t>国家统计局吉林调查总队</w:t>
      </w:r>
    </w:p>
    <w:p w14:paraId="05AAED3A">
      <w:pPr>
        <w:jc w:val="center"/>
        <w:rPr>
          <w:rFonts w:hint="eastAsia" w:ascii="方正小标宋_GBK" w:hAnsi="方正小标宋_GBK" w:eastAsia="方正小标宋_GBK" w:cs="方正小标宋_GBK"/>
          <w:b w:val="0"/>
          <w:bCs/>
          <w:color w:val="000000"/>
          <w:kern w:val="0"/>
          <w:sz w:val="72"/>
          <w:szCs w:val="72"/>
        </w:rPr>
      </w:pPr>
      <w:r>
        <w:rPr>
          <w:rFonts w:hint="eastAsia" w:ascii="方正小标宋_GBK" w:hAnsi="方正小标宋_GBK" w:eastAsia="方正小标宋_GBK" w:cs="方正小标宋_GBK"/>
          <w:b w:val="0"/>
          <w:bCs/>
          <w:color w:val="000000"/>
          <w:kern w:val="0"/>
          <w:sz w:val="72"/>
          <w:szCs w:val="72"/>
        </w:rPr>
        <w:t>部门决算</w:t>
      </w:r>
    </w:p>
    <w:p w14:paraId="59D2D8F0">
      <w:pPr>
        <w:jc w:val="center"/>
        <w:rPr>
          <w:rFonts w:hint="eastAsia" w:ascii="方正小标宋_GBK" w:hAnsi="方正小标宋_GBK" w:eastAsia="方正小标宋_GBK" w:cs="方正小标宋_GBK"/>
          <w:b w:val="0"/>
          <w:bCs/>
          <w:color w:val="000000"/>
          <w:kern w:val="0"/>
          <w:sz w:val="72"/>
          <w:szCs w:val="72"/>
        </w:rPr>
      </w:pPr>
      <w:r>
        <w:rPr>
          <w:rFonts w:hint="eastAsia" w:ascii="方正小标宋_GBK" w:hAnsi="方正小标宋_GBK" w:eastAsia="方正小标宋_GBK" w:cs="方正小标宋_GBK"/>
          <w:b w:val="0"/>
          <w:bCs/>
          <w:color w:val="000000"/>
          <w:kern w:val="0"/>
          <w:sz w:val="72"/>
          <w:szCs w:val="72"/>
        </w:rPr>
        <w:t>（202</w:t>
      </w:r>
      <w:r>
        <w:rPr>
          <w:rFonts w:hint="eastAsia" w:ascii="方正小标宋_GBK" w:hAnsi="方正小标宋_GBK" w:eastAsia="方正小标宋_GBK" w:cs="方正小标宋_GBK"/>
          <w:b w:val="0"/>
          <w:bCs/>
          <w:color w:val="000000"/>
          <w:kern w:val="0"/>
          <w:sz w:val="72"/>
          <w:szCs w:val="72"/>
          <w:lang w:val="en-US" w:eastAsia="zh-CN"/>
        </w:rPr>
        <w:t>5</w:t>
      </w:r>
      <w:r>
        <w:rPr>
          <w:rFonts w:hint="eastAsia" w:ascii="方正小标宋_GBK" w:hAnsi="方正小标宋_GBK" w:eastAsia="方正小标宋_GBK" w:cs="方正小标宋_GBK"/>
          <w:b w:val="0"/>
          <w:bCs/>
          <w:color w:val="000000"/>
          <w:kern w:val="0"/>
          <w:sz w:val="72"/>
          <w:szCs w:val="72"/>
        </w:rPr>
        <w:t>）</w:t>
      </w:r>
    </w:p>
    <w:p w14:paraId="60AE544B">
      <w:pPr>
        <w:jc w:val="center"/>
        <w:rPr>
          <w:rFonts w:eastAsia="方正小标宋简体"/>
          <w:color w:val="000000"/>
          <w:sz w:val="32"/>
          <w:szCs w:val="32"/>
        </w:rPr>
      </w:pPr>
    </w:p>
    <w:p w14:paraId="235E8FD4">
      <w:pPr>
        <w:jc w:val="center"/>
        <w:rPr>
          <w:rFonts w:eastAsia="方正小标宋简体"/>
          <w:color w:val="000000"/>
          <w:sz w:val="32"/>
          <w:szCs w:val="32"/>
        </w:rPr>
      </w:pPr>
    </w:p>
    <w:p w14:paraId="32B774C5">
      <w:pPr>
        <w:jc w:val="center"/>
        <w:rPr>
          <w:rFonts w:eastAsia="方正小标宋简体"/>
          <w:color w:val="000000"/>
          <w:sz w:val="32"/>
          <w:szCs w:val="32"/>
        </w:rPr>
      </w:pPr>
    </w:p>
    <w:p w14:paraId="1AE4CEBF">
      <w:pPr>
        <w:jc w:val="center"/>
        <w:rPr>
          <w:rFonts w:eastAsia="方正小标宋简体"/>
          <w:color w:val="000000"/>
          <w:sz w:val="32"/>
          <w:szCs w:val="32"/>
        </w:rPr>
      </w:pPr>
    </w:p>
    <w:p w14:paraId="54CAF163">
      <w:pPr>
        <w:jc w:val="center"/>
        <w:rPr>
          <w:rFonts w:eastAsia="方正小标宋简体"/>
          <w:color w:val="000000"/>
          <w:sz w:val="32"/>
          <w:szCs w:val="32"/>
        </w:rPr>
      </w:pPr>
    </w:p>
    <w:p w14:paraId="3ECAEA83">
      <w:pPr>
        <w:jc w:val="both"/>
        <w:rPr>
          <w:rFonts w:eastAsia="方正小标宋简体"/>
          <w:color w:val="000000"/>
          <w:sz w:val="32"/>
          <w:szCs w:val="32"/>
        </w:rPr>
      </w:pPr>
    </w:p>
    <w:p w14:paraId="77ACFC81">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center"/>
        <w:textAlignment w:val="auto"/>
        <w:rPr>
          <w:rFonts w:ascii="宋体" w:hAnsi="宋体" w:eastAsia="宋体" w:cstheme="minorBidi"/>
          <w:kern w:val="2"/>
          <w:sz w:val="21"/>
          <w:szCs w:val="22"/>
          <w:lang w:val="en-US" w:eastAsia="zh-CN" w:bidi="ar-SA"/>
        </w:rPr>
      </w:pPr>
    </w:p>
    <w:sdt>
      <w:sdtPr>
        <w:rPr>
          <w:rFonts w:ascii="宋体" w:hAnsi="宋体" w:eastAsia="宋体" w:cstheme="minorBidi"/>
          <w:kern w:val="2"/>
          <w:sz w:val="21"/>
          <w:szCs w:val="22"/>
          <w:lang w:val="en-US" w:eastAsia="zh-CN" w:bidi="ar-SA"/>
        </w:rPr>
        <w:id w:val="199031072"/>
        <w15:color w:val="DBDBDB"/>
        <w:docPartObj>
          <w:docPartGallery w:val="Table of Contents"/>
          <w:docPartUnique/>
        </w:docPartObj>
      </w:sdtPr>
      <w:sdtEndPr>
        <w:rPr>
          <w:rFonts w:hint="eastAsia" w:ascii="黑体" w:hAnsi="黑体" w:eastAsia="黑体" w:cs="黑体"/>
          <w:kern w:val="2"/>
          <w:sz w:val="21"/>
          <w:szCs w:val="32"/>
          <w:lang w:val="en-US" w:eastAsia="zh-CN" w:bidi="ar-SA"/>
        </w:rPr>
      </w:sdtEndPr>
      <w:sdtContent>
        <w:p w14:paraId="0DF853B9">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center"/>
            <w:textAlignment w:val="auto"/>
            <w:rPr>
              <w:rFonts w:hint="eastAsia" w:ascii="黑体" w:hAnsi="黑体" w:eastAsia="黑体" w:cs="黑体"/>
              <w:sz w:val="32"/>
              <w:szCs w:val="32"/>
            </w:rPr>
          </w:pPr>
          <w:r>
            <w:rPr>
              <w:rFonts w:hint="eastAsia" w:ascii="黑体" w:hAnsi="黑体" w:eastAsia="黑体" w:cs="黑体"/>
              <w:b/>
              <w:bCs/>
              <w:sz w:val="36"/>
              <w:szCs w:val="36"/>
            </w:rPr>
            <w:t>目</w:t>
          </w:r>
          <w:r>
            <w:rPr>
              <w:rFonts w:hint="eastAsia" w:ascii="黑体" w:hAnsi="黑体" w:eastAsia="黑体" w:cs="黑体"/>
              <w:b/>
              <w:bCs/>
              <w:sz w:val="36"/>
              <w:szCs w:val="36"/>
              <w:lang w:val="en-US" w:eastAsia="zh-CN"/>
            </w:rPr>
            <w:t xml:space="preserve"> </w:t>
          </w:r>
          <w:r>
            <w:rPr>
              <w:rFonts w:hint="eastAsia" w:ascii="黑体" w:hAnsi="黑体" w:eastAsia="黑体" w:cs="黑体"/>
              <w:b/>
              <w:bCs/>
              <w:sz w:val="36"/>
              <w:szCs w:val="36"/>
            </w:rPr>
            <w:t>录</w:t>
          </w:r>
        </w:p>
        <w:p w14:paraId="279E9655">
          <w:pPr>
            <w:pStyle w:val="9"/>
            <w:tabs>
              <w:tab w:val="right" w:leader="dot" w:pos="8306"/>
            </w:tabs>
            <w:rPr>
              <w:rFonts w:hint="eastAsia" w:ascii="宋体" w:hAnsi="宋体" w:eastAsia="宋体" w:cs="宋体"/>
              <w:sz w:val="28"/>
              <w:szCs w:val="28"/>
            </w:rPr>
          </w:pPr>
          <w:r>
            <w:rPr>
              <w:rFonts w:hint="eastAsia" w:ascii="楷体" w:hAnsi="楷体" w:eastAsia="楷体" w:cs="楷体"/>
              <w:kern w:val="2"/>
              <w:sz w:val="28"/>
              <w:szCs w:val="28"/>
              <w:lang w:val="en-US" w:eastAsia="zh-CN" w:bidi="ar-SA"/>
            </w:rPr>
            <w:fldChar w:fldCharType="begin"/>
          </w:r>
          <w:r>
            <w:rPr>
              <w:rFonts w:hint="eastAsia" w:ascii="楷体" w:hAnsi="楷体" w:eastAsia="楷体" w:cs="楷体"/>
              <w:kern w:val="2"/>
              <w:sz w:val="28"/>
              <w:szCs w:val="28"/>
              <w:lang w:val="en-US" w:eastAsia="zh-CN" w:bidi="ar-SA"/>
            </w:rPr>
            <w:instrText xml:space="preserve">TOC \o "1-2" \h \u </w:instrText>
          </w:r>
          <w:r>
            <w:rPr>
              <w:rFonts w:hint="eastAsia" w:ascii="楷体" w:hAnsi="楷体" w:eastAsia="楷体" w:cs="楷体"/>
              <w:kern w:val="2"/>
              <w:sz w:val="28"/>
              <w:szCs w:val="28"/>
              <w:lang w:val="en-US" w:eastAsia="zh-CN" w:bidi="ar-SA"/>
            </w:rPr>
            <w:fldChar w:fldCharType="separate"/>
          </w:r>
          <w:r>
            <w:rPr>
              <w:rFonts w:hint="eastAsia" w:ascii="黑体" w:hAnsi="黑体" w:eastAsia="黑体" w:cs="黑体"/>
              <w:b w:val="0"/>
              <w:bCs w:val="0"/>
              <w:kern w:val="2"/>
              <w:sz w:val="28"/>
              <w:szCs w:val="28"/>
              <w:lang w:val="en-US" w:eastAsia="zh-CN" w:bidi="ar-SA"/>
            </w:rPr>
            <w:fldChar w:fldCharType="begin"/>
          </w:r>
          <w:r>
            <w:rPr>
              <w:rFonts w:hint="eastAsia" w:ascii="黑体" w:hAnsi="黑体" w:eastAsia="黑体" w:cs="黑体"/>
              <w:b w:val="0"/>
              <w:bCs w:val="0"/>
              <w:kern w:val="2"/>
              <w:sz w:val="28"/>
              <w:szCs w:val="28"/>
              <w:lang w:val="en-US" w:eastAsia="zh-CN" w:bidi="ar-SA"/>
            </w:rPr>
            <w:instrText xml:space="preserve"> HYPERLINK \l _Toc1546087300 </w:instrText>
          </w:r>
          <w:r>
            <w:rPr>
              <w:rFonts w:hint="eastAsia" w:ascii="黑体" w:hAnsi="黑体" w:eastAsia="黑体" w:cs="黑体"/>
              <w:b w:val="0"/>
              <w:bCs w:val="0"/>
              <w:kern w:val="2"/>
              <w:sz w:val="28"/>
              <w:szCs w:val="28"/>
              <w:lang w:val="en-US" w:eastAsia="zh-CN" w:bidi="ar-SA"/>
            </w:rPr>
            <w:fldChar w:fldCharType="separate"/>
          </w:r>
          <w:r>
            <w:rPr>
              <w:rFonts w:hint="eastAsia" w:ascii="黑体" w:hAnsi="黑体" w:eastAsia="黑体" w:cs="黑体"/>
              <w:b w:val="0"/>
              <w:bCs w:val="0"/>
              <w:sz w:val="28"/>
              <w:szCs w:val="28"/>
            </w:rPr>
            <w:t>第一部分 国家统计局吉林调查总队概况</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_Toc1546087300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3</w:t>
          </w:r>
          <w:r>
            <w:rPr>
              <w:rFonts w:hint="eastAsia" w:ascii="宋体" w:hAnsi="宋体" w:eastAsia="宋体" w:cs="宋体"/>
              <w:b w:val="0"/>
              <w:bCs w:val="0"/>
              <w:sz w:val="28"/>
              <w:szCs w:val="28"/>
            </w:rPr>
            <w:fldChar w:fldCharType="end"/>
          </w:r>
          <w:r>
            <w:rPr>
              <w:rFonts w:hint="eastAsia" w:ascii="黑体" w:hAnsi="黑体" w:eastAsia="黑体" w:cs="黑体"/>
              <w:b w:val="0"/>
              <w:bCs w:val="0"/>
              <w:kern w:val="2"/>
              <w:sz w:val="28"/>
              <w:szCs w:val="28"/>
              <w:lang w:val="en-US" w:eastAsia="zh-CN" w:bidi="ar-SA"/>
            </w:rPr>
            <w:fldChar w:fldCharType="end"/>
          </w:r>
        </w:p>
        <w:p w14:paraId="6B800CFD">
          <w:pPr>
            <w:pStyle w:val="10"/>
            <w:tabs>
              <w:tab w:val="right" w:leader="dot" w:pos="8306"/>
            </w:tabs>
            <w:rPr>
              <w:rFonts w:hint="eastAsia" w:ascii="宋体" w:hAnsi="宋体" w:eastAsia="宋体" w:cs="宋体"/>
              <w:sz w:val="28"/>
              <w:szCs w:val="28"/>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HYPERLINK \l _Toc48056981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sz w:val="28"/>
              <w:szCs w:val="28"/>
            </w:rPr>
            <w:t>一、主要职能</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_Toc48056981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kern w:val="2"/>
              <w:sz w:val="28"/>
              <w:szCs w:val="28"/>
              <w:lang w:val="en-US" w:eastAsia="zh-CN" w:bidi="ar-SA"/>
            </w:rPr>
            <w:fldChar w:fldCharType="end"/>
          </w:r>
        </w:p>
        <w:p w14:paraId="4DF38B43">
          <w:pPr>
            <w:pStyle w:val="10"/>
            <w:tabs>
              <w:tab w:val="right" w:leader="dot" w:pos="8306"/>
            </w:tabs>
            <w:rPr>
              <w:rFonts w:hint="eastAsia" w:ascii="宋体" w:hAnsi="宋体" w:eastAsia="宋体" w:cs="宋体"/>
              <w:sz w:val="28"/>
              <w:szCs w:val="28"/>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HYPERLINK \l _Toc1159787548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sz w:val="28"/>
              <w:szCs w:val="28"/>
            </w:rPr>
            <w:t>二、单位构成</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_Toc1159787548 \h </w:instrText>
          </w:r>
          <w:r>
            <w:rPr>
              <w:rFonts w:hint="eastAsia" w:ascii="宋体" w:hAnsi="宋体" w:eastAsia="宋体" w:cs="宋体"/>
              <w:sz w:val="28"/>
              <w:szCs w:val="28"/>
            </w:rPr>
            <w:fldChar w:fldCharType="separate"/>
          </w:r>
          <w:r>
            <w:rPr>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kern w:val="2"/>
              <w:sz w:val="28"/>
              <w:szCs w:val="28"/>
              <w:lang w:val="en-US" w:eastAsia="zh-CN" w:bidi="ar-SA"/>
            </w:rPr>
            <w:fldChar w:fldCharType="end"/>
          </w:r>
        </w:p>
        <w:p w14:paraId="3B53B39C">
          <w:pPr>
            <w:pStyle w:val="9"/>
            <w:tabs>
              <w:tab w:val="right" w:leader="dot" w:pos="8306"/>
            </w:tabs>
            <w:rPr>
              <w:rFonts w:hint="eastAsia" w:ascii="宋体" w:hAnsi="宋体" w:eastAsia="宋体" w:cs="宋体"/>
              <w:sz w:val="28"/>
              <w:szCs w:val="28"/>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HYPERLINK \l _Toc304632969 </w:instrText>
          </w:r>
          <w:r>
            <w:rPr>
              <w:rFonts w:hint="eastAsia" w:ascii="宋体" w:hAnsi="宋体" w:eastAsia="宋体" w:cs="宋体"/>
              <w:kern w:val="2"/>
              <w:sz w:val="28"/>
              <w:szCs w:val="28"/>
              <w:lang w:val="en-US" w:eastAsia="zh-CN" w:bidi="ar-SA"/>
            </w:rPr>
            <w:fldChar w:fldCharType="separate"/>
          </w:r>
          <w:r>
            <w:rPr>
              <w:rFonts w:hint="eastAsia" w:ascii="黑体" w:hAnsi="黑体" w:eastAsia="黑体" w:cs="黑体"/>
              <w:sz w:val="28"/>
              <w:szCs w:val="28"/>
            </w:rPr>
            <w:t xml:space="preserve">第二部分 </w:t>
          </w:r>
          <w:r>
            <w:rPr>
              <w:rFonts w:hint="eastAsia" w:ascii="黑体" w:hAnsi="黑体" w:eastAsia="黑体" w:cs="黑体"/>
              <w:sz w:val="28"/>
              <w:szCs w:val="28"/>
              <w:lang w:val="en-US"/>
            </w:rPr>
            <w:t>202</w:t>
          </w:r>
          <w:r>
            <w:rPr>
              <w:rFonts w:hint="eastAsia" w:ascii="黑体" w:hAnsi="黑体" w:eastAsia="黑体" w:cs="黑体"/>
              <w:sz w:val="28"/>
              <w:szCs w:val="28"/>
              <w:lang w:val="en-US" w:eastAsia="zh-CN"/>
            </w:rPr>
            <w:t>5</w:t>
          </w:r>
          <w:r>
            <w:rPr>
              <w:rFonts w:hint="eastAsia" w:ascii="黑体" w:hAnsi="黑体" w:eastAsia="黑体" w:cs="黑体"/>
              <w:sz w:val="28"/>
              <w:szCs w:val="28"/>
              <w:lang w:val="en-US"/>
            </w:rPr>
            <w:t>年</w:t>
          </w:r>
          <w:r>
            <w:rPr>
              <w:rFonts w:hint="eastAsia" w:ascii="黑体" w:hAnsi="黑体" w:eastAsia="黑体" w:cs="黑体"/>
              <w:sz w:val="28"/>
              <w:szCs w:val="28"/>
            </w:rPr>
            <w:t>度部门决算表</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_Toc304632969 \h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kern w:val="2"/>
              <w:sz w:val="28"/>
              <w:szCs w:val="28"/>
              <w:lang w:val="en-US" w:eastAsia="zh-CN" w:bidi="ar-SA"/>
            </w:rPr>
            <w:fldChar w:fldCharType="end"/>
          </w:r>
        </w:p>
        <w:p w14:paraId="7EB20644">
          <w:pPr>
            <w:pStyle w:val="9"/>
            <w:tabs>
              <w:tab w:val="right" w:leader="dot" w:pos="8306"/>
            </w:tabs>
            <w:rPr>
              <w:rFonts w:hint="eastAsia" w:ascii="宋体" w:hAnsi="宋体" w:eastAsia="宋体" w:cs="宋体"/>
              <w:sz w:val="28"/>
              <w:szCs w:val="28"/>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HYPERLINK \l _Toc251403246 </w:instrText>
          </w:r>
          <w:r>
            <w:rPr>
              <w:rFonts w:hint="eastAsia" w:ascii="宋体" w:hAnsi="宋体" w:eastAsia="宋体" w:cs="宋体"/>
              <w:kern w:val="2"/>
              <w:sz w:val="28"/>
              <w:szCs w:val="28"/>
              <w:lang w:val="en-US" w:eastAsia="zh-CN" w:bidi="ar-SA"/>
            </w:rPr>
            <w:fldChar w:fldCharType="separate"/>
          </w:r>
          <w:r>
            <w:rPr>
              <w:rFonts w:hint="eastAsia" w:ascii="黑体" w:hAnsi="黑体" w:eastAsia="黑体" w:cs="黑体"/>
              <w:sz w:val="28"/>
              <w:szCs w:val="28"/>
            </w:rPr>
            <w:t xml:space="preserve">第三部分 </w:t>
          </w:r>
          <w:r>
            <w:rPr>
              <w:rFonts w:hint="eastAsia" w:ascii="黑体" w:hAnsi="黑体" w:eastAsia="黑体" w:cs="黑体"/>
              <w:sz w:val="28"/>
              <w:szCs w:val="28"/>
              <w:lang w:val="en-US" w:eastAsia="zh-CN"/>
            </w:rPr>
            <w:t>2025年</w:t>
          </w:r>
          <w:r>
            <w:rPr>
              <w:rFonts w:hint="eastAsia" w:ascii="黑体" w:hAnsi="黑体" w:eastAsia="黑体" w:cs="黑体"/>
              <w:sz w:val="28"/>
              <w:szCs w:val="28"/>
            </w:rPr>
            <w:t>度部门决算情况说明</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_Toc251403246 \h </w:instrText>
          </w:r>
          <w:r>
            <w:rPr>
              <w:rFonts w:hint="eastAsia" w:ascii="宋体" w:hAnsi="宋体" w:eastAsia="宋体" w:cs="宋体"/>
              <w:sz w:val="28"/>
              <w:szCs w:val="28"/>
            </w:rPr>
            <w:fldChar w:fldCharType="separate"/>
          </w:r>
          <w:r>
            <w:rPr>
              <w:rFonts w:hint="eastAsia" w:ascii="宋体" w:hAnsi="宋体" w:eastAsia="宋体" w:cs="宋体"/>
              <w:sz w:val="28"/>
              <w:szCs w:val="28"/>
            </w:rPr>
            <w:t>19</w:t>
          </w:r>
          <w:r>
            <w:rPr>
              <w:rFonts w:hint="eastAsia" w:ascii="宋体" w:hAnsi="宋体" w:eastAsia="宋体" w:cs="宋体"/>
              <w:sz w:val="28"/>
              <w:szCs w:val="28"/>
            </w:rPr>
            <w:fldChar w:fldCharType="end"/>
          </w:r>
          <w:r>
            <w:rPr>
              <w:rFonts w:hint="eastAsia" w:ascii="宋体" w:hAnsi="宋体" w:eastAsia="宋体" w:cs="宋体"/>
              <w:kern w:val="2"/>
              <w:sz w:val="28"/>
              <w:szCs w:val="28"/>
              <w:lang w:val="en-US" w:eastAsia="zh-CN" w:bidi="ar-SA"/>
            </w:rPr>
            <w:fldChar w:fldCharType="end"/>
          </w:r>
        </w:p>
        <w:p w14:paraId="141895D5">
          <w:pPr>
            <w:pStyle w:val="10"/>
            <w:tabs>
              <w:tab w:val="right" w:leader="dot" w:pos="8306"/>
            </w:tabs>
            <w:rPr>
              <w:rFonts w:hint="eastAsia" w:ascii="宋体" w:hAnsi="宋体" w:eastAsia="宋体" w:cs="宋体"/>
              <w:sz w:val="28"/>
              <w:szCs w:val="28"/>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HYPERLINK \l _Toc335162901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sz w:val="28"/>
              <w:szCs w:val="28"/>
            </w:rPr>
            <w:t>一、收入支出总体情况说明</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_Toc335162901 \h </w:instrText>
          </w:r>
          <w:r>
            <w:rPr>
              <w:rFonts w:hint="eastAsia" w:ascii="宋体" w:hAnsi="宋体" w:eastAsia="宋体" w:cs="宋体"/>
              <w:sz w:val="28"/>
              <w:szCs w:val="28"/>
            </w:rPr>
            <w:fldChar w:fldCharType="separate"/>
          </w:r>
          <w:r>
            <w:rPr>
              <w:rFonts w:hint="eastAsia" w:ascii="宋体" w:hAnsi="宋体" w:eastAsia="宋体" w:cs="宋体"/>
              <w:sz w:val="28"/>
              <w:szCs w:val="28"/>
            </w:rPr>
            <w:t>19</w:t>
          </w:r>
          <w:r>
            <w:rPr>
              <w:rFonts w:hint="eastAsia" w:ascii="宋体" w:hAnsi="宋体" w:eastAsia="宋体" w:cs="宋体"/>
              <w:sz w:val="28"/>
              <w:szCs w:val="28"/>
            </w:rPr>
            <w:fldChar w:fldCharType="end"/>
          </w:r>
          <w:r>
            <w:rPr>
              <w:rFonts w:hint="eastAsia" w:ascii="宋体" w:hAnsi="宋体" w:eastAsia="宋体" w:cs="宋体"/>
              <w:kern w:val="2"/>
              <w:sz w:val="28"/>
              <w:szCs w:val="28"/>
              <w:lang w:val="en-US" w:eastAsia="zh-CN" w:bidi="ar-SA"/>
            </w:rPr>
            <w:fldChar w:fldCharType="end"/>
          </w:r>
        </w:p>
        <w:p w14:paraId="5234F12C">
          <w:pPr>
            <w:pStyle w:val="10"/>
            <w:tabs>
              <w:tab w:val="right" w:leader="dot" w:pos="8306"/>
            </w:tabs>
            <w:rPr>
              <w:rFonts w:hint="eastAsia" w:ascii="宋体" w:hAnsi="宋体" w:eastAsia="宋体" w:cs="宋体"/>
              <w:sz w:val="28"/>
              <w:szCs w:val="28"/>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HYPERLINK \l _Toc1490469741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sz w:val="28"/>
              <w:szCs w:val="28"/>
            </w:rPr>
            <w:t>二、一般公共预算财政拨款支出情况说明</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_Toc1490469741 \h </w:instrText>
          </w:r>
          <w:r>
            <w:rPr>
              <w:rFonts w:hint="eastAsia" w:ascii="宋体" w:hAnsi="宋体" w:eastAsia="宋体" w:cs="宋体"/>
              <w:sz w:val="28"/>
              <w:szCs w:val="28"/>
            </w:rPr>
            <w:fldChar w:fldCharType="separate"/>
          </w:r>
          <w:r>
            <w:rPr>
              <w:rFonts w:hint="eastAsia" w:ascii="宋体" w:hAnsi="宋体" w:eastAsia="宋体" w:cs="宋体"/>
              <w:sz w:val="28"/>
              <w:szCs w:val="28"/>
            </w:rPr>
            <w:t>20</w:t>
          </w:r>
          <w:r>
            <w:rPr>
              <w:rFonts w:hint="eastAsia" w:ascii="宋体" w:hAnsi="宋体" w:eastAsia="宋体" w:cs="宋体"/>
              <w:sz w:val="28"/>
              <w:szCs w:val="28"/>
            </w:rPr>
            <w:fldChar w:fldCharType="end"/>
          </w:r>
          <w:r>
            <w:rPr>
              <w:rFonts w:hint="eastAsia" w:ascii="宋体" w:hAnsi="宋体" w:eastAsia="宋体" w:cs="宋体"/>
              <w:kern w:val="2"/>
              <w:sz w:val="28"/>
              <w:szCs w:val="28"/>
              <w:lang w:val="en-US" w:eastAsia="zh-CN" w:bidi="ar-SA"/>
            </w:rPr>
            <w:fldChar w:fldCharType="end"/>
          </w:r>
        </w:p>
        <w:p w14:paraId="6AF496D9">
          <w:pPr>
            <w:pStyle w:val="10"/>
            <w:tabs>
              <w:tab w:val="right" w:leader="dot" w:pos="8306"/>
            </w:tabs>
            <w:rPr>
              <w:rFonts w:hint="eastAsia" w:ascii="宋体" w:hAnsi="宋体" w:eastAsia="宋体" w:cs="宋体"/>
              <w:sz w:val="28"/>
              <w:szCs w:val="28"/>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HYPERLINK \l _Toc1847081682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sz w:val="28"/>
              <w:szCs w:val="28"/>
            </w:rPr>
            <w:t>三、一般公共预算财政拨款基本支出情况说明</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_Toc1847081682 \h </w:instrText>
          </w:r>
          <w:r>
            <w:rPr>
              <w:rFonts w:hint="eastAsia" w:ascii="宋体" w:hAnsi="宋体" w:eastAsia="宋体" w:cs="宋体"/>
              <w:sz w:val="28"/>
              <w:szCs w:val="28"/>
            </w:rPr>
            <w:fldChar w:fldCharType="separate"/>
          </w:r>
          <w:r>
            <w:rPr>
              <w:rFonts w:hint="eastAsia" w:ascii="宋体" w:hAnsi="宋体" w:eastAsia="宋体" w:cs="宋体"/>
              <w:sz w:val="28"/>
              <w:szCs w:val="28"/>
            </w:rPr>
            <w:t>22</w:t>
          </w:r>
          <w:r>
            <w:rPr>
              <w:rFonts w:hint="eastAsia" w:ascii="宋体" w:hAnsi="宋体" w:eastAsia="宋体" w:cs="宋体"/>
              <w:sz w:val="28"/>
              <w:szCs w:val="28"/>
            </w:rPr>
            <w:fldChar w:fldCharType="end"/>
          </w:r>
          <w:r>
            <w:rPr>
              <w:rFonts w:hint="eastAsia" w:ascii="宋体" w:hAnsi="宋体" w:eastAsia="宋体" w:cs="宋体"/>
              <w:kern w:val="2"/>
              <w:sz w:val="28"/>
              <w:szCs w:val="28"/>
              <w:lang w:val="en-US" w:eastAsia="zh-CN" w:bidi="ar-SA"/>
            </w:rPr>
            <w:fldChar w:fldCharType="end"/>
          </w:r>
        </w:p>
        <w:p w14:paraId="47A30A01">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HYPERLINK \l _Toc502626647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sz w:val="28"/>
              <w:szCs w:val="28"/>
            </w:rPr>
            <w:t>四、财政拨款“三公”经费支出情况说明</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_Toc502626647 \h </w:instrText>
          </w:r>
          <w:r>
            <w:rPr>
              <w:rFonts w:hint="eastAsia" w:ascii="宋体" w:hAnsi="宋体" w:eastAsia="宋体" w:cs="宋体"/>
              <w:sz w:val="28"/>
              <w:szCs w:val="28"/>
            </w:rPr>
            <w:fldChar w:fldCharType="separate"/>
          </w:r>
          <w:r>
            <w:rPr>
              <w:rFonts w:hint="eastAsia" w:ascii="宋体" w:hAnsi="宋体" w:eastAsia="宋体" w:cs="宋体"/>
              <w:sz w:val="28"/>
              <w:szCs w:val="28"/>
            </w:rPr>
            <w:t>23</w:t>
          </w:r>
          <w:r>
            <w:rPr>
              <w:rFonts w:hint="eastAsia" w:ascii="宋体" w:hAnsi="宋体" w:eastAsia="宋体" w:cs="宋体"/>
              <w:sz w:val="28"/>
              <w:szCs w:val="28"/>
            </w:rPr>
            <w:fldChar w:fldCharType="end"/>
          </w:r>
          <w:r>
            <w:rPr>
              <w:rFonts w:hint="eastAsia" w:ascii="宋体" w:hAnsi="宋体" w:eastAsia="宋体" w:cs="宋体"/>
              <w:kern w:val="2"/>
              <w:sz w:val="28"/>
              <w:szCs w:val="28"/>
              <w:lang w:val="en-US" w:eastAsia="zh-CN" w:bidi="ar-SA"/>
            </w:rPr>
            <w:fldChar w:fldCharType="end"/>
          </w:r>
        </w:p>
        <w:p w14:paraId="0B4E95B7">
          <w:pPr>
            <w:pStyle w:val="10"/>
            <w:tabs>
              <w:tab w:val="right" w:leader="dot" w:pos="8306"/>
            </w:tabs>
            <w:rPr>
              <w:rFonts w:hint="eastAsia" w:ascii="宋体" w:hAnsi="宋体" w:eastAsia="宋体" w:cs="宋体"/>
              <w:sz w:val="28"/>
              <w:szCs w:val="28"/>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HYPERLINK \l _Toc1831510929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sz w:val="28"/>
              <w:szCs w:val="28"/>
            </w:rPr>
            <w:t>五、机关运行经费支出说明</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_Toc1831510929 \h </w:instrText>
          </w:r>
          <w:r>
            <w:rPr>
              <w:rFonts w:hint="eastAsia" w:ascii="宋体" w:hAnsi="宋体" w:eastAsia="宋体" w:cs="宋体"/>
              <w:sz w:val="28"/>
              <w:szCs w:val="28"/>
            </w:rPr>
            <w:fldChar w:fldCharType="separate"/>
          </w:r>
          <w:r>
            <w:rPr>
              <w:rFonts w:hint="eastAsia" w:ascii="宋体" w:hAnsi="宋体" w:eastAsia="宋体" w:cs="宋体"/>
              <w:sz w:val="28"/>
              <w:szCs w:val="28"/>
            </w:rPr>
            <w:t>24</w:t>
          </w:r>
          <w:r>
            <w:rPr>
              <w:rFonts w:hint="eastAsia" w:ascii="宋体" w:hAnsi="宋体" w:eastAsia="宋体" w:cs="宋体"/>
              <w:sz w:val="28"/>
              <w:szCs w:val="28"/>
            </w:rPr>
            <w:fldChar w:fldCharType="end"/>
          </w:r>
          <w:r>
            <w:rPr>
              <w:rFonts w:hint="eastAsia" w:ascii="宋体" w:hAnsi="宋体" w:eastAsia="宋体" w:cs="宋体"/>
              <w:kern w:val="2"/>
              <w:sz w:val="28"/>
              <w:szCs w:val="28"/>
              <w:lang w:val="en-US" w:eastAsia="zh-CN" w:bidi="ar-SA"/>
            </w:rPr>
            <w:fldChar w:fldCharType="end"/>
          </w:r>
        </w:p>
        <w:p w14:paraId="02C57EC4">
          <w:pPr>
            <w:pStyle w:val="10"/>
            <w:tabs>
              <w:tab w:val="right" w:leader="dot" w:pos="8306"/>
            </w:tabs>
            <w:rPr>
              <w:rFonts w:hint="eastAsia" w:ascii="宋体" w:hAnsi="宋体" w:eastAsia="宋体" w:cs="宋体"/>
              <w:sz w:val="28"/>
              <w:szCs w:val="28"/>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HYPERLINK \l _Toc1326263989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sz w:val="28"/>
              <w:szCs w:val="28"/>
            </w:rPr>
            <w:t>六、政府采购支出说明</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_Toc1326263989 \h </w:instrText>
          </w:r>
          <w:r>
            <w:rPr>
              <w:rFonts w:hint="eastAsia" w:ascii="宋体" w:hAnsi="宋体" w:eastAsia="宋体" w:cs="宋体"/>
              <w:sz w:val="28"/>
              <w:szCs w:val="28"/>
            </w:rPr>
            <w:fldChar w:fldCharType="separate"/>
          </w:r>
          <w:r>
            <w:rPr>
              <w:rFonts w:hint="eastAsia" w:ascii="宋体" w:hAnsi="宋体" w:eastAsia="宋体" w:cs="宋体"/>
              <w:sz w:val="28"/>
              <w:szCs w:val="28"/>
            </w:rPr>
            <w:t>24</w:t>
          </w:r>
          <w:r>
            <w:rPr>
              <w:rFonts w:hint="eastAsia" w:ascii="宋体" w:hAnsi="宋体" w:eastAsia="宋体" w:cs="宋体"/>
              <w:sz w:val="28"/>
              <w:szCs w:val="28"/>
            </w:rPr>
            <w:fldChar w:fldCharType="end"/>
          </w:r>
          <w:r>
            <w:rPr>
              <w:rFonts w:hint="eastAsia" w:ascii="宋体" w:hAnsi="宋体" w:eastAsia="宋体" w:cs="宋体"/>
              <w:kern w:val="2"/>
              <w:sz w:val="28"/>
              <w:szCs w:val="28"/>
              <w:lang w:val="en-US" w:eastAsia="zh-CN" w:bidi="ar-SA"/>
            </w:rPr>
            <w:fldChar w:fldCharType="end"/>
          </w:r>
        </w:p>
        <w:p w14:paraId="21B2D98A">
          <w:pPr>
            <w:pStyle w:val="10"/>
            <w:tabs>
              <w:tab w:val="right" w:leader="dot" w:pos="8306"/>
            </w:tabs>
            <w:rPr>
              <w:rFonts w:hint="eastAsia" w:ascii="宋体" w:hAnsi="宋体" w:eastAsia="宋体" w:cs="宋体"/>
              <w:sz w:val="28"/>
              <w:szCs w:val="28"/>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HYPERLINK \l _Toc63924204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sz w:val="28"/>
              <w:szCs w:val="28"/>
            </w:rPr>
            <w:t>七、国有资产占用情况说明</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_Toc63924204 \h </w:instrText>
          </w:r>
          <w:r>
            <w:rPr>
              <w:rFonts w:hint="eastAsia" w:ascii="宋体" w:hAnsi="宋体" w:eastAsia="宋体" w:cs="宋体"/>
              <w:sz w:val="28"/>
              <w:szCs w:val="28"/>
            </w:rPr>
            <w:fldChar w:fldCharType="separate"/>
          </w:r>
          <w:r>
            <w:rPr>
              <w:rFonts w:hint="eastAsia" w:ascii="宋体" w:hAnsi="宋体" w:eastAsia="宋体" w:cs="宋体"/>
              <w:sz w:val="28"/>
              <w:szCs w:val="28"/>
            </w:rPr>
            <w:t>25</w:t>
          </w:r>
          <w:r>
            <w:rPr>
              <w:rFonts w:hint="eastAsia" w:ascii="宋体" w:hAnsi="宋体" w:eastAsia="宋体" w:cs="宋体"/>
              <w:sz w:val="28"/>
              <w:szCs w:val="28"/>
            </w:rPr>
            <w:fldChar w:fldCharType="end"/>
          </w:r>
          <w:r>
            <w:rPr>
              <w:rFonts w:hint="eastAsia" w:ascii="宋体" w:hAnsi="宋体" w:eastAsia="宋体" w:cs="宋体"/>
              <w:kern w:val="2"/>
              <w:sz w:val="28"/>
              <w:szCs w:val="28"/>
              <w:lang w:val="en-US" w:eastAsia="zh-CN" w:bidi="ar-SA"/>
            </w:rPr>
            <w:fldChar w:fldCharType="end"/>
          </w:r>
        </w:p>
        <w:p w14:paraId="7A8381BD">
          <w:pPr>
            <w:pStyle w:val="9"/>
            <w:tabs>
              <w:tab w:val="right" w:leader="dot" w:pos="8306"/>
            </w:tabs>
            <w:rPr>
              <w:rFonts w:hint="eastAsia" w:ascii="宋体" w:hAnsi="宋体" w:eastAsia="宋体" w:cs="宋体"/>
              <w:sz w:val="28"/>
              <w:szCs w:val="28"/>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HYPERLINK \l _Toc1117562545 </w:instrText>
          </w:r>
          <w:r>
            <w:rPr>
              <w:rFonts w:hint="eastAsia" w:ascii="宋体" w:hAnsi="宋体" w:eastAsia="宋体" w:cs="宋体"/>
              <w:kern w:val="2"/>
              <w:sz w:val="28"/>
              <w:szCs w:val="28"/>
              <w:lang w:val="en-US" w:eastAsia="zh-CN" w:bidi="ar-SA"/>
            </w:rPr>
            <w:fldChar w:fldCharType="separate"/>
          </w:r>
          <w:r>
            <w:rPr>
              <w:rFonts w:hint="eastAsia" w:ascii="黑体" w:hAnsi="黑体" w:eastAsia="黑体" w:cs="黑体"/>
              <w:sz w:val="28"/>
              <w:szCs w:val="28"/>
            </w:rPr>
            <w:t>第四部分 预算绩效</w:t>
          </w:r>
          <w:r>
            <w:rPr>
              <w:rFonts w:hint="eastAsia" w:ascii="黑体" w:hAnsi="黑体" w:eastAsia="黑体" w:cs="黑体"/>
              <w:sz w:val="28"/>
              <w:szCs w:val="28"/>
              <w:lang w:eastAsia="zh-CN"/>
            </w:rPr>
            <w:t>评价</w:t>
          </w:r>
          <w:r>
            <w:rPr>
              <w:rFonts w:hint="eastAsia" w:ascii="黑体" w:hAnsi="黑体" w:eastAsia="黑体" w:cs="黑体"/>
              <w:sz w:val="28"/>
              <w:szCs w:val="28"/>
            </w:rPr>
            <w:t>情况</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_Toc1117562545 \h </w:instrText>
          </w:r>
          <w:r>
            <w:rPr>
              <w:rFonts w:hint="eastAsia" w:ascii="宋体" w:hAnsi="宋体" w:eastAsia="宋体" w:cs="宋体"/>
              <w:sz w:val="28"/>
              <w:szCs w:val="28"/>
            </w:rPr>
            <w:fldChar w:fldCharType="separate"/>
          </w:r>
          <w:r>
            <w:rPr>
              <w:rFonts w:hint="eastAsia" w:ascii="宋体" w:hAnsi="宋体" w:eastAsia="宋体" w:cs="宋体"/>
              <w:sz w:val="28"/>
              <w:szCs w:val="28"/>
            </w:rPr>
            <w:t>26</w:t>
          </w:r>
          <w:r>
            <w:rPr>
              <w:rFonts w:hint="eastAsia" w:ascii="宋体" w:hAnsi="宋体" w:eastAsia="宋体" w:cs="宋体"/>
              <w:sz w:val="28"/>
              <w:szCs w:val="28"/>
            </w:rPr>
            <w:fldChar w:fldCharType="end"/>
          </w:r>
          <w:r>
            <w:rPr>
              <w:rFonts w:hint="eastAsia" w:ascii="宋体" w:hAnsi="宋体" w:eastAsia="宋体" w:cs="宋体"/>
              <w:kern w:val="2"/>
              <w:sz w:val="28"/>
              <w:szCs w:val="28"/>
              <w:lang w:val="en-US" w:eastAsia="zh-CN" w:bidi="ar-SA"/>
            </w:rPr>
            <w:fldChar w:fldCharType="end"/>
          </w:r>
        </w:p>
        <w:p w14:paraId="4E74AE4B">
          <w:pPr>
            <w:pStyle w:val="9"/>
            <w:tabs>
              <w:tab w:val="right" w:leader="dot" w:pos="8306"/>
            </w:tabs>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HYPERLINK \l _Toc256639838 </w:instrText>
          </w:r>
          <w:r>
            <w:rPr>
              <w:rFonts w:hint="eastAsia" w:ascii="宋体" w:hAnsi="宋体" w:eastAsia="宋体" w:cs="宋体"/>
              <w:kern w:val="2"/>
              <w:sz w:val="28"/>
              <w:szCs w:val="28"/>
              <w:lang w:val="en-US" w:eastAsia="zh-CN" w:bidi="ar-SA"/>
            </w:rPr>
            <w:fldChar w:fldCharType="separate"/>
          </w:r>
          <w:r>
            <w:rPr>
              <w:rFonts w:hint="eastAsia" w:ascii="黑体" w:hAnsi="黑体" w:eastAsia="黑体" w:cs="黑体"/>
              <w:sz w:val="28"/>
              <w:szCs w:val="28"/>
            </w:rPr>
            <w:t>第</w:t>
          </w:r>
          <w:r>
            <w:rPr>
              <w:rFonts w:hint="eastAsia" w:ascii="黑体" w:hAnsi="黑体" w:eastAsia="黑体" w:cs="黑体"/>
              <w:sz w:val="28"/>
              <w:szCs w:val="28"/>
              <w:lang w:eastAsia="zh-CN"/>
            </w:rPr>
            <w:t>五</w:t>
          </w:r>
          <w:r>
            <w:rPr>
              <w:rFonts w:hint="eastAsia" w:ascii="黑体" w:hAnsi="黑体" w:eastAsia="黑体" w:cs="黑体"/>
              <w:sz w:val="28"/>
              <w:szCs w:val="28"/>
            </w:rPr>
            <w:t>部分 名词解释</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_Toc256639838 \h </w:instrText>
          </w:r>
          <w:r>
            <w:rPr>
              <w:rFonts w:hint="eastAsia" w:ascii="宋体" w:hAnsi="宋体" w:eastAsia="宋体" w:cs="宋体"/>
              <w:sz w:val="28"/>
              <w:szCs w:val="28"/>
            </w:rPr>
            <w:fldChar w:fldCharType="separate"/>
          </w:r>
          <w:r>
            <w:rPr>
              <w:rFonts w:hint="eastAsia" w:ascii="宋体" w:hAnsi="宋体" w:eastAsia="宋体" w:cs="宋体"/>
              <w:sz w:val="28"/>
              <w:szCs w:val="28"/>
            </w:rPr>
            <w:t>28</w:t>
          </w:r>
          <w:r>
            <w:rPr>
              <w:rFonts w:hint="eastAsia" w:ascii="宋体" w:hAnsi="宋体" w:eastAsia="宋体" w:cs="宋体"/>
              <w:sz w:val="28"/>
              <w:szCs w:val="28"/>
            </w:rPr>
            <w:fldChar w:fldCharType="end"/>
          </w:r>
          <w:r>
            <w:rPr>
              <w:rFonts w:hint="eastAsia" w:ascii="宋体" w:hAnsi="宋体" w:eastAsia="宋体" w:cs="宋体"/>
              <w:kern w:val="2"/>
              <w:sz w:val="28"/>
              <w:szCs w:val="28"/>
              <w:lang w:val="en-US" w:eastAsia="zh-CN" w:bidi="ar-SA"/>
            </w:rPr>
            <w:fldChar w:fldCharType="end"/>
          </w:r>
        </w:p>
        <w:p w14:paraId="74CED95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kern w:val="2"/>
              <w:sz w:val="21"/>
              <w:szCs w:val="32"/>
              <w:lang w:val="en-US" w:eastAsia="zh-CN" w:bidi="ar-SA"/>
            </w:rPr>
          </w:pPr>
          <w:r>
            <w:rPr>
              <w:rFonts w:hint="eastAsia" w:ascii="楷体" w:hAnsi="楷体" w:eastAsia="楷体" w:cs="楷体"/>
              <w:kern w:val="2"/>
              <w:szCs w:val="28"/>
              <w:lang w:val="en-US" w:eastAsia="zh-CN" w:bidi="ar-SA"/>
            </w:rPr>
            <w:fldChar w:fldCharType="end"/>
          </w:r>
        </w:p>
      </w:sdtContent>
    </w:sdt>
    <w:p w14:paraId="5E2FE2E7">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kern w:val="2"/>
          <w:sz w:val="21"/>
          <w:szCs w:val="32"/>
          <w:lang w:val="en-US" w:eastAsia="zh-CN" w:bidi="ar-SA"/>
        </w:rPr>
      </w:pPr>
    </w:p>
    <w:p w14:paraId="090459D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kern w:val="2"/>
          <w:sz w:val="21"/>
          <w:szCs w:val="32"/>
          <w:lang w:val="en-US" w:eastAsia="zh-CN" w:bidi="ar-SA"/>
        </w:rPr>
      </w:pPr>
    </w:p>
    <w:p w14:paraId="7085F247">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kern w:val="2"/>
          <w:sz w:val="21"/>
          <w:szCs w:val="32"/>
          <w:lang w:val="en-US" w:eastAsia="zh-CN" w:bidi="ar-SA"/>
        </w:rPr>
      </w:pPr>
    </w:p>
    <w:p w14:paraId="0DD5745D">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kern w:val="2"/>
          <w:sz w:val="21"/>
          <w:szCs w:val="32"/>
          <w:lang w:val="en-US" w:eastAsia="zh-CN" w:bidi="ar-SA"/>
        </w:rPr>
      </w:pPr>
    </w:p>
    <w:p w14:paraId="5EE608B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kern w:val="2"/>
          <w:sz w:val="21"/>
          <w:szCs w:val="32"/>
          <w:lang w:val="en-US" w:eastAsia="zh-CN" w:bidi="ar-SA"/>
        </w:rPr>
      </w:pPr>
    </w:p>
    <w:p w14:paraId="0288E577">
      <w:pPr>
        <w:pStyle w:val="3"/>
        <w:bidi w:val="0"/>
        <w:outlineLvl w:val="0"/>
        <w:rPr>
          <w:rFonts w:hint="eastAsia"/>
        </w:rPr>
      </w:pPr>
      <w:bookmarkStart w:id="0" w:name="_Toc1546087300"/>
      <w:r>
        <w:rPr>
          <w:rFonts w:hint="eastAsia"/>
        </w:rPr>
        <w:t>第一部分 国家统计局吉林调查总队概况</w:t>
      </w:r>
      <w:bookmarkEnd w:id="0"/>
    </w:p>
    <w:p w14:paraId="6C16D653">
      <w:pPr>
        <w:rPr>
          <w:rFonts w:hint="eastAsia"/>
        </w:rPr>
      </w:pPr>
    </w:p>
    <w:p w14:paraId="26CC9270">
      <w:pPr>
        <w:pStyle w:val="4"/>
        <w:bidi w:val="0"/>
        <w:outlineLvl w:val="1"/>
        <w:rPr>
          <w:rFonts w:hint="eastAsia"/>
        </w:rPr>
      </w:pPr>
      <w:bookmarkStart w:id="1" w:name="_Toc48056981"/>
      <w:bookmarkStart w:id="2" w:name="_Toc322932649"/>
      <w:bookmarkStart w:id="3" w:name="_Toc322937624"/>
      <w:bookmarkStart w:id="4" w:name="_Toc322699304"/>
      <w:bookmarkStart w:id="5" w:name="_Toc510537158"/>
      <w:bookmarkStart w:id="6" w:name="_Toc322932575"/>
      <w:r>
        <w:rPr>
          <w:rFonts w:hint="eastAsia"/>
        </w:rPr>
        <w:t>一、主要职能</w:t>
      </w:r>
      <w:bookmarkEnd w:id="1"/>
      <w:bookmarkEnd w:id="2"/>
      <w:bookmarkEnd w:id="3"/>
      <w:bookmarkEnd w:id="4"/>
      <w:bookmarkEnd w:id="5"/>
      <w:bookmarkEnd w:id="6"/>
    </w:p>
    <w:p w14:paraId="2CCA90C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国家统计局吉林调查总队既是政府统计调查机构，也是统计执法机构，依法独立行使统计调查、统计监督的职权，独立向国家统计局上报调查结果，并对上报的调查资料的真实性负责。主要职责如下：</w:t>
      </w:r>
    </w:p>
    <w:p w14:paraId="2281967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（一）组织实施住户调查、劳动力调查、价格调查、农业与农村调查，组织实施有关社情民意调查、企业和个体经营户调查等。</w:t>
      </w:r>
    </w:p>
    <w:p w14:paraId="221BA17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（二）组织实施国家统计快速反应制度，组织开展经济社会重大问题和经济发展新动能专项调查，及时报告本地区的突发性经济事件和重大社会经济问题等方面信息。</w:t>
      </w:r>
    </w:p>
    <w:p w14:paraId="446B950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（三）参与组织实施国家有关普查项目。</w:t>
      </w:r>
    </w:p>
    <w:p w14:paraId="017F3B7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（四）根据国家统计局的授权，管理和公布有关统计调查数据。</w:t>
      </w:r>
    </w:p>
    <w:p w14:paraId="77130C8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（五）依法查处其组织实施的统计调查活动中发生的统计违法行为。</w:t>
      </w:r>
    </w:p>
    <w:p w14:paraId="522E8B2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（六）组织开展统计信息化的有关工作。</w:t>
      </w:r>
    </w:p>
    <w:p w14:paraId="66E77CE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（七）负责调查总队机关人事、财务工作，管理下属各级调查队人事、财务工作。</w:t>
      </w:r>
    </w:p>
    <w:p w14:paraId="205C99A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（八）加强党对调查队工作的全面领导，承担总队和下属调查队系统党的建设、全面从严治党主体责任，组织落实总队和下属调查队系统党的建设、纪检监察、巡</w:t>
      </w:r>
      <w:r>
        <w:rPr>
          <w:rFonts w:hint="eastAsia" w:ascii="仿宋_GB2312" w:hAnsi="仿宋_GB2312" w:eastAsia="仿宋_GB2312" w:cs="仿宋_GB2312"/>
          <w:sz w:val="32"/>
          <w:szCs w:val="32"/>
          <w:lang w:eastAsia="zh-CN"/>
        </w:rPr>
        <w:t>察</w:t>
      </w:r>
      <w:r>
        <w:rPr>
          <w:rFonts w:hint="eastAsia" w:ascii="仿宋_GB2312" w:hAnsi="仿宋_GB2312" w:eastAsia="仿宋_GB2312" w:cs="仿宋_GB2312"/>
          <w:sz w:val="32"/>
          <w:szCs w:val="32"/>
        </w:rPr>
        <w:t>工作。</w:t>
      </w:r>
    </w:p>
    <w:p w14:paraId="26D5654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（九）受国家统计局委托管理下属各级调查队；组织领导地方调查队的业务工作。</w:t>
      </w:r>
    </w:p>
    <w:p w14:paraId="2725A9E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（十）接受地方党委政府的委托，开展统计调查和提供信息服务。</w:t>
      </w:r>
    </w:p>
    <w:p w14:paraId="56F006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（十一）完成国家统计局交办的其他事项。</w:t>
      </w:r>
    </w:p>
    <w:p w14:paraId="28CC0C73">
      <w:pPr>
        <w:pStyle w:val="4"/>
        <w:bidi w:val="0"/>
        <w:outlineLvl w:val="1"/>
        <w:rPr>
          <w:rFonts w:hint="eastAsia"/>
        </w:rPr>
      </w:pPr>
      <w:bookmarkStart w:id="7" w:name="_Toc322699305"/>
      <w:bookmarkStart w:id="8" w:name="_Toc322932650"/>
      <w:bookmarkStart w:id="9" w:name="_Toc1159787548"/>
      <w:bookmarkStart w:id="10" w:name="_Toc510537159"/>
      <w:bookmarkStart w:id="11" w:name="_Toc322932576"/>
      <w:bookmarkStart w:id="12" w:name="_Toc322937625"/>
      <w:r>
        <w:rPr>
          <w:rFonts w:hint="eastAsia"/>
        </w:rPr>
        <w:t>二、单位构成</w:t>
      </w:r>
      <w:bookmarkEnd w:id="7"/>
      <w:bookmarkEnd w:id="8"/>
      <w:bookmarkEnd w:id="9"/>
      <w:bookmarkEnd w:id="10"/>
      <w:bookmarkEnd w:id="11"/>
      <w:bookmarkEnd w:id="12"/>
    </w:p>
    <w:p w14:paraId="64527F3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根据部门决算编报要求，纳入国家统计局吉林调查总队</w:t>
      </w:r>
      <w:r>
        <w:rPr>
          <w:rFonts w:hint="default" w:ascii="仿宋_GB2312" w:hAnsi="仿宋_GB2312" w:eastAsia="仿宋_GB2312" w:cs="仿宋_GB2312"/>
          <w:sz w:val="32"/>
          <w:szCs w:val="32"/>
          <w:lang w:val="en-US"/>
        </w:rPr>
        <w:t>202</w:t>
      </w: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rPr>
        <w:t>年</w:t>
      </w:r>
      <w:r>
        <w:rPr>
          <w:rFonts w:hint="eastAsia" w:ascii="仿宋_GB2312" w:hAnsi="仿宋_GB2312" w:eastAsia="仿宋_GB2312" w:cs="仿宋_GB2312"/>
          <w:sz w:val="32"/>
          <w:szCs w:val="32"/>
        </w:rPr>
        <w:t>度部门决算编报范围的单位包括1个省级调查队（国家统计局吉林调查总队本级）、1个副省级</w:t>
      </w:r>
      <w:r>
        <w:rPr>
          <w:rFonts w:hint="eastAsia" w:ascii="仿宋_GB2312" w:hAnsi="仿宋_GB2312" w:eastAsia="仿宋_GB2312" w:cs="仿宋_GB2312"/>
          <w:sz w:val="32"/>
          <w:szCs w:val="32"/>
          <w:lang w:val="en-US" w:eastAsia="zh-CN"/>
        </w:rPr>
        <w:t>城市</w:t>
      </w:r>
      <w:r>
        <w:rPr>
          <w:rFonts w:hint="eastAsia" w:ascii="仿宋_GB2312" w:hAnsi="仿宋_GB2312" w:eastAsia="仿宋_GB2312" w:cs="仿宋_GB2312"/>
          <w:sz w:val="32"/>
          <w:szCs w:val="32"/>
        </w:rPr>
        <w:t>调查队（国家统计局长春调查队）、8个市级调查队以及21个县级调查队，共</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个三级预算单位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详见下表</w:t>
      </w:r>
      <w:r>
        <w:rPr>
          <w:rFonts w:hint="eastAsia" w:ascii="仿宋_GB2312" w:hAnsi="仿宋_GB2312" w:eastAsia="仿宋_GB2312" w:cs="仿宋_GB2312"/>
          <w:sz w:val="32"/>
          <w:szCs w:val="32"/>
        </w:rPr>
        <w:t>。</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93D2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468A843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b/>
                <w:bCs/>
                <w:sz w:val="22"/>
                <w:szCs w:val="22"/>
                <w:vertAlign w:val="baseline"/>
                <w:lang w:val="en-US" w:eastAsia="zh-CN"/>
              </w:rPr>
              <w:t>单位组成</w:t>
            </w:r>
          </w:p>
        </w:tc>
      </w:tr>
      <w:tr w14:paraId="6E22A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2C2618A3">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国家统计局吉林调查总队（本级）</w:t>
            </w:r>
          </w:p>
        </w:tc>
      </w:tr>
      <w:tr w14:paraId="12889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6E4DF6AD">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国家统计局长春调查队</w:t>
            </w:r>
          </w:p>
        </w:tc>
      </w:tr>
      <w:tr w14:paraId="5D00C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74E348DE">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国家统计局吉林市调查队</w:t>
            </w:r>
          </w:p>
        </w:tc>
      </w:tr>
      <w:tr w14:paraId="2AA11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62AF3755">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国家统计局四平调查队</w:t>
            </w:r>
          </w:p>
        </w:tc>
      </w:tr>
      <w:tr w14:paraId="335FE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06F86A88">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国家统计局辽源调查队</w:t>
            </w:r>
          </w:p>
        </w:tc>
      </w:tr>
      <w:tr w14:paraId="07ADD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6ED6BB46">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国家统计局通化调查队</w:t>
            </w:r>
          </w:p>
        </w:tc>
      </w:tr>
      <w:tr w14:paraId="20440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7A48FF46">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国家统计局白山调查队</w:t>
            </w:r>
          </w:p>
        </w:tc>
      </w:tr>
      <w:tr w14:paraId="60799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3092BA83">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国家统计局松原调查队</w:t>
            </w:r>
          </w:p>
        </w:tc>
      </w:tr>
      <w:tr w14:paraId="157CA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4ACCA12B">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国家统计局白城调查队</w:t>
            </w:r>
          </w:p>
        </w:tc>
      </w:tr>
      <w:tr w14:paraId="3CC91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7C765C78">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国家统计局延边调查队</w:t>
            </w:r>
          </w:p>
        </w:tc>
      </w:tr>
      <w:tr w14:paraId="488FD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2DB39F7A">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国家统计局德惠调查队</w:t>
            </w:r>
          </w:p>
        </w:tc>
      </w:tr>
      <w:tr w14:paraId="60F9E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5B18EE79">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国家统计局双辽调查队</w:t>
            </w:r>
          </w:p>
        </w:tc>
      </w:tr>
      <w:tr w14:paraId="6AA75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59C7BA24">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国家统计局榆树调查队</w:t>
            </w:r>
          </w:p>
        </w:tc>
      </w:tr>
      <w:tr w14:paraId="54391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469E9377">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国家统计局农安调查队</w:t>
            </w:r>
          </w:p>
        </w:tc>
      </w:tr>
      <w:tr w14:paraId="660D8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2D09256D">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国家统计局双阳调查队</w:t>
            </w:r>
          </w:p>
        </w:tc>
      </w:tr>
      <w:tr w14:paraId="5AF82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7DEF4CEC">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国家统计局蛟河调查队</w:t>
            </w:r>
          </w:p>
        </w:tc>
      </w:tr>
      <w:tr w14:paraId="541D6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549A811F">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国家统计局永吉调查队</w:t>
            </w:r>
          </w:p>
        </w:tc>
      </w:tr>
      <w:tr w14:paraId="63502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2DB41611">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国家统计局磐石调查队</w:t>
            </w:r>
          </w:p>
        </w:tc>
      </w:tr>
      <w:tr w14:paraId="0E55E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6583E2ED">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国家统计局桦甸调查队</w:t>
            </w:r>
          </w:p>
        </w:tc>
      </w:tr>
      <w:tr w14:paraId="69F05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031C79F9">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国家统计局公主岭调查队</w:t>
            </w:r>
          </w:p>
        </w:tc>
      </w:tr>
      <w:tr w14:paraId="67B54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687BE05A">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国家统计局梨树调查队</w:t>
            </w:r>
          </w:p>
        </w:tc>
      </w:tr>
      <w:tr w14:paraId="305CF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01C9E396">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国家统计局东辽调查队</w:t>
            </w:r>
          </w:p>
        </w:tc>
      </w:tr>
      <w:tr w14:paraId="5A50C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43FC7C37">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国家统计局东丰调查队</w:t>
            </w:r>
          </w:p>
        </w:tc>
      </w:tr>
      <w:tr w14:paraId="7E5C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31A54D01">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国家统计局通化县调查队</w:t>
            </w:r>
          </w:p>
        </w:tc>
      </w:tr>
      <w:tr w14:paraId="56A4C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45186875">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国家统计局乾安调查队</w:t>
            </w:r>
          </w:p>
        </w:tc>
      </w:tr>
      <w:tr w14:paraId="46C1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67C1322F">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国家统计局洮南调查队</w:t>
            </w:r>
          </w:p>
        </w:tc>
      </w:tr>
      <w:tr w14:paraId="4B5A9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5B852B96">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国家统计局和龙调查队</w:t>
            </w:r>
          </w:p>
        </w:tc>
      </w:tr>
      <w:tr w14:paraId="5F23A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489E6BB4">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国家统计局安图调查队</w:t>
            </w:r>
          </w:p>
        </w:tc>
      </w:tr>
      <w:tr w14:paraId="5E41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23CE25DB">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国家统计局扶余调查队</w:t>
            </w:r>
          </w:p>
        </w:tc>
      </w:tr>
      <w:tr w14:paraId="5ABE1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5480165A">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国家统计局梅河新区调查队</w:t>
            </w:r>
          </w:p>
        </w:tc>
      </w:tr>
      <w:tr w14:paraId="3A456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7D7BB561">
            <w:pPr>
              <w:keepNext w:val="0"/>
              <w:keepLines w:val="0"/>
              <w:pageBreakBefore w:val="0"/>
              <w:widowControl w:val="0"/>
              <w:kinsoku/>
              <w:wordWrap/>
              <w:overflowPunct/>
              <w:topLinePunct w:val="0"/>
              <w:autoSpaceDE/>
              <w:autoSpaceDN/>
              <w:bidi w:val="0"/>
              <w:adjustRightInd/>
              <w:snapToGrid/>
              <w:spacing w:line="240" w:lineRule="atLeast"/>
              <w:ind w:firstLine="220" w:firstLineChars="100"/>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国家统计局抚松调查队</w:t>
            </w:r>
          </w:p>
        </w:tc>
      </w:tr>
    </w:tbl>
    <w:p w14:paraId="010B1799">
      <w:pPr>
        <w:spacing w:beforeLines="100" w:afterLines="100" w:line="520" w:lineRule="exact"/>
        <w:jc w:val="both"/>
        <w:outlineLvl w:val="9"/>
        <w:rPr>
          <w:rFonts w:ascii="Times New Roman" w:hAnsi="Times New Roman" w:eastAsia="方正小标宋_GBK" w:cs="Times New Roman"/>
          <w:color w:val="000000"/>
          <w:kern w:val="0"/>
          <w:sz w:val="32"/>
          <w:szCs w:val="32"/>
        </w:rPr>
        <w:sectPr>
          <w:footerReference r:id="rId3" w:type="default"/>
          <w:pgSz w:w="11906" w:h="16838"/>
          <w:pgMar w:top="1440" w:right="1800" w:bottom="1440" w:left="1800" w:header="851" w:footer="992" w:gutter="0"/>
          <w:cols w:space="425" w:num="1"/>
          <w:docGrid w:type="lines" w:linePitch="312" w:charSpace="0"/>
        </w:sectPr>
      </w:pPr>
    </w:p>
    <w:p w14:paraId="03795F87">
      <w:pPr>
        <w:pStyle w:val="3"/>
        <w:bidi w:val="0"/>
        <w:outlineLvl w:val="0"/>
        <w:rPr>
          <w:rFonts w:hint="eastAsia"/>
        </w:rPr>
      </w:pPr>
      <w:bookmarkStart w:id="13" w:name="_Toc304632969"/>
      <w:r>
        <w:rPr>
          <w:rFonts w:hint="eastAsia"/>
        </w:rPr>
        <w:t xml:space="preserve">第二部分 </w:t>
      </w:r>
      <w:r>
        <w:rPr>
          <w:rFonts w:hint="default"/>
          <w:lang w:val="en-US"/>
        </w:rPr>
        <w:t>202</w:t>
      </w:r>
      <w:r>
        <w:rPr>
          <w:rFonts w:hint="eastAsia"/>
          <w:lang w:val="en-US" w:eastAsia="zh-CN"/>
        </w:rPr>
        <w:t>5</w:t>
      </w:r>
      <w:r>
        <w:rPr>
          <w:rFonts w:hint="default"/>
          <w:lang w:val="en-US"/>
        </w:rPr>
        <w:t>年</w:t>
      </w:r>
      <w:r>
        <w:rPr>
          <w:rFonts w:hint="eastAsia"/>
        </w:rPr>
        <w:t>度部门决算表</w:t>
      </w:r>
      <w:bookmarkEnd w:id="13"/>
    </w:p>
    <w:p w14:paraId="56D8CFF4">
      <w:pPr>
        <w:bidi w:val="0"/>
        <w:jc w:val="center"/>
        <w:rPr>
          <w:rFonts w:hint="eastAsia" w:ascii="宋体" w:hAnsi="宋体" w:eastAsia="宋体" w:cs="宋体"/>
          <w:sz w:val="32"/>
          <w:szCs w:val="32"/>
        </w:rPr>
      </w:pPr>
      <w:r>
        <w:rPr>
          <w:rFonts w:hint="eastAsia" w:ascii="宋体" w:hAnsi="宋体" w:eastAsia="宋体" w:cs="宋体"/>
          <w:sz w:val="32"/>
          <w:szCs w:val="32"/>
        </w:rPr>
        <w:t>收入支出决算总表</w:t>
      </w:r>
    </w:p>
    <w:tbl>
      <w:tblPr>
        <w:tblStyle w:val="12"/>
        <w:tblW w:w="13922" w:type="dxa"/>
        <w:jc w:val="center"/>
        <w:tblLayout w:type="fixed"/>
        <w:tblCellMar>
          <w:top w:w="0" w:type="dxa"/>
          <w:left w:w="108" w:type="dxa"/>
          <w:bottom w:w="0" w:type="dxa"/>
          <w:right w:w="108" w:type="dxa"/>
        </w:tblCellMar>
      </w:tblPr>
      <w:tblGrid>
        <w:gridCol w:w="3761"/>
        <w:gridCol w:w="879"/>
        <w:gridCol w:w="263"/>
        <w:gridCol w:w="240"/>
        <w:gridCol w:w="1817"/>
        <w:gridCol w:w="3757"/>
        <w:gridCol w:w="203"/>
        <w:gridCol w:w="680"/>
        <w:gridCol w:w="80"/>
        <w:gridCol w:w="2242"/>
      </w:tblGrid>
      <w:tr w14:paraId="49A209D2">
        <w:tblPrEx>
          <w:tblCellMar>
            <w:top w:w="0" w:type="dxa"/>
            <w:left w:w="108" w:type="dxa"/>
            <w:bottom w:w="0" w:type="dxa"/>
            <w:right w:w="108" w:type="dxa"/>
          </w:tblCellMar>
        </w:tblPrEx>
        <w:trPr>
          <w:trHeight w:val="255" w:hRule="atLeast"/>
          <w:jc w:val="center"/>
        </w:trPr>
        <w:tc>
          <w:tcPr>
            <w:tcW w:w="4903" w:type="dxa"/>
            <w:gridSpan w:val="3"/>
            <w:tcBorders>
              <w:top w:val="nil"/>
              <w:left w:val="nil"/>
              <w:bottom w:val="nil"/>
              <w:right w:val="nil"/>
            </w:tcBorders>
            <w:shd w:val="clear" w:color="auto" w:fill="auto"/>
            <w:noWrap/>
            <w:vAlign w:val="bottom"/>
          </w:tcPr>
          <w:p w14:paraId="1638917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color w:val="000000"/>
                <w:kern w:val="0"/>
                <w:sz w:val="22"/>
                <w:szCs w:val="22"/>
              </w:rPr>
            </w:pPr>
          </w:p>
        </w:tc>
        <w:tc>
          <w:tcPr>
            <w:tcW w:w="240" w:type="dxa"/>
            <w:tcBorders>
              <w:top w:val="nil"/>
              <w:left w:val="nil"/>
              <w:bottom w:val="nil"/>
              <w:right w:val="nil"/>
            </w:tcBorders>
            <w:shd w:val="clear" w:color="auto" w:fill="auto"/>
            <w:noWrap/>
            <w:vAlign w:val="bottom"/>
          </w:tcPr>
          <w:p w14:paraId="325B47D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1817" w:type="dxa"/>
            <w:tcBorders>
              <w:top w:val="nil"/>
              <w:left w:val="nil"/>
              <w:bottom w:val="nil"/>
              <w:right w:val="nil"/>
            </w:tcBorders>
            <w:shd w:val="clear" w:color="auto" w:fill="auto"/>
            <w:noWrap/>
            <w:vAlign w:val="bottom"/>
          </w:tcPr>
          <w:p w14:paraId="6F15A9C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3960" w:type="dxa"/>
            <w:gridSpan w:val="2"/>
            <w:tcBorders>
              <w:top w:val="nil"/>
              <w:left w:val="nil"/>
              <w:bottom w:val="nil"/>
              <w:right w:val="nil"/>
            </w:tcBorders>
            <w:shd w:val="clear" w:color="auto" w:fill="auto"/>
            <w:noWrap/>
            <w:vAlign w:val="bottom"/>
          </w:tcPr>
          <w:p w14:paraId="194E138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760" w:type="dxa"/>
            <w:gridSpan w:val="2"/>
            <w:tcBorders>
              <w:top w:val="nil"/>
              <w:left w:val="nil"/>
              <w:bottom w:val="nil"/>
              <w:right w:val="nil"/>
            </w:tcBorders>
            <w:shd w:val="clear" w:color="auto" w:fill="auto"/>
            <w:noWrap/>
            <w:vAlign w:val="bottom"/>
          </w:tcPr>
          <w:p w14:paraId="554F1DB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2242" w:type="dxa"/>
            <w:tcBorders>
              <w:top w:val="nil"/>
              <w:left w:val="nil"/>
              <w:bottom w:val="nil"/>
              <w:right w:val="nil"/>
            </w:tcBorders>
            <w:shd w:val="clear" w:color="auto" w:fill="auto"/>
            <w:noWrap/>
            <w:vAlign w:val="bottom"/>
          </w:tcPr>
          <w:p w14:paraId="0765B84C">
            <w:pPr>
              <w:keepNext w:val="0"/>
              <w:keepLines w:val="0"/>
              <w:pageBreakBefore w:val="0"/>
              <w:widowControl/>
              <w:kinsoku/>
              <w:wordWrap/>
              <w:overflowPunct/>
              <w:topLinePunct w:val="0"/>
              <w:autoSpaceDE/>
              <w:autoSpaceDN/>
              <w:bidi w:val="0"/>
              <w:adjustRightInd/>
              <w:snapToGrid/>
              <w:spacing w:line="400" w:lineRule="exact"/>
              <w:jc w:val="right"/>
              <w:textAlignment w:val="auto"/>
              <w:rPr>
                <w:rFonts w:ascii="宋体" w:hAnsi="宋体" w:eastAsia="宋体" w:cs="Arial"/>
                <w:color w:val="000000"/>
                <w:kern w:val="0"/>
                <w:sz w:val="22"/>
                <w:szCs w:val="22"/>
              </w:rPr>
            </w:pPr>
            <w:r>
              <w:rPr>
                <w:rFonts w:hint="eastAsia" w:ascii="宋体" w:hAnsi="宋体" w:eastAsia="宋体" w:cs="Arial"/>
                <w:color w:val="000000"/>
                <w:kern w:val="0"/>
                <w:sz w:val="22"/>
                <w:szCs w:val="22"/>
              </w:rPr>
              <w:t>公开01表</w:t>
            </w:r>
          </w:p>
        </w:tc>
      </w:tr>
      <w:tr w14:paraId="7D15E574">
        <w:tblPrEx>
          <w:tblCellMar>
            <w:top w:w="0" w:type="dxa"/>
            <w:left w:w="108" w:type="dxa"/>
            <w:bottom w:w="0" w:type="dxa"/>
            <w:right w:w="108" w:type="dxa"/>
          </w:tblCellMar>
        </w:tblPrEx>
        <w:trPr>
          <w:trHeight w:val="255" w:hRule="atLeast"/>
          <w:jc w:val="center"/>
        </w:trPr>
        <w:tc>
          <w:tcPr>
            <w:tcW w:w="4903" w:type="dxa"/>
            <w:gridSpan w:val="3"/>
            <w:tcBorders>
              <w:top w:val="nil"/>
              <w:left w:val="nil"/>
              <w:bottom w:val="nil"/>
              <w:right w:val="nil"/>
            </w:tcBorders>
            <w:shd w:val="clear" w:color="auto" w:fill="auto"/>
            <w:noWrap/>
            <w:vAlign w:val="bottom"/>
          </w:tcPr>
          <w:p w14:paraId="6368E2F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color w:val="000000"/>
                <w:kern w:val="0"/>
                <w:sz w:val="22"/>
                <w:szCs w:val="22"/>
              </w:rPr>
            </w:pPr>
            <w:r>
              <w:rPr>
                <w:rFonts w:hint="eastAsia" w:ascii="宋体" w:hAnsi="宋体" w:eastAsia="宋体" w:cs="Arial"/>
                <w:color w:val="000000"/>
                <w:kern w:val="0"/>
                <w:sz w:val="22"/>
                <w:szCs w:val="22"/>
              </w:rPr>
              <w:t>部门：国家统计局吉林调查总队</w:t>
            </w:r>
          </w:p>
        </w:tc>
        <w:tc>
          <w:tcPr>
            <w:tcW w:w="240" w:type="dxa"/>
            <w:tcBorders>
              <w:top w:val="nil"/>
              <w:left w:val="nil"/>
              <w:bottom w:val="nil"/>
              <w:right w:val="nil"/>
            </w:tcBorders>
            <w:shd w:val="clear" w:color="auto" w:fill="auto"/>
            <w:noWrap/>
            <w:vAlign w:val="bottom"/>
          </w:tcPr>
          <w:p w14:paraId="31FEF6D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color w:val="000000"/>
                <w:kern w:val="0"/>
                <w:sz w:val="22"/>
                <w:szCs w:val="22"/>
              </w:rPr>
            </w:pPr>
          </w:p>
        </w:tc>
        <w:tc>
          <w:tcPr>
            <w:tcW w:w="1817" w:type="dxa"/>
            <w:tcBorders>
              <w:top w:val="nil"/>
              <w:left w:val="nil"/>
              <w:bottom w:val="nil"/>
              <w:right w:val="nil"/>
            </w:tcBorders>
            <w:shd w:val="clear" w:color="auto" w:fill="auto"/>
            <w:noWrap/>
            <w:vAlign w:val="bottom"/>
          </w:tcPr>
          <w:p w14:paraId="7EDCCB1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3960" w:type="dxa"/>
            <w:gridSpan w:val="2"/>
            <w:tcBorders>
              <w:top w:val="nil"/>
              <w:left w:val="nil"/>
              <w:bottom w:val="nil"/>
              <w:right w:val="nil"/>
            </w:tcBorders>
            <w:shd w:val="clear" w:color="auto" w:fill="auto"/>
            <w:noWrap/>
            <w:vAlign w:val="bottom"/>
          </w:tcPr>
          <w:p w14:paraId="4875DDF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760" w:type="dxa"/>
            <w:gridSpan w:val="2"/>
            <w:tcBorders>
              <w:top w:val="nil"/>
              <w:left w:val="nil"/>
              <w:bottom w:val="nil"/>
              <w:right w:val="nil"/>
            </w:tcBorders>
            <w:shd w:val="clear" w:color="auto" w:fill="auto"/>
            <w:noWrap/>
            <w:vAlign w:val="bottom"/>
          </w:tcPr>
          <w:p w14:paraId="1A458C9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2242" w:type="dxa"/>
            <w:tcBorders>
              <w:top w:val="nil"/>
              <w:left w:val="nil"/>
              <w:bottom w:val="nil"/>
              <w:right w:val="nil"/>
            </w:tcBorders>
            <w:shd w:val="clear" w:color="auto" w:fill="auto"/>
            <w:noWrap/>
            <w:vAlign w:val="bottom"/>
          </w:tcPr>
          <w:p w14:paraId="6A5C0DBE">
            <w:pPr>
              <w:keepNext w:val="0"/>
              <w:keepLines w:val="0"/>
              <w:pageBreakBefore w:val="0"/>
              <w:widowControl/>
              <w:kinsoku/>
              <w:wordWrap/>
              <w:overflowPunct/>
              <w:topLinePunct w:val="0"/>
              <w:autoSpaceDE/>
              <w:autoSpaceDN/>
              <w:bidi w:val="0"/>
              <w:adjustRightInd/>
              <w:snapToGrid/>
              <w:spacing w:line="400" w:lineRule="exact"/>
              <w:jc w:val="right"/>
              <w:textAlignment w:val="auto"/>
              <w:rPr>
                <w:rFonts w:ascii="宋体" w:hAnsi="宋体" w:eastAsia="宋体" w:cs="Arial"/>
                <w:color w:val="000000"/>
                <w:kern w:val="0"/>
                <w:sz w:val="22"/>
                <w:szCs w:val="22"/>
              </w:rPr>
            </w:pPr>
            <w:r>
              <w:rPr>
                <w:rFonts w:hint="eastAsia" w:ascii="宋体" w:hAnsi="宋体" w:eastAsia="宋体" w:cs="Arial"/>
                <w:color w:val="000000"/>
                <w:kern w:val="0"/>
                <w:sz w:val="22"/>
                <w:szCs w:val="22"/>
              </w:rPr>
              <w:t>金额单位：万元</w:t>
            </w:r>
          </w:p>
        </w:tc>
      </w:tr>
      <w:tr w14:paraId="6F02C307">
        <w:tblPrEx>
          <w:tblCellMar>
            <w:top w:w="0" w:type="dxa"/>
            <w:left w:w="108" w:type="dxa"/>
            <w:bottom w:w="0" w:type="dxa"/>
            <w:right w:w="108" w:type="dxa"/>
          </w:tblCellMar>
        </w:tblPrEx>
        <w:trPr>
          <w:trHeight w:val="308" w:hRule="atLeast"/>
          <w:jc w:val="center"/>
        </w:trPr>
        <w:tc>
          <w:tcPr>
            <w:tcW w:w="696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2BF6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r>
              <w:rPr>
                <w:rFonts w:hint="eastAsia" w:ascii="宋体" w:hAnsi="宋体" w:eastAsia="宋体" w:cs="Arial"/>
                <w:color w:val="000000"/>
                <w:kern w:val="0"/>
                <w:sz w:val="22"/>
              </w:rPr>
              <w:t>收入</w:t>
            </w:r>
          </w:p>
        </w:tc>
        <w:tc>
          <w:tcPr>
            <w:tcW w:w="6962" w:type="dxa"/>
            <w:gridSpan w:val="5"/>
            <w:tcBorders>
              <w:top w:val="single" w:color="000000" w:sz="4" w:space="0"/>
              <w:left w:val="nil"/>
              <w:bottom w:val="single" w:color="000000" w:sz="4" w:space="0"/>
              <w:right w:val="single" w:color="000000" w:sz="4" w:space="0"/>
            </w:tcBorders>
            <w:shd w:val="clear" w:color="auto" w:fill="auto"/>
            <w:noWrap/>
            <w:vAlign w:val="center"/>
          </w:tcPr>
          <w:p w14:paraId="4266864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r>
              <w:rPr>
                <w:rFonts w:hint="eastAsia" w:ascii="宋体" w:hAnsi="宋体" w:eastAsia="宋体" w:cs="Arial"/>
                <w:color w:val="000000"/>
                <w:kern w:val="0"/>
                <w:sz w:val="22"/>
              </w:rPr>
              <w:t>支出</w:t>
            </w:r>
          </w:p>
        </w:tc>
      </w:tr>
      <w:tr w14:paraId="2B9C15B2">
        <w:tblPrEx>
          <w:tblCellMar>
            <w:top w:w="0" w:type="dxa"/>
            <w:left w:w="108" w:type="dxa"/>
            <w:bottom w:w="0" w:type="dxa"/>
            <w:right w:w="108" w:type="dxa"/>
          </w:tblCellMar>
        </w:tblPrEx>
        <w:trPr>
          <w:trHeight w:val="308" w:hRule="atLeast"/>
          <w:jc w:val="center"/>
        </w:trPr>
        <w:tc>
          <w:tcPr>
            <w:tcW w:w="3761" w:type="dxa"/>
            <w:tcBorders>
              <w:top w:val="nil"/>
              <w:left w:val="single" w:color="000000" w:sz="4" w:space="0"/>
              <w:bottom w:val="single" w:color="000000" w:sz="4" w:space="0"/>
              <w:right w:val="single" w:color="000000" w:sz="4" w:space="0"/>
            </w:tcBorders>
            <w:shd w:val="clear" w:color="auto" w:fill="auto"/>
            <w:noWrap/>
            <w:vAlign w:val="center"/>
          </w:tcPr>
          <w:p w14:paraId="75E8EE7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879" w:type="dxa"/>
            <w:tcBorders>
              <w:top w:val="nil"/>
              <w:left w:val="nil"/>
              <w:bottom w:val="single" w:color="000000" w:sz="4" w:space="0"/>
              <w:right w:val="single" w:color="000000" w:sz="4" w:space="0"/>
            </w:tcBorders>
            <w:shd w:val="clear" w:color="auto" w:fill="auto"/>
            <w:noWrap/>
            <w:vAlign w:val="center"/>
          </w:tcPr>
          <w:p w14:paraId="6155238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r>
              <w:rPr>
                <w:rFonts w:hint="eastAsia" w:ascii="宋体" w:hAnsi="宋体" w:eastAsia="宋体" w:cs="Arial"/>
                <w:color w:val="000000"/>
                <w:kern w:val="0"/>
                <w:sz w:val="22"/>
              </w:rPr>
              <w:t>行次</w:t>
            </w:r>
          </w:p>
        </w:tc>
        <w:tc>
          <w:tcPr>
            <w:tcW w:w="2320" w:type="dxa"/>
            <w:gridSpan w:val="3"/>
            <w:tcBorders>
              <w:top w:val="nil"/>
              <w:left w:val="nil"/>
              <w:bottom w:val="single" w:color="000000" w:sz="4" w:space="0"/>
              <w:right w:val="single" w:color="000000" w:sz="4" w:space="0"/>
            </w:tcBorders>
            <w:shd w:val="clear" w:color="auto" w:fill="auto"/>
            <w:noWrap/>
            <w:vAlign w:val="center"/>
          </w:tcPr>
          <w:p w14:paraId="04A0059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r>
              <w:rPr>
                <w:rFonts w:hint="eastAsia" w:ascii="宋体" w:hAnsi="宋体" w:eastAsia="宋体" w:cs="Arial"/>
                <w:color w:val="000000"/>
                <w:kern w:val="0"/>
                <w:sz w:val="22"/>
              </w:rPr>
              <w:t>金额</w:t>
            </w:r>
          </w:p>
        </w:tc>
        <w:tc>
          <w:tcPr>
            <w:tcW w:w="3757" w:type="dxa"/>
            <w:tcBorders>
              <w:top w:val="nil"/>
              <w:left w:val="nil"/>
              <w:bottom w:val="single" w:color="000000" w:sz="4" w:space="0"/>
              <w:right w:val="single" w:color="000000" w:sz="4" w:space="0"/>
            </w:tcBorders>
            <w:shd w:val="clear" w:color="auto" w:fill="auto"/>
            <w:noWrap/>
            <w:vAlign w:val="center"/>
          </w:tcPr>
          <w:p w14:paraId="1065EBB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883" w:type="dxa"/>
            <w:gridSpan w:val="2"/>
            <w:tcBorders>
              <w:top w:val="nil"/>
              <w:left w:val="nil"/>
              <w:bottom w:val="single" w:color="000000" w:sz="4" w:space="0"/>
              <w:right w:val="single" w:color="000000" w:sz="4" w:space="0"/>
            </w:tcBorders>
            <w:shd w:val="clear" w:color="auto" w:fill="auto"/>
            <w:noWrap/>
            <w:vAlign w:val="center"/>
          </w:tcPr>
          <w:p w14:paraId="1816004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r>
              <w:rPr>
                <w:rFonts w:hint="eastAsia" w:ascii="宋体" w:hAnsi="宋体" w:eastAsia="宋体" w:cs="Arial"/>
                <w:color w:val="000000"/>
                <w:kern w:val="0"/>
                <w:sz w:val="22"/>
              </w:rPr>
              <w:t>行次</w:t>
            </w:r>
          </w:p>
        </w:tc>
        <w:tc>
          <w:tcPr>
            <w:tcW w:w="2322" w:type="dxa"/>
            <w:gridSpan w:val="2"/>
            <w:tcBorders>
              <w:top w:val="nil"/>
              <w:left w:val="nil"/>
              <w:bottom w:val="single" w:color="000000" w:sz="4" w:space="0"/>
              <w:right w:val="single" w:color="000000" w:sz="4" w:space="0"/>
            </w:tcBorders>
            <w:shd w:val="clear" w:color="auto" w:fill="auto"/>
            <w:noWrap/>
            <w:vAlign w:val="center"/>
          </w:tcPr>
          <w:p w14:paraId="3A8CAF4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r>
              <w:rPr>
                <w:rFonts w:hint="eastAsia" w:ascii="宋体" w:hAnsi="宋体" w:eastAsia="宋体" w:cs="Arial"/>
                <w:color w:val="000000"/>
                <w:kern w:val="0"/>
                <w:sz w:val="22"/>
              </w:rPr>
              <w:t>金额</w:t>
            </w:r>
          </w:p>
        </w:tc>
      </w:tr>
      <w:tr w14:paraId="5A6DFE37">
        <w:tblPrEx>
          <w:tblCellMar>
            <w:top w:w="0" w:type="dxa"/>
            <w:left w:w="108" w:type="dxa"/>
            <w:bottom w:w="0" w:type="dxa"/>
            <w:right w:w="108" w:type="dxa"/>
          </w:tblCellMar>
        </w:tblPrEx>
        <w:trPr>
          <w:trHeight w:val="90" w:hRule="atLeast"/>
          <w:jc w:val="center"/>
        </w:trPr>
        <w:tc>
          <w:tcPr>
            <w:tcW w:w="3761" w:type="dxa"/>
            <w:tcBorders>
              <w:top w:val="nil"/>
              <w:left w:val="single" w:color="000000" w:sz="4" w:space="0"/>
              <w:bottom w:val="single" w:color="000000" w:sz="4" w:space="0"/>
              <w:right w:val="single" w:color="000000" w:sz="4" w:space="0"/>
            </w:tcBorders>
            <w:shd w:val="clear" w:color="auto" w:fill="auto"/>
            <w:noWrap/>
            <w:vAlign w:val="center"/>
          </w:tcPr>
          <w:p w14:paraId="2900EBC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栏次</w:t>
            </w:r>
          </w:p>
        </w:tc>
        <w:tc>
          <w:tcPr>
            <w:tcW w:w="879" w:type="dxa"/>
            <w:tcBorders>
              <w:top w:val="nil"/>
              <w:left w:val="nil"/>
              <w:bottom w:val="single" w:color="000000" w:sz="4" w:space="0"/>
              <w:right w:val="single" w:color="000000" w:sz="4" w:space="0"/>
            </w:tcBorders>
            <w:shd w:val="clear" w:color="auto" w:fill="auto"/>
            <w:noWrap/>
            <w:vAlign w:val="center"/>
          </w:tcPr>
          <w:p w14:paraId="1168EE1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p>
        </w:tc>
        <w:tc>
          <w:tcPr>
            <w:tcW w:w="2320" w:type="dxa"/>
            <w:gridSpan w:val="3"/>
            <w:tcBorders>
              <w:top w:val="nil"/>
              <w:left w:val="nil"/>
              <w:bottom w:val="single" w:color="000000" w:sz="4" w:space="0"/>
              <w:right w:val="single" w:color="000000" w:sz="4" w:space="0"/>
            </w:tcBorders>
            <w:shd w:val="clear" w:color="auto" w:fill="auto"/>
            <w:noWrap/>
            <w:vAlign w:val="center"/>
          </w:tcPr>
          <w:p w14:paraId="4D99575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1</w:t>
            </w:r>
          </w:p>
        </w:tc>
        <w:tc>
          <w:tcPr>
            <w:tcW w:w="3757" w:type="dxa"/>
            <w:tcBorders>
              <w:top w:val="nil"/>
              <w:left w:val="nil"/>
              <w:bottom w:val="single" w:color="000000" w:sz="4" w:space="0"/>
              <w:right w:val="single" w:color="000000" w:sz="4" w:space="0"/>
            </w:tcBorders>
            <w:shd w:val="clear" w:color="auto" w:fill="auto"/>
            <w:noWrap/>
            <w:vAlign w:val="center"/>
          </w:tcPr>
          <w:p w14:paraId="2839250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栏次</w:t>
            </w:r>
          </w:p>
        </w:tc>
        <w:tc>
          <w:tcPr>
            <w:tcW w:w="883" w:type="dxa"/>
            <w:gridSpan w:val="2"/>
            <w:tcBorders>
              <w:top w:val="nil"/>
              <w:left w:val="nil"/>
              <w:bottom w:val="single" w:color="000000" w:sz="4" w:space="0"/>
              <w:right w:val="single" w:color="000000" w:sz="4" w:space="0"/>
            </w:tcBorders>
            <w:shd w:val="clear" w:color="auto" w:fill="auto"/>
            <w:noWrap/>
            <w:vAlign w:val="center"/>
          </w:tcPr>
          <w:p w14:paraId="06B9C4C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p>
        </w:tc>
        <w:tc>
          <w:tcPr>
            <w:tcW w:w="2322" w:type="dxa"/>
            <w:gridSpan w:val="2"/>
            <w:tcBorders>
              <w:top w:val="nil"/>
              <w:left w:val="nil"/>
              <w:bottom w:val="single" w:color="000000" w:sz="4" w:space="0"/>
              <w:right w:val="single" w:color="000000" w:sz="4" w:space="0"/>
            </w:tcBorders>
            <w:shd w:val="clear" w:color="auto" w:fill="auto"/>
            <w:noWrap/>
            <w:vAlign w:val="center"/>
          </w:tcPr>
          <w:p w14:paraId="2338269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2</w:t>
            </w:r>
          </w:p>
        </w:tc>
      </w:tr>
      <w:tr w14:paraId="603312CA">
        <w:tblPrEx>
          <w:tblCellMar>
            <w:top w:w="0" w:type="dxa"/>
            <w:left w:w="108" w:type="dxa"/>
            <w:bottom w:w="0" w:type="dxa"/>
            <w:right w:w="108" w:type="dxa"/>
          </w:tblCellMar>
        </w:tblPrEx>
        <w:trPr>
          <w:trHeight w:val="308" w:hRule="atLeast"/>
          <w:jc w:val="center"/>
        </w:trPr>
        <w:tc>
          <w:tcPr>
            <w:tcW w:w="3761" w:type="dxa"/>
            <w:tcBorders>
              <w:top w:val="nil"/>
              <w:left w:val="single" w:color="000000" w:sz="4" w:space="0"/>
              <w:bottom w:val="single" w:color="000000" w:sz="4" w:space="0"/>
              <w:right w:val="single" w:color="000000" w:sz="4" w:space="0"/>
            </w:tcBorders>
            <w:shd w:val="clear" w:color="auto" w:fill="auto"/>
            <w:noWrap/>
            <w:vAlign w:val="center"/>
          </w:tcPr>
          <w:p w14:paraId="474D322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一、一般公共预算财政拨款收入</w:t>
            </w:r>
          </w:p>
        </w:tc>
        <w:tc>
          <w:tcPr>
            <w:tcW w:w="879" w:type="dxa"/>
            <w:tcBorders>
              <w:top w:val="nil"/>
              <w:left w:val="nil"/>
              <w:bottom w:val="single" w:color="000000" w:sz="4" w:space="0"/>
              <w:right w:val="single" w:color="000000" w:sz="4" w:space="0"/>
            </w:tcBorders>
            <w:shd w:val="clear" w:color="auto" w:fill="auto"/>
            <w:noWrap/>
            <w:vAlign w:val="center"/>
          </w:tcPr>
          <w:p w14:paraId="2DE243E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1</w:t>
            </w:r>
          </w:p>
        </w:tc>
        <w:tc>
          <w:tcPr>
            <w:tcW w:w="2320" w:type="dxa"/>
            <w:gridSpan w:val="3"/>
            <w:tcBorders>
              <w:top w:val="nil"/>
              <w:left w:val="nil"/>
              <w:bottom w:val="single" w:color="000000" w:sz="4" w:space="0"/>
              <w:right w:val="single" w:color="000000" w:sz="4" w:space="0"/>
            </w:tcBorders>
            <w:shd w:val="clear" w:color="auto" w:fill="auto"/>
            <w:noWrap/>
            <w:vAlign w:val="center"/>
          </w:tcPr>
          <w:p w14:paraId="749EA92D">
            <w:pPr>
              <w:keepNext w:val="0"/>
              <w:keepLines w:val="0"/>
              <w:widowControl/>
              <w:suppressLineNumbers w:val="0"/>
              <w:jc w:val="right"/>
              <w:textAlignment w:val="center"/>
              <w:rPr>
                <w:rFonts w:hint="default"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11,542.91</w:t>
            </w:r>
          </w:p>
        </w:tc>
        <w:tc>
          <w:tcPr>
            <w:tcW w:w="3757" w:type="dxa"/>
            <w:tcBorders>
              <w:top w:val="nil"/>
              <w:left w:val="nil"/>
              <w:bottom w:val="single" w:color="000000" w:sz="4" w:space="0"/>
              <w:right w:val="single" w:color="000000" w:sz="4" w:space="0"/>
            </w:tcBorders>
            <w:shd w:val="clear" w:color="auto" w:fill="auto"/>
            <w:noWrap/>
            <w:vAlign w:val="center"/>
          </w:tcPr>
          <w:p w14:paraId="0106DF3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一、一般公共服务支出</w:t>
            </w:r>
          </w:p>
        </w:tc>
        <w:tc>
          <w:tcPr>
            <w:tcW w:w="883" w:type="dxa"/>
            <w:gridSpan w:val="2"/>
            <w:tcBorders>
              <w:top w:val="nil"/>
              <w:left w:val="nil"/>
              <w:bottom w:val="single" w:color="000000" w:sz="4" w:space="0"/>
              <w:right w:val="single" w:color="000000" w:sz="4" w:space="0"/>
            </w:tcBorders>
            <w:shd w:val="clear" w:color="auto" w:fill="auto"/>
            <w:noWrap/>
            <w:vAlign w:val="center"/>
          </w:tcPr>
          <w:p w14:paraId="12C5C60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11</w:t>
            </w:r>
          </w:p>
        </w:tc>
        <w:tc>
          <w:tcPr>
            <w:tcW w:w="2322" w:type="dxa"/>
            <w:gridSpan w:val="2"/>
            <w:tcBorders>
              <w:top w:val="nil"/>
              <w:left w:val="nil"/>
              <w:bottom w:val="single" w:color="000000" w:sz="4" w:space="0"/>
              <w:right w:val="single" w:color="000000" w:sz="4" w:space="0"/>
            </w:tcBorders>
            <w:shd w:val="clear" w:color="auto" w:fill="auto"/>
            <w:noWrap/>
            <w:vAlign w:val="center"/>
          </w:tcPr>
          <w:p w14:paraId="30C3F573">
            <w:pPr>
              <w:keepNext w:val="0"/>
              <w:keepLines w:val="0"/>
              <w:widowControl/>
              <w:suppressLineNumbers w:val="0"/>
              <w:jc w:val="right"/>
              <w:textAlignment w:val="center"/>
              <w:rPr>
                <w:rFonts w:hint="default"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13,184.80</w:t>
            </w:r>
          </w:p>
        </w:tc>
      </w:tr>
      <w:tr w14:paraId="09DD9050">
        <w:tblPrEx>
          <w:tblCellMar>
            <w:top w:w="0" w:type="dxa"/>
            <w:left w:w="108" w:type="dxa"/>
            <w:bottom w:w="0" w:type="dxa"/>
            <w:right w:w="108" w:type="dxa"/>
          </w:tblCellMar>
        </w:tblPrEx>
        <w:trPr>
          <w:trHeight w:val="308" w:hRule="atLeast"/>
          <w:jc w:val="center"/>
        </w:trPr>
        <w:tc>
          <w:tcPr>
            <w:tcW w:w="3761" w:type="dxa"/>
            <w:tcBorders>
              <w:top w:val="nil"/>
              <w:left w:val="single" w:color="000000" w:sz="4" w:space="0"/>
              <w:bottom w:val="single" w:color="000000" w:sz="4" w:space="0"/>
              <w:right w:val="single" w:color="000000" w:sz="4" w:space="0"/>
            </w:tcBorders>
            <w:shd w:val="clear" w:color="auto" w:fill="auto"/>
            <w:noWrap/>
            <w:vAlign w:val="center"/>
          </w:tcPr>
          <w:p w14:paraId="1DD2B05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二、其他收入</w:t>
            </w:r>
          </w:p>
        </w:tc>
        <w:tc>
          <w:tcPr>
            <w:tcW w:w="879" w:type="dxa"/>
            <w:tcBorders>
              <w:top w:val="nil"/>
              <w:left w:val="nil"/>
              <w:bottom w:val="single" w:color="000000" w:sz="4" w:space="0"/>
              <w:right w:val="single" w:color="000000" w:sz="4" w:space="0"/>
            </w:tcBorders>
            <w:shd w:val="clear" w:color="auto" w:fill="auto"/>
            <w:noWrap/>
            <w:vAlign w:val="center"/>
          </w:tcPr>
          <w:p w14:paraId="41577C9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2</w:t>
            </w:r>
          </w:p>
        </w:tc>
        <w:tc>
          <w:tcPr>
            <w:tcW w:w="2320" w:type="dxa"/>
            <w:gridSpan w:val="3"/>
            <w:tcBorders>
              <w:top w:val="nil"/>
              <w:left w:val="nil"/>
              <w:bottom w:val="single" w:color="000000" w:sz="4" w:space="0"/>
              <w:right w:val="single" w:color="000000" w:sz="4" w:space="0"/>
            </w:tcBorders>
            <w:shd w:val="clear" w:color="auto" w:fill="auto"/>
            <w:noWrap/>
            <w:vAlign w:val="center"/>
          </w:tcPr>
          <w:p w14:paraId="32489319">
            <w:pPr>
              <w:keepNext w:val="0"/>
              <w:keepLines w:val="0"/>
              <w:widowControl/>
              <w:suppressLineNumbers w:val="0"/>
              <w:jc w:val="right"/>
              <w:textAlignment w:val="center"/>
              <w:rPr>
                <w:rFonts w:hint="default"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4,594.02</w:t>
            </w:r>
          </w:p>
        </w:tc>
        <w:tc>
          <w:tcPr>
            <w:tcW w:w="3757" w:type="dxa"/>
            <w:tcBorders>
              <w:top w:val="nil"/>
              <w:left w:val="nil"/>
              <w:bottom w:val="single" w:color="000000" w:sz="4" w:space="0"/>
              <w:right w:val="single" w:color="000000" w:sz="4" w:space="0"/>
            </w:tcBorders>
            <w:shd w:val="clear" w:color="auto" w:fill="auto"/>
            <w:noWrap/>
            <w:vAlign w:val="center"/>
          </w:tcPr>
          <w:p w14:paraId="75AEF83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default" w:ascii="宋体" w:hAnsi="宋体" w:eastAsia="宋体" w:cs="Arial"/>
                <w:b w:val="0"/>
                <w:bCs w:val="0"/>
                <w:color w:val="000000"/>
                <w:kern w:val="0"/>
                <w:sz w:val="22"/>
                <w:lang w:val="en-US" w:eastAsia="zh-CN"/>
              </w:rPr>
            </w:pPr>
            <w:r>
              <w:rPr>
                <w:rFonts w:hint="default" w:ascii="宋体" w:hAnsi="宋体" w:eastAsia="宋体" w:cs="宋体"/>
                <w:b w:val="0"/>
                <w:bCs w:val="0"/>
                <w:i w:val="0"/>
                <w:iCs w:val="0"/>
                <w:color w:val="000000"/>
                <w:kern w:val="2"/>
                <w:sz w:val="22"/>
                <w:szCs w:val="22"/>
                <w:u w:val="none"/>
                <w:lang w:val="en-US" w:eastAsia="zh-CN" w:bidi="ar-SA"/>
              </w:rPr>
              <w:t>二</w:t>
            </w:r>
            <w:r>
              <w:rPr>
                <w:rFonts w:hint="eastAsia" w:ascii="宋体" w:hAnsi="宋体" w:eastAsia="宋体" w:cs="Arial"/>
                <w:b w:val="0"/>
                <w:bCs w:val="0"/>
                <w:color w:val="000000"/>
                <w:kern w:val="0"/>
                <w:sz w:val="22"/>
              </w:rPr>
              <w:t>、</w:t>
            </w:r>
            <w:r>
              <w:rPr>
                <w:rFonts w:hint="eastAsia" w:ascii="宋体" w:hAnsi="宋体" w:eastAsia="宋体" w:cs="Arial"/>
                <w:b w:val="0"/>
                <w:bCs w:val="0"/>
                <w:color w:val="000000"/>
                <w:kern w:val="0"/>
                <w:sz w:val="22"/>
                <w:lang w:val="en-US" w:eastAsia="zh-CN"/>
              </w:rPr>
              <w:t>社会保障和就业支出</w:t>
            </w:r>
          </w:p>
        </w:tc>
        <w:tc>
          <w:tcPr>
            <w:tcW w:w="883" w:type="dxa"/>
            <w:gridSpan w:val="2"/>
            <w:tcBorders>
              <w:top w:val="nil"/>
              <w:left w:val="nil"/>
              <w:bottom w:val="single" w:color="000000" w:sz="4" w:space="0"/>
              <w:right w:val="single" w:color="000000" w:sz="4" w:space="0"/>
            </w:tcBorders>
            <w:shd w:val="clear" w:color="auto" w:fill="auto"/>
            <w:noWrap/>
            <w:vAlign w:val="center"/>
          </w:tcPr>
          <w:p w14:paraId="4EA5D41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12</w:t>
            </w:r>
          </w:p>
        </w:tc>
        <w:tc>
          <w:tcPr>
            <w:tcW w:w="2322" w:type="dxa"/>
            <w:gridSpan w:val="2"/>
            <w:tcBorders>
              <w:top w:val="nil"/>
              <w:left w:val="nil"/>
              <w:bottom w:val="single" w:color="000000" w:sz="4" w:space="0"/>
              <w:right w:val="single" w:color="000000" w:sz="4" w:space="0"/>
            </w:tcBorders>
            <w:shd w:val="clear" w:color="auto" w:fill="auto"/>
            <w:noWrap/>
            <w:vAlign w:val="center"/>
          </w:tcPr>
          <w:p w14:paraId="5833B424">
            <w:pPr>
              <w:keepNext w:val="0"/>
              <w:keepLines w:val="0"/>
              <w:widowControl/>
              <w:suppressLineNumbers w:val="0"/>
              <w:jc w:val="right"/>
              <w:textAlignment w:val="center"/>
              <w:rPr>
                <w:rFonts w:hint="default"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1,123.21</w:t>
            </w:r>
          </w:p>
        </w:tc>
      </w:tr>
      <w:tr w14:paraId="3D280994">
        <w:tblPrEx>
          <w:tblCellMar>
            <w:top w:w="0" w:type="dxa"/>
            <w:left w:w="108" w:type="dxa"/>
            <w:bottom w:w="0" w:type="dxa"/>
            <w:right w:w="108" w:type="dxa"/>
          </w:tblCellMar>
        </w:tblPrEx>
        <w:trPr>
          <w:trHeight w:val="308" w:hRule="atLeast"/>
          <w:jc w:val="center"/>
        </w:trPr>
        <w:tc>
          <w:tcPr>
            <w:tcW w:w="3761" w:type="dxa"/>
            <w:tcBorders>
              <w:top w:val="nil"/>
              <w:left w:val="single" w:color="000000" w:sz="4" w:space="0"/>
              <w:bottom w:val="single" w:color="000000" w:sz="4" w:space="0"/>
              <w:right w:val="single" w:color="000000" w:sz="4" w:space="0"/>
            </w:tcBorders>
            <w:shd w:val="clear" w:color="auto" w:fill="auto"/>
            <w:noWrap/>
            <w:vAlign w:val="center"/>
          </w:tcPr>
          <w:p w14:paraId="1EA4994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　</w:t>
            </w:r>
          </w:p>
        </w:tc>
        <w:tc>
          <w:tcPr>
            <w:tcW w:w="879" w:type="dxa"/>
            <w:tcBorders>
              <w:top w:val="nil"/>
              <w:left w:val="nil"/>
              <w:bottom w:val="single" w:color="000000" w:sz="4" w:space="0"/>
              <w:right w:val="single" w:color="000000" w:sz="4" w:space="0"/>
            </w:tcBorders>
            <w:shd w:val="clear" w:color="auto" w:fill="auto"/>
            <w:noWrap/>
            <w:vAlign w:val="center"/>
          </w:tcPr>
          <w:p w14:paraId="0D2754C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3</w:t>
            </w:r>
          </w:p>
        </w:tc>
        <w:tc>
          <w:tcPr>
            <w:tcW w:w="2320" w:type="dxa"/>
            <w:gridSpan w:val="3"/>
            <w:tcBorders>
              <w:top w:val="nil"/>
              <w:left w:val="nil"/>
              <w:bottom w:val="single" w:color="000000" w:sz="4" w:space="0"/>
              <w:right w:val="single" w:color="000000" w:sz="4" w:space="0"/>
            </w:tcBorders>
            <w:shd w:val="clear" w:color="auto" w:fill="auto"/>
            <w:noWrap/>
            <w:vAlign w:val="center"/>
          </w:tcPr>
          <w:p w14:paraId="1B78AD5F">
            <w:pPr>
              <w:jc w:val="right"/>
              <w:rPr>
                <w:rFonts w:ascii="宋体" w:hAnsi="宋体" w:eastAsia="宋体" w:cs="Arial"/>
                <w:b w:val="0"/>
                <w:bCs w:val="0"/>
                <w:color w:val="000000"/>
                <w:kern w:val="0"/>
                <w:sz w:val="22"/>
              </w:rPr>
            </w:pPr>
          </w:p>
        </w:tc>
        <w:tc>
          <w:tcPr>
            <w:tcW w:w="3757" w:type="dxa"/>
            <w:tcBorders>
              <w:top w:val="nil"/>
              <w:left w:val="nil"/>
              <w:bottom w:val="single" w:color="000000" w:sz="4" w:space="0"/>
              <w:right w:val="single" w:color="000000" w:sz="4" w:space="0"/>
            </w:tcBorders>
            <w:shd w:val="clear" w:color="auto" w:fill="auto"/>
            <w:noWrap/>
            <w:vAlign w:val="center"/>
          </w:tcPr>
          <w:p w14:paraId="3EC359E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三、卫生健康支出</w:t>
            </w:r>
          </w:p>
        </w:tc>
        <w:tc>
          <w:tcPr>
            <w:tcW w:w="883" w:type="dxa"/>
            <w:gridSpan w:val="2"/>
            <w:tcBorders>
              <w:top w:val="nil"/>
              <w:left w:val="nil"/>
              <w:bottom w:val="single" w:color="000000" w:sz="4" w:space="0"/>
              <w:right w:val="single" w:color="000000" w:sz="4" w:space="0"/>
            </w:tcBorders>
            <w:shd w:val="clear" w:color="auto" w:fill="auto"/>
            <w:noWrap/>
            <w:vAlign w:val="center"/>
          </w:tcPr>
          <w:p w14:paraId="050E7BD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13</w:t>
            </w:r>
          </w:p>
        </w:tc>
        <w:tc>
          <w:tcPr>
            <w:tcW w:w="2322" w:type="dxa"/>
            <w:gridSpan w:val="2"/>
            <w:tcBorders>
              <w:top w:val="nil"/>
              <w:left w:val="nil"/>
              <w:bottom w:val="single" w:color="000000" w:sz="4" w:space="0"/>
              <w:right w:val="single" w:color="000000" w:sz="4" w:space="0"/>
            </w:tcBorders>
            <w:shd w:val="clear" w:color="auto" w:fill="auto"/>
            <w:noWrap/>
            <w:vAlign w:val="center"/>
          </w:tcPr>
          <w:p w14:paraId="06EF4271">
            <w:pPr>
              <w:keepNext w:val="0"/>
              <w:keepLines w:val="0"/>
              <w:widowControl/>
              <w:suppressLineNumbers w:val="0"/>
              <w:jc w:val="right"/>
              <w:textAlignment w:val="center"/>
              <w:rPr>
                <w:rFonts w:hint="default"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434.73</w:t>
            </w:r>
          </w:p>
        </w:tc>
      </w:tr>
      <w:tr w14:paraId="04BD9CD0">
        <w:tblPrEx>
          <w:tblCellMar>
            <w:top w:w="0" w:type="dxa"/>
            <w:left w:w="108" w:type="dxa"/>
            <w:bottom w:w="0" w:type="dxa"/>
            <w:right w:w="108" w:type="dxa"/>
          </w:tblCellMar>
        </w:tblPrEx>
        <w:trPr>
          <w:trHeight w:val="308" w:hRule="atLeast"/>
          <w:jc w:val="center"/>
        </w:trPr>
        <w:tc>
          <w:tcPr>
            <w:tcW w:w="3761" w:type="dxa"/>
            <w:tcBorders>
              <w:top w:val="nil"/>
              <w:left w:val="single" w:color="000000" w:sz="4" w:space="0"/>
              <w:bottom w:val="single" w:color="000000" w:sz="4" w:space="0"/>
              <w:right w:val="single" w:color="000000" w:sz="4" w:space="0"/>
            </w:tcBorders>
            <w:shd w:val="clear" w:color="auto" w:fill="auto"/>
            <w:noWrap/>
            <w:vAlign w:val="center"/>
          </w:tcPr>
          <w:p w14:paraId="20287DD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0"/>
                <w:szCs w:val="20"/>
              </w:rPr>
            </w:pPr>
            <w:r>
              <w:rPr>
                <w:rFonts w:hint="eastAsia" w:ascii="宋体" w:hAnsi="宋体" w:eastAsia="宋体" w:cs="Arial"/>
                <w:b w:val="0"/>
                <w:bCs w:val="0"/>
                <w:color w:val="000000"/>
                <w:kern w:val="0"/>
                <w:sz w:val="20"/>
                <w:szCs w:val="20"/>
              </w:rPr>
              <w:t>　</w:t>
            </w:r>
          </w:p>
        </w:tc>
        <w:tc>
          <w:tcPr>
            <w:tcW w:w="879" w:type="dxa"/>
            <w:tcBorders>
              <w:top w:val="nil"/>
              <w:left w:val="nil"/>
              <w:bottom w:val="single" w:color="000000" w:sz="4" w:space="0"/>
              <w:right w:val="single" w:color="000000" w:sz="4" w:space="0"/>
            </w:tcBorders>
            <w:shd w:val="clear" w:color="auto" w:fill="auto"/>
            <w:noWrap/>
            <w:vAlign w:val="center"/>
          </w:tcPr>
          <w:p w14:paraId="64D2099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4</w:t>
            </w:r>
          </w:p>
        </w:tc>
        <w:tc>
          <w:tcPr>
            <w:tcW w:w="2320" w:type="dxa"/>
            <w:gridSpan w:val="3"/>
            <w:tcBorders>
              <w:top w:val="nil"/>
              <w:left w:val="nil"/>
              <w:bottom w:val="single" w:color="000000" w:sz="4" w:space="0"/>
              <w:right w:val="single" w:color="000000" w:sz="4" w:space="0"/>
            </w:tcBorders>
            <w:shd w:val="clear" w:color="auto" w:fill="auto"/>
            <w:noWrap/>
            <w:vAlign w:val="center"/>
          </w:tcPr>
          <w:p w14:paraId="42DD40EF">
            <w:pPr>
              <w:keepNext w:val="0"/>
              <w:keepLines w:val="0"/>
              <w:pageBreakBefore w:val="0"/>
              <w:widowControl/>
              <w:kinsoku/>
              <w:wordWrap/>
              <w:overflowPunct/>
              <w:topLinePunct w:val="0"/>
              <w:autoSpaceDE/>
              <w:autoSpaceDN/>
              <w:bidi w:val="0"/>
              <w:adjustRightInd/>
              <w:snapToGrid/>
              <w:spacing w:line="400" w:lineRule="exact"/>
              <w:jc w:val="right"/>
              <w:textAlignment w:val="auto"/>
              <w:rPr>
                <w:rFonts w:hint="default" w:ascii="宋体" w:hAnsi="宋体" w:eastAsia="宋体" w:cs="Arial"/>
                <w:b w:val="0"/>
                <w:bCs w:val="0"/>
                <w:color w:val="000000"/>
                <w:kern w:val="0"/>
                <w:sz w:val="20"/>
                <w:szCs w:val="20"/>
                <w:lang w:val="en-US"/>
              </w:rPr>
            </w:pPr>
          </w:p>
        </w:tc>
        <w:tc>
          <w:tcPr>
            <w:tcW w:w="3757" w:type="dxa"/>
            <w:tcBorders>
              <w:top w:val="nil"/>
              <w:left w:val="nil"/>
              <w:bottom w:val="single" w:color="000000" w:sz="4" w:space="0"/>
              <w:right w:val="single" w:color="000000" w:sz="4" w:space="0"/>
            </w:tcBorders>
            <w:shd w:val="clear" w:color="auto" w:fill="auto"/>
            <w:noWrap/>
            <w:vAlign w:val="center"/>
          </w:tcPr>
          <w:p w14:paraId="463125A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lang w:val="en-US" w:eastAsia="zh-CN"/>
              </w:rPr>
              <w:t>四、</w:t>
            </w:r>
            <w:r>
              <w:rPr>
                <w:rFonts w:hint="eastAsia" w:ascii="宋体" w:hAnsi="宋体" w:eastAsia="宋体" w:cs="Arial"/>
                <w:b w:val="0"/>
                <w:bCs w:val="0"/>
                <w:color w:val="000000"/>
                <w:kern w:val="0"/>
                <w:sz w:val="22"/>
              </w:rPr>
              <w:t>住房保障支出</w:t>
            </w:r>
          </w:p>
        </w:tc>
        <w:tc>
          <w:tcPr>
            <w:tcW w:w="883" w:type="dxa"/>
            <w:gridSpan w:val="2"/>
            <w:tcBorders>
              <w:top w:val="nil"/>
              <w:left w:val="nil"/>
              <w:bottom w:val="single" w:color="000000" w:sz="4" w:space="0"/>
              <w:right w:val="single" w:color="000000" w:sz="4" w:space="0"/>
            </w:tcBorders>
            <w:shd w:val="clear" w:color="auto" w:fill="auto"/>
            <w:noWrap/>
            <w:vAlign w:val="center"/>
          </w:tcPr>
          <w:p w14:paraId="28E3C6B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14</w:t>
            </w:r>
          </w:p>
        </w:tc>
        <w:tc>
          <w:tcPr>
            <w:tcW w:w="2322" w:type="dxa"/>
            <w:gridSpan w:val="2"/>
            <w:tcBorders>
              <w:top w:val="nil"/>
              <w:left w:val="nil"/>
              <w:bottom w:val="single" w:color="000000" w:sz="4" w:space="0"/>
              <w:right w:val="single" w:color="000000" w:sz="4" w:space="0"/>
            </w:tcBorders>
            <w:shd w:val="clear" w:color="auto" w:fill="auto"/>
            <w:noWrap/>
            <w:vAlign w:val="center"/>
          </w:tcPr>
          <w:p w14:paraId="3B57BEC5">
            <w:pPr>
              <w:keepNext w:val="0"/>
              <w:keepLines w:val="0"/>
              <w:widowControl/>
              <w:suppressLineNumbers w:val="0"/>
              <w:jc w:val="right"/>
              <w:textAlignment w:val="center"/>
              <w:rPr>
                <w:rFonts w:hint="default"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662.59</w:t>
            </w:r>
          </w:p>
        </w:tc>
      </w:tr>
      <w:tr w14:paraId="67387603">
        <w:tblPrEx>
          <w:tblCellMar>
            <w:top w:w="0" w:type="dxa"/>
            <w:left w:w="108" w:type="dxa"/>
            <w:bottom w:w="0" w:type="dxa"/>
            <w:right w:w="108" w:type="dxa"/>
          </w:tblCellMar>
        </w:tblPrEx>
        <w:trPr>
          <w:trHeight w:val="308" w:hRule="atLeast"/>
          <w:jc w:val="center"/>
        </w:trPr>
        <w:tc>
          <w:tcPr>
            <w:tcW w:w="3761" w:type="dxa"/>
            <w:tcBorders>
              <w:top w:val="nil"/>
              <w:left w:val="single" w:color="000000" w:sz="4" w:space="0"/>
              <w:bottom w:val="single" w:color="000000" w:sz="4" w:space="0"/>
              <w:right w:val="single" w:color="000000" w:sz="4" w:space="0"/>
            </w:tcBorders>
            <w:shd w:val="clear" w:color="auto" w:fill="auto"/>
            <w:noWrap/>
            <w:vAlign w:val="center"/>
          </w:tcPr>
          <w:p w14:paraId="2CE17AA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0"/>
                <w:szCs w:val="20"/>
              </w:rPr>
            </w:pPr>
            <w:r>
              <w:rPr>
                <w:rFonts w:hint="eastAsia" w:ascii="宋体" w:hAnsi="宋体" w:eastAsia="宋体" w:cs="Arial"/>
                <w:b w:val="0"/>
                <w:bCs w:val="0"/>
                <w:color w:val="000000"/>
                <w:kern w:val="0"/>
                <w:sz w:val="20"/>
                <w:szCs w:val="20"/>
              </w:rPr>
              <w:t>　</w:t>
            </w:r>
          </w:p>
        </w:tc>
        <w:tc>
          <w:tcPr>
            <w:tcW w:w="879" w:type="dxa"/>
            <w:tcBorders>
              <w:top w:val="nil"/>
              <w:left w:val="nil"/>
              <w:bottom w:val="single" w:color="000000" w:sz="4" w:space="0"/>
              <w:right w:val="single" w:color="000000" w:sz="4" w:space="0"/>
            </w:tcBorders>
            <w:shd w:val="clear" w:color="auto" w:fill="auto"/>
            <w:noWrap/>
            <w:vAlign w:val="center"/>
          </w:tcPr>
          <w:p w14:paraId="3AE0A77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5</w:t>
            </w:r>
          </w:p>
        </w:tc>
        <w:tc>
          <w:tcPr>
            <w:tcW w:w="2320" w:type="dxa"/>
            <w:gridSpan w:val="3"/>
            <w:tcBorders>
              <w:top w:val="nil"/>
              <w:left w:val="nil"/>
              <w:bottom w:val="single" w:color="000000" w:sz="4" w:space="0"/>
              <w:right w:val="single" w:color="000000" w:sz="4" w:space="0"/>
            </w:tcBorders>
            <w:shd w:val="clear" w:color="auto" w:fill="auto"/>
            <w:noWrap/>
            <w:vAlign w:val="center"/>
          </w:tcPr>
          <w:p w14:paraId="6EE4E3C7">
            <w:pPr>
              <w:jc w:val="right"/>
              <w:rPr>
                <w:rFonts w:ascii="宋体" w:hAnsi="宋体" w:eastAsia="宋体" w:cs="Arial"/>
                <w:b w:val="0"/>
                <w:bCs w:val="0"/>
                <w:color w:val="000000"/>
                <w:kern w:val="0"/>
                <w:sz w:val="20"/>
                <w:szCs w:val="20"/>
              </w:rPr>
            </w:pPr>
          </w:p>
        </w:tc>
        <w:tc>
          <w:tcPr>
            <w:tcW w:w="3757" w:type="dxa"/>
            <w:tcBorders>
              <w:top w:val="nil"/>
              <w:left w:val="nil"/>
              <w:bottom w:val="single" w:color="000000" w:sz="4" w:space="0"/>
              <w:right w:val="single" w:color="000000" w:sz="4" w:space="0"/>
            </w:tcBorders>
            <w:shd w:val="clear" w:color="auto" w:fill="auto"/>
            <w:noWrap/>
            <w:vAlign w:val="center"/>
          </w:tcPr>
          <w:p w14:paraId="51D4D95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　</w:t>
            </w:r>
          </w:p>
        </w:tc>
        <w:tc>
          <w:tcPr>
            <w:tcW w:w="883" w:type="dxa"/>
            <w:gridSpan w:val="2"/>
            <w:tcBorders>
              <w:top w:val="nil"/>
              <w:left w:val="nil"/>
              <w:bottom w:val="single" w:color="000000" w:sz="4" w:space="0"/>
              <w:right w:val="single" w:color="000000" w:sz="4" w:space="0"/>
            </w:tcBorders>
            <w:shd w:val="clear" w:color="auto" w:fill="auto"/>
            <w:noWrap/>
            <w:vAlign w:val="center"/>
          </w:tcPr>
          <w:p w14:paraId="3EE2D75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15</w:t>
            </w:r>
          </w:p>
        </w:tc>
        <w:tc>
          <w:tcPr>
            <w:tcW w:w="2322" w:type="dxa"/>
            <w:gridSpan w:val="2"/>
            <w:tcBorders>
              <w:top w:val="nil"/>
              <w:left w:val="nil"/>
              <w:bottom w:val="single" w:color="000000" w:sz="4" w:space="0"/>
              <w:right w:val="single" w:color="000000" w:sz="4" w:space="0"/>
            </w:tcBorders>
            <w:shd w:val="clear" w:color="auto" w:fill="auto"/>
            <w:noWrap/>
            <w:vAlign w:val="center"/>
          </w:tcPr>
          <w:p w14:paraId="2135FD8E">
            <w:pPr>
              <w:keepNext w:val="0"/>
              <w:keepLines w:val="0"/>
              <w:widowControl/>
              <w:suppressLineNumbers w:val="0"/>
              <w:jc w:val="right"/>
              <w:textAlignment w:val="center"/>
              <w:rPr>
                <w:rFonts w:ascii="宋体" w:hAnsi="宋体" w:eastAsia="宋体" w:cs="Arial"/>
                <w:b w:val="0"/>
                <w:bCs w:val="0"/>
                <w:color w:val="000000"/>
                <w:kern w:val="0"/>
                <w:sz w:val="22"/>
              </w:rPr>
            </w:pPr>
          </w:p>
        </w:tc>
      </w:tr>
      <w:tr w14:paraId="36E62021">
        <w:tblPrEx>
          <w:tblCellMar>
            <w:top w:w="0" w:type="dxa"/>
            <w:left w:w="108" w:type="dxa"/>
            <w:bottom w:w="0" w:type="dxa"/>
            <w:right w:w="108" w:type="dxa"/>
          </w:tblCellMar>
        </w:tblPrEx>
        <w:trPr>
          <w:trHeight w:val="385" w:hRule="atLeast"/>
          <w:jc w:val="center"/>
        </w:trPr>
        <w:tc>
          <w:tcPr>
            <w:tcW w:w="3761" w:type="dxa"/>
            <w:tcBorders>
              <w:top w:val="nil"/>
              <w:left w:val="single" w:color="000000" w:sz="4" w:space="0"/>
              <w:bottom w:val="single" w:color="000000" w:sz="4" w:space="0"/>
              <w:right w:val="single" w:color="000000" w:sz="4" w:space="0"/>
            </w:tcBorders>
            <w:shd w:val="clear" w:color="auto" w:fill="auto"/>
            <w:noWrap/>
            <w:vAlign w:val="center"/>
          </w:tcPr>
          <w:p w14:paraId="292BFF4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本年收入合计</w:t>
            </w:r>
          </w:p>
        </w:tc>
        <w:tc>
          <w:tcPr>
            <w:tcW w:w="879" w:type="dxa"/>
            <w:tcBorders>
              <w:top w:val="nil"/>
              <w:left w:val="nil"/>
              <w:bottom w:val="single" w:color="000000" w:sz="4" w:space="0"/>
              <w:right w:val="single" w:color="auto" w:sz="4" w:space="0"/>
            </w:tcBorders>
            <w:shd w:val="clear" w:color="auto" w:fill="auto"/>
            <w:noWrap/>
            <w:vAlign w:val="center"/>
          </w:tcPr>
          <w:p w14:paraId="00217EB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6</w:t>
            </w:r>
          </w:p>
        </w:tc>
        <w:tc>
          <w:tcPr>
            <w:tcW w:w="2320" w:type="dxa"/>
            <w:gridSpan w:val="3"/>
            <w:tcBorders>
              <w:top w:val="nil"/>
              <w:left w:val="single" w:color="auto" w:sz="4" w:space="0"/>
              <w:bottom w:val="single" w:color="000000" w:sz="4" w:space="0"/>
              <w:right w:val="single" w:color="000000" w:sz="4" w:space="0"/>
            </w:tcBorders>
            <w:shd w:val="clear" w:color="auto" w:fill="auto"/>
            <w:noWrap/>
            <w:vAlign w:val="center"/>
          </w:tcPr>
          <w:p w14:paraId="5F8E6939">
            <w:pPr>
              <w:keepNext w:val="0"/>
              <w:keepLines w:val="0"/>
              <w:widowControl/>
              <w:suppressLineNumbers w:val="0"/>
              <w:jc w:val="right"/>
              <w:textAlignment w:val="center"/>
              <w:rPr>
                <w:rFonts w:hint="default"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16,136.93</w:t>
            </w:r>
          </w:p>
        </w:tc>
        <w:tc>
          <w:tcPr>
            <w:tcW w:w="3757" w:type="dxa"/>
            <w:tcBorders>
              <w:top w:val="nil"/>
              <w:left w:val="nil"/>
              <w:bottom w:val="single" w:color="000000" w:sz="4" w:space="0"/>
              <w:right w:val="single" w:color="000000" w:sz="4" w:space="0"/>
            </w:tcBorders>
            <w:shd w:val="clear" w:color="auto" w:fill="auto"/>
            <w:noWrap/>
            <w:vAlign w:val="center"/>
          </w:tcPr>
          <w:p w14:paraId="79D6E8B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本年支出合计</w:t>
            </w:r>
          </w:p>
        </w:tc>
        <w:tc>
          <w:tcPr>
            <w:tcW w:w="883" w:type="dxa"/>
            <w:gridSpan w:val="2"/>
            <w:tcBorders>
              <w:top w:val="nil"/>
              <w:left w:val="nil"/>
              <w:bottom w:val="single" w:color="000000" w:sz="4" w:space="0"/>
              <w:right w:val="single" w:color="000000" w:sz="4" w:space="0"/>
            </w:tcBorders>
            <w:shd w:val="clear" w:color="auto" w:fill="auto"/>
            <w:noWrap/>
            <w:vAlign w:val="center"/>
          </w:tcPr>
          <w:p w14:paraId="484D0D1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16</w:t>
            </w:r>
          </w:p>
        </w:tc>
        <w:tc>
          <w:tcPr>
            <w:tcW w:w="2322" w:type="dxa"/>
            <w:gridSpan w:val="2"/>
            <w:tcBorders>
              <w:top w:val="nil"/>
              <w:left w:val="nil"/>
              <w:bottom w:val="single" w:color="000000" w:sz="4" w:space="0"/>
              <w:right w:val="single" w:color="000000" w:sz="4" w:space="0"/>
            </w:tcBorders>
            <w:shd w:val="clear" w:color="auto" w:fill="auto"/>
            <w:noWrap/>
            <w:vAlign w:val="center"/>
          </w:tcPr>
          <w:p w14:paraId="0E600FE8">
            <w:pPr>
              <w:keepNext w:val="0"/>
              <w:keepLines w:val="0"/>
              <w:widowControl/>
              <w:suppressLineNumbers w:val="0"/>
              <w:jc w:val="right"/>
              <w:textAlignment w:val="center"/>
              <w:rPr>
                <w:rFonts w:hint="default"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15,405.33</w:t>
            </w:r>
          </w:p>
        </w:tc>
      </w:tr>
      <w:tr w14:paraId="4F03F07A">
        <w:tblPrEx>
          <w:tblCellMar>
            <w:top w:w="0" w:type="dxa"/>
            <w:left w:w="108" w:type="dxa"/>
            <w:bottom w:w="0" w:type="dxa"/>
            <w:right w:w="108" w:type="dxa"/>
          </w:tblCellMar>
        </w:tblPrEx>
        <w:trPr>
          <w:trHeight w:val="90" w:hRule="atLeast"/>
          <w:jc w:val="center"/>
        </w:trPr>
        <w:tc>
          <w:tcPr>
            <w:tcW w:w="3761" w:type="dxa"/>
            <w:tcBorders>
              <w:top w:val="nil"/>
              <w:left w:val="single" w:color="000000" w:sz="4" w:space="0"/>
              <w:bottom w:val="single" w:color="000000" w:sz="4" w:space="0"/>
              <w:right w:val="single" w:color="000000" w:sz="4" w:space="0"/>
            </w:tcBorders>
            <w:shd w:val="clear" w:color="auto" w:fill="auto"/>
            <w:noWrap/>
            <w:vAlign w:val="center"/>
          </w:tcPr>
          <w:p w14:paraId="059AF23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使用非财政拨款结余</w:t>
            </w:r>
          </w:p>
        </w:tc>
        <w:tc>
          <w:tcPr>
            <w:tcW w:w="879" w:type="dxa"/>
            <w:tcBorders>
              <w:top w:val="nil"/>
              <w:left w:val="nil"/>
              <w:bottom w:val="single" w:color="000000" w:sz="4" w:space="0"/>
              <w:right w:val="single" w:color="auto" w:sz="4" w:space="0"/>
            </w:tcBorders>
            <w:shd w:val="clear" w:color="auto" w:fill="auto"/>
            <w:noWrap/>
            <w:vAlign w:val="center"/>
          </w:tcPr>
          <w:p w14:paraId="2D656B4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7</w:t>
            </w:r>
          </w:p>
        </w:tc>
        <w:tc>
          <w:tcPr>
            <w:tcW w:w="2320" w:type="dxa"/>
            <w:gridSpan w:val="3"/>
            <w:tcBorders>
              <w:top w:val="nil"/>
              <w:left w:val="single" w:color="auto" w:sz="4" w:space="0"/>
              <w:bottom w:val="single" w:color="000000" w:sz="4" w:space="0"/>
              <w:right w:val="single" w:color="000000" w:sz="4" w:space="0"/>
            </w:tcBorders>
            <w:shd w:val="clear" w:color="auto" w:fill="auto"/>
            <w:noWrap/>
            <w:vAlign w:val="center"/>
          </w:tcPr>
          <w:p w14:paraId="64D96715">
            <w:pPr>
              <w:keepNext w:val="0"/>
              <w:keepLines w:val="0"/>
              <w:widowControl/>
              <w:suppressLineNumbers w:val="0"/>
              <w:jc w:val="right"/>
              <w:textAlignment w:val="center"/>
              <w:rPr>
                <w:rFonts w:ascii="宋体" w:hAnsi="宋体" w:eastAsia="宋体" w:cs="Arial"/>
                <w:b w:val="0"/>
                <w:bCs w:val="0"/>
                <w:color w:val="000000"/>
                <w:kern w:val="0"/>
                <w:sz w:val="22"/>
              </w:rPr>
            </w:pPr>
          </w:p>
        </w:tc>
        <w:tc>
          <w:tcPr>
            <w:tcW w:w="3757" w:type="dxa"/>
            <w:tcBorders>
              <w:top w:val="nil"/>
              <w:left w:val="nil"/>
              <w:bottom w:val="single" w:color="000000" w:sz="4" w:space="0"/>
              <w:right w:val="single" w:color="000000" w:sz="4" w:space="0"/>
            </w:tcBorders>
            <w:shd w:val="clear" w:color="auto" w:fill="auto"/>
            <w:noWrap/>
            <w:vAlign w:val="center"/>
          </w:tcPr>
          <w:p w14:paraId="526438F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结余分配</w:t>
            </w:r>
          </w:p>
        </w:tc>
        <w:tc>
          <w:tcPr>
            <w:tcW w:w="883" w:type="dxa"/>
            <w:gridSpan w:val="2"/>
            <w:tcBorders>
              <w:top w:val="nil"/>
              <w:left w:val="nil"/>
              <w:bottom w:val="single" w:color="000000" w:sz="4" w:space="0"/>
              <w:right w:val="single" w:color="000000" w:sz="4" w:space="0"/>
            </w:tcBorders>
            <w:shd w:val="clear" w:color="auto" w:fill="auto"/>
            <w:noWrap/>
            <w:vAlign w:val="center"/>
          </w:tcPr>
          <w:p w14:paraId="2638791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17</w:t>
            </w:r>
          </w:p>
        </w:tc>
        <w:tc>
          <w:tcPr>
            <w:tcW w:w="2322" w:type="dxa"/>
            <w:gridSpan w:val="2"/>
            <w:tcBorders>
              <w:top w:val="nil"/>
              <w:left w:val="nil"/>
              <w:bottom w:val="single" w:color="000000" w:sz="4" w:space="0"/>
              <w:right w:val="single" w:color="000000" w:sz="4" w:space="0"/>
            </w:tcBorders>
            <w:shd w:val="clear" w:color="auto" w:fill="auto"/>
            <w:noWrap/>
            <w:vAlign w:val="center"/>
          </w:tcPr>
          <w:p w14:paraId="795C27B4">
            <w:pPr>
              <w:keepNext w:val="0"/>
              <w:keepLines w:val="0"/>
              <w:widowControl/>
              <w:suppressLineNumbers w:val="0"/>
              <w:jc w:val="right"/>
              <w:textAlignment w:val="center"/>
              <w:rPr>
                <w:rFonts w:ascii="宋体" w:hAnsi="宋体" w:eastAsia="宋体" w:cs="Arial"/>
                <w:b w:val="0"/>
                <w:bCs w:val="0"/>
                <w:color w:val="000000"/>
                <w:kern w:val="0"/>
                <w:sz w:val="22"/>
              </w:rPr>
            </w:pPr>
          </w:p>
        </w:tc>
      </w:tr>
      <w:tr w14:paraId="45CA4404">
        <w:tblPrEx>
          <w:tblCellMar>
            <w:top w:w="0" w:type="dxa"/>
            <w:left w:w="108" w:type="dxa"/>
            <w:bottom w:w="0" w:type="dxa"/>
            <w:right w:w="108" w:type="dxa"/>
          </w:tblCellMar>
        </w:tblPrEx>
        <w:trPr>
          <w:trHeight w:val="308" w:hRule="atLeast"/>
          <w:jc w:val="center"/>
        </w:trPr>
        <w:tc>
          <w:tcPr>
            <w:tcW w:w="3761" w:type="dxa"/>
            <w:tcBorders>
              <w:top w:val="nil"/>
              <w:left w:val="single" w:color="000000" w:sz="4" w:space="0"/>
              <w:bottom w:val="single" w:color="000000" w:sz="4" w:space="0"/>
              <w:right w:val="single" w:color="000000" w:sz="4" w:space="0"/>
            </w:tcBorders>
            <w:shd w:val="clear" w:color="auto" w:fill="auto"/>
            <w:noWrap/>
            <w:vAlign w:val="center"/>
          </w:tcPr>
          <w:p w14:paraId="76A8E32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年初结转和结余</w:t>
            </w:r>
          </w:p>
        </w:tc>
        <w:tc>
          <w:tcPr>
            <w:tcW w:w="879" w:type="dxa"/>
            <w:tcBorders>
              <w:top w:val="nil"/>
              <w:left w:val="nil"/>
              <w:bottom w:val="single" w:color="000000" w:sz="4" w:space="0"/>
              <w:right w:val="single" w:color="auto" w:sz="4" w:space="0"/>
            </w:tcBorders>
            <w:shd w:val="clear" w:color="auto" w:fill="auto"/>
            <w:noWrap/>
            <w:vAlign w:val="center"/>
          </w:tcPr>
          <w:p w14:paraId="6C486C2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8</w:t>
            </w:r>
          </w:p>
        </w:tc>
        <w:tc>
          <w:tcPr>
            <w:tcW w:w="2320" w:type="dxa"/>
            <w:gridSpan w:val="3"/>
            <w:tcBorders>
              <w:top w:val="nil"/>
              <w:left w:val="single" w:color="auto" w:sz="4" w:space="0"/>
              <w:bottom w:val="single" w:color="000000" w:sz="4" w:space="0"/>
              <w:right w:val="single" w:color="000000" w:sz="4" w:space="0"/>
            </w:tcBorders>
            <w:shd w:val="clear" w:color="auto" w:fill="auto"/>
            <w:noWrap/>
            <w:vAlign w:val="center"/>
          </w:tcPr>
          <w:p w14:paraId="39C2E65C">
            <w:pPr>
              <w:keepNext w:val="0"/>
              <w:keepLines w:val="0"/>
              <w:widowControl/>
              <w:suppressLineNumbers w:val="0"/>
              <w:jc w:val="right"/>
              <w:textAlignment w:val="center"/>
              <w:rPr>
                <w:rFonts w:hint="default"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4,414.74</w:t>
            </w:r>
          </w:p>
        </w:tc>
        <w:tc>
          <w:tcPr>
            <w:tcW w:w="3757" w:type="dxa"/>
            <w:tcBorders>
              <w:top w:val="nil"/>
              <w:left w:val="nil"/>
              <w:bottom w:val="single" w:color="000000" w:sz="4" w:space="0"/>
              <w:right w:val="single" w:color="000000" w:sz="4" w:space="0"/>
            </w:tcBorders>
            <w:shd w:val="clear" w:color="auto" w:fill="auto"/>
            <w:noWrap/>
            <w:vAlign w:val="center"/>
          </w:tcPr>
          <w:p w14:paraId="49C903E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年末结转和结余</w:t>
            </w:r>
          </w:p>
        </w:tc>
        <w:tc>
          <w:tcPr>
            <w:tcW w:w="883" w:type="dxa"/>
            <w:gridSpan w:val="2"/>
            <w:tcBorders>
              <w:top w:val="nil"/>
              <w:left w:val="nil"/>
              <w:bottom w:val="single" w:color="000000" w:sz="4" w:space="0"/>
              <w:right w:val="single" w:color="000000" w:sz="4" w:space="0"/>
            </w:tcBorders>
            <w:shd w:val="clear" w:color="auto" w:fill="auto"/>
            <w:noWrap/>
            <w:vAlign w:val="center"/>
          </w:tcPr>
          <w:p w14:paraId="21915BC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18</w:t>
            </w:r>
          </w:p>
        </w:tc>
        <w:tc>
          <w:tcPr>
            <w:tcW w:w="2322" w:type="dxa"/>
            <w:gridSpan w:val="2"/>
            <w:tcBorders>
              <w:top w:val="nil"/>
              <w:left w:val="nil"/>
              <w:bottom w:val="single" w:color="000000" w:sz="4" w:space="0"/>
              <w:right w:val="single" w:color="000000" w:sz="4" w:space="0"/>
            </w:tcBorders>
            <w:shd w:val="clear" w:color="auto" w:fill="auto"/>
            <w:noWrap/>
            <w:vAlign w:val="center"/>
          </w:tcPr>
          <w:p w14:paraId="787AB39A">
            <w:pPr>
              <w:keepNext w:val="0"/>
              <w:keepLines w:val="0"/>
              <w:widowControl/>
              <w:suppressLineNumbers w:val="0"/>
              <w:jc w:val="right"/>
              <w:textAlignment w:val="center"/>
              <w:rPr>
                <w:rFonts w:hint="default"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5,146.34</w:t>
            </w:r>
          </w:p>
        </w:tc>
      </w:tr>
      <w:tr w14:paraId="17172893">
        <w:tblPrEx>
          <w:tblCellMar>
            <w:top w:w="0" w:type="dxa"/>
            <w:left w:w="108" w:type="dxa"/>
            <w:bottom w:w="0" w:type="dxa"/>
            <w:right w:w="108" w:type="dxa"/>
          </w:tblCellMar>
        </w:tblPrEx>
        <w:trPr>
          <w:trHeight w:val="308" w:hRule="atLeast"/>
          <w:jc w:val="center"/>
        </w:trPr>
        <w:tc>
          <w:tcPr>
            <w:tcW w:w="3761" w:type="dxa"/>
            <w:tcBorders>
              <w:top w:val="nil"/>
              <w:left w:val="single" w:color="000000" w:sz="4" w:space="0"/>
              <w:bottom w:val="single" w:color="000000" w:sz="4" w:space="0"/>
              <w:right w:val="single" w:color="000000" w:sz="4" w:space="0"/>
            </w:tcBorders>
            <w:shd w:val="clear" w:color="auto" w:fill="auto"/>
            <w:noWrap/>
            <w:vAlign w:val="center"/>
          </w:tcPr>
          <w:p w14:paraId="1A023D8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　</w:t>
            </w:r>
          </w:p>
        </w:tc>
        <w:tc>
          <w:tcPr>
            <w:tcW w:w="879" w:type="dxa"/>
            <w:tcBorders>
              <w:top w:val="nil"/>
              <w:left w:val="nil"/>
              <w:bottom w:val="single" w:color="000000" w:sz="4" w:space="0"/>
              <w:right w:val="single" w:color="auto" w:sz="4" w:space="0"/>
            </w:tcBorders>
            <w:shd w:val="clear" w:color="auto" w:fill="auto"/>
            <w:noWrap/>
            <w:vAlign w:val="center"/>
          </w:tcPr>
          <w:p w14:paraId="7C11307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9</w:t>
            </w:r>
          </w:p>
        </w:tc>
        <w:tc>
          <w:tcPr>
            <w:tcW w:w="2320" w:type="dxa"/>
            <w:gridSpan w:val="3"/>
            <w:tcBorders>
              <w:top w:val="nil"/>
              <w:left w:val="single" w:color="auto" w:sz="4" w:space="0"/>
              <w:bottom w:val="single" w:color="000000" w:sz="4" w:space="0"/>
              <w:right w:val="single" w:color="000000" w:sz="4" w:space="0"/>
            </w:tcBorders>
            <w:shd w:val="clear" w:color="auto" w:fill="auto"/>
            <w:noWrap/>
            <w:vAlign w:val="center"/>
          </w:tcPr>
          <w:p w14:paraId="0184C1C4">
            <w:pPr>
              <w:keepNext w:val="0"/>
              <w:keepLines w:val="0"/>
              <w:widowControl/>
              <w:suppressLineNumbers w:val="0"/>
              <w:jc w:val="right"/>
              <w:textAlignment w:val="center"/>
              <w:rPr>
                <w:rFonts w:ascii="宋体" w:hAnsi="宋体" w:eastAsia="宋体" w:cs="Arial"/>
                <w:b w:val="0"/>
                <w:bCs w:val="0"/>
                <w:color w:val="000000"/>
                <w:kern w:val="0"/>
                <w:sz w:val="22"/>
              </w:rPr>
            </w:pPr>
          </w:p>
        </w:tc>
        <w:tc>
          <w:tcPr>
            <w:tcW w:w="3757" w:type="dxa"/>
            <w:tcBorders>
              <w:top w:val="nil"/>
              <w:left w:val="nil"/>
              <w:bottom w:val="single" w:color="000000" w:sz="4" w:space="0"/>
              <w:right w:val="single" w:color="000000" w:sz="4" w:space="0"/>
            </w:tcBorders>
            <w:shd w:val="clear" w:color="auto" w:fill="auto"/>
            <w:noWrap/>
            <w:vAlign w:val="center"/>
          </w:tcPr>
          <w:p w14:paraId="68E1000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　</w:t>
            </w:r>
          </w:p>
        </w:tc>
        <w:tc>
          <w:tcPr>
            <w:tcW w:w="883" w:type="dxa"/>
            <w:gridSpan w:val="2"/>
            <w:tcBorders>
              <w:top w:val="nil"/>
              <w:left w:val="nil"/>
              <w:bottom w:val="single" w:color="000000" w:sz="4" w:space="0"/>
              <w:right w:val="single" w:color="000000" w:sz="4" w:space="0"/>
            </w:tcBorders>
            <w:shd w:val="clear" w:color="auto" w:fill="auto"/>
            <w:noWrap/>
            <w:vAlign w:val="center"/>
          </w:tcPr>
          <w:p w14:paraId="1B8CE8D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19</w:t>
            </w:r>
          </w:p>
        </w:tc>
        <w:tc>
          <w:tcPr>
            <w:tcW w:w="2322" w:type="dxa"/>
            <w:gridSpan w:val="2"/>
            <w:tcBorders>
              <w:top w:val="nil"/>
              <w:left w:val="nil"/>
              <w:bottom w:val="single" w:color="000000" w:sz="4" w:space="0"/>
              <w:right w:val="single" w:color="000000" w:sz="4" w:space="0"/>
            </w:tcBorders>
            <w:shd w:val="clear" w:color="auto" w:fill="auto"/>
            <w:noWrap/>
            <w:vAlign w:val="center"/>
          </w:tcPr>
          <w:p w14:paraId="2376645C">
            <w:pPr>
              <w:keepNext w:val="0"/>
              <w:keepLines w:val="0"/>
              <w:widowControl/>
              <w:suppressLineNumbers w:val="0"/>
              <w:jc w:val="right"/>
              <w:textAlignment w:val="center"/>
              <w:rPr>
                <w:rFonts w:ascii="宋体" w:hAnsi="宋体" w:eastAsia="宋体" w:cs="Arial"/>
                <w:b w:val="0"/>
                <w:bCs w:val="0"/>
                <w:color w:val="000000"/>
                <w:kern w:val="0"/>
                <w:sz w:val="22"/>
              </w:rPr>
            </w:pPr>
          </w:p>
        </w:tc>
      </w:tr>
      <w:tr w14:paraId="311D3C67">
        <w:tblPrEx>
          <w:tblCellMar>
            <w:top w:w="0" w:type="dxa"/>
            <w:left w:w="108" w:type="dxa"/>
            <w:bottom w:w="0" w:type="dxa"/>
            <w:right w:w="108" w:type="dxa"/>
          </w:tblCellMar>
        </w:tblPrEx>
        <w:trPr>
          <w:trHeight w:val="308" w:hRule="atLeast"/>
          <w:jc w:val="center"/>
        </w:trPr>
        <w:tc>
          <w:tcPr>
            <w:tcW w:w="3761" w:type="dxa"/>
            <w:tcBorders>
              <w:top w:val="nil"/>
              <w:left w:val="single" w:color="000000" w:sz="4" w:space="0"/>
              <w:bottom w:val="single" w:color="000000" w:sz="4" w:space="0"/>
              <w:right w:val="single" w:color="000000" w:sz="4" w:space="0"/>
            </w:tcBorders>
            <w:shd w:val="clear" w:color="auto" w:fill="auto"/>
            <w:noWrap/>
            <w:vAlign w:val="center"/>
          </w:tcPr>
          <w:p w14:paraId="2EAA9BE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总计</w:t>
            </w:r>
          </w:p>
        </w:tc>
        <w:tc>
          <w:tcPr>
            <w:tcW w:w="879" w:type="dxa"/>
            <w:tcBorders>
              <w:top w:val="nil"/>
              <w:left w:val="nil"/>
              <w:bottom w:val="single" w:color="000000" w:sz="4" w:space="0"/>
              <w:right w:val="single" w:color="auto" w:sz="4" w:space="0"/>
            </w:tcBorders>
            <w:shd w:val="clear" w:color="auto" w:fill="auto"/>
            <w:noWrap/>
            <w:vAlign w:val="center"/>
          </w:tcPr>
          <w:p w14:paraId="39586E1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10</w:t>
            </w:r>
          </w:p>
        </w:tc>
        <w:tc>
          <w:tcPr>
            <w:tcW w:w="2320" w:type="dxa"/>
            <w:gridSpan w:val="3"/>
            <w:tcBorders>
              <w:top w:val="nil"/>
              <w:left w:val="single" w:color="auto" w:sz="4" w:space="0"/>
              <w:bottom w:val="single" w:color="000000" w:sz="4" w:space="0"/>
              <w:right w:val="single" w:color="000000" w:sz="4" w:space="0"/>
            </w:tcBorders>
            <w:shd w:val="clear" w:color="auto" w:fill="auto"/>
            <w:noWrap/>
            <w:vAlign w:val="center"/>
          </w:tcPr>
          <w:p w14:paraId="5B358692">
            <w:pPr>
              <w:keepNext w:val="0"/>
              <w:keepLines w:val="0"/>
              <w:widowControl/>
              <w:suppressLineNumbers w:val="0"/>
              <w:jc w:val="right"/>
              <w:textAlignment w:val="center"/>
              <w:rPr>
                <w:rFonts w:hint="default"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20,551.67</w:t>
            </w:r>
          </w:p>
        </w:tc>
        <w:tc>
          <w:tcPr>
            <w:tcW w:w="3757" w:type="dxa"/>
            <w:tcBorders>
              <w:top w:val="nil"/>
              <w:left w:val="nil"/>
              <w:bottom w:val="single" w:color="000000" w:sz="4" w:space="0"/>
              <w:right w:val="single" w:color="000000" w:sz="4" w:space="0"/>
            </w:tcBorders>
            <w:shd w:val="clear" w:color="auto" w:fill="auto"/>
            <w:noWrap/>
            <w:vAlign w:val="center"/>
          </w:tcPr>
          <w:p w14:paraId="3B83F75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总计</w:t>
            </w:r>
          </w:p>
        </w:tc>
        <w:tc>
          <w:tcPr>
            <w:tcW w:w="883" w:type="dxa"/>
            <w:gridSpan w:val="2"/>
            <w:tcBorders>
              <w:top w:val="nil"/>
              <w:left w:val="nil"/>
              <w:bottom w:val="single" w:color="000000" w:sz="4" w:space="0"/>
              <w:right w:val="single" w:color="000000" w:sz="4" w:space="0"/>
            </w:tcBorders>
            <w:shd w:val="clear" w:color="auto" w:fill="auto"/>
            <w:noWrap/>
            <w:vAlign w:val="center"/>
          </w:tcPr>
          <w:p w14:paraId="16E4CB3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20</w:t>
            </w:r>
          </w:p>
        </w:tc>
        <w:tc>
          <w:tcPr>
            <w:tcW w:w="2322" w:type="dxa"/>
            <w:gridSpan w:val="2"/>
            <w:tcBorders>
              <w:top w:val="nil"/>
              <w:left w:val="nil"/>
              <w:bottom w:val="single" w:color="000000" w:sz="4" w:space="0"/>
              <w:right w:val="single" w:color="000000" w:sz="4" w:space="0"/>
            </w:tcBorders>
            <w:shd w:val="clear" w:color="auto" w:fill="auto"/>
            <w:noWrap/>
            <w:vAlign w:val="center"/>
          </w:tcPr>
          <w:p w14:paraId="08AB8D03">
            <w:pPr>
              <w:keepNext w:val="0"/>
              <w:keepLines w:val="0"/>
              <w:widowControl/>
              <w:suppressLineNumbers w:val="0"/>
              <w:jc w:val="right"/>
              <w:textAlignment w:val="center"/>
              <w:rPr>
                <w:rFonts w:hint="default"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20,551.67</w:t>
            </w:r>
          </w:p>
        </w:tc>
      </w:tr>
      <w:tr w14:paraId="1E26A7E8">
        <w:tblPrEx>
          <w:tblCellMar>
            <w:top w:w="0" w:type="dxa"/>
            <w:left w:w="108" w:type="dxa"/>
            <w:bottom w:w="0" w:type="dxa"/>
            <w:right w:w="108" w:type="dxa"/>
          </w:tblCellMar>
        </w:tblPrEx>
        <w:trPr>
          <w:trHeight w:val="308" w:hRule="atLeast"/>
          <w:jc w:val="center"/>
        </w:trPr>
        <w:tc>
          <w:tcPr>
            <w:tcW w:w="13922" w:type="dxa"/>
            <w:gridSpan w:val="10"/>
            <w:tcBorders>
              <w:top w:val="nil"/>
              <w:left w:val="nil"/>
              <w:bottom w:val="nil"/>
              <w:right w:val="nil"/>
            </w:tcBorders>
            <w:shd w:val="clear" w:color="auto" w:fill="auto"/>
            <w:noWrap/>
            <w:vAlign w:val="center"/>
          </w:tcPr>
          <w:p w14:paraId="16B4AB2B">
            <w:pPr>
              <w:pStyle w:val="20"/>
              <w:spacing w:line="400" w:lineRule="exact"/>
              <w:ind w:left="0" w:leftChars="0" w:firstLine="0" w:firstLineChars="0"/>
              <w:rPr>
                <w:rFonts w:hint="eastAsia" w:ascii="宋体" w:hAnsi="宋体" w:eastAsia="宋体" w:cs="宋体"/>
                <w:color w:val="000000"/>
                <w:sz w:val="22"/>
              </w:rPr>
            </w:pPr>
            <w:r>
              <w:rPr>
                <w:rFonts w:hint="eastAsia" w:ascii="宋体" w:hAnsi="宋体" w:eastAsia="宋体" w:cs="Arial"/>
                <w:color w:val="000000"/>
                <w:kern w:val="0"/>
                <w:sz w:val="22"/>
              </w:rPr>
              <w:t>注：</w:t>
            </w:r>
            <w:r>
              <w:rPr>
                <w:rFonts w:hint="eastAsia" w:ascii="宋体" w:hAnsi="宋体" w:eastAsia="宋体" w:cs="宋体"/>
                <w:color w:val="000000"/>
                <w:sz w:val="22"/>
                <w:lang w:val="en-US" w:eastAsia="zh-CN"/>
              </w:rPr>
              <w:t>1.</w:t>
            </w:r>
            <w:r>
              <w:rPr>
                <w:rFonts w:hint="eastAsia" w:ascii="宋体" w:hAnsi="宋体" w:eastAsia="宋体" w:cs="宋体"/>
                <w:color w:val="000000"/>
                <w:sz w:val="22"/>
              </w:rPr>
              <w:t>本表反映部门本年度的总收支和年末结转结余情况。</w:t>
            </w:r>
          </w:p>
          <w:p w14:paraId="3DBB5D0C">
            <w:pPr>
              <w:pStyle w:val="20"/>
              <w:spacing w:line="400" w:lineRule="exact"/>
              <w:rPr>
                <w:rFonts w:ascii="宋体" w:hAnsi="宋体" w:eastAsia="宋体" w:cs="Arial"/>
                <w:color w:val="000000"/>
                <w:kern w:val="0"/>
                <w:sz w:val="22"/>
              </w:rPr>
            </w:pPr>
            <w:r>
              <w:rPr>
                <w:rFonts w:hint="eastAsia" w:ascii="宋体" w:hAnsi="宋体" w:eastAsia="宋体" w:cs="宋体"/>
                <w:color w:val="000000"/>
                <w:sz w:val="22"/>
                <w:lang w:val="en-US" w:eastAsia="zh-CN"/>
              </w:rPr>
              <w:t>2.</w:t>
            </w:r>
            <w:r>
              <w:rPr>
                <w:rFonts w:hint="eastAsia" w:ascii="宋体" w:hAnsi="宋体" w:eastAsia="宋体" w:cs="宋体"/>
                <w:color w:val="000000"/>
                <w:sz w:val="22"/>
              </w:rPr>
              <w:t>本套报表金额单位转换时可能存在尾数误差。</w:t>
            </w:r>
          </w:p>
        </w:tc>
      </w:tr>
    </w:tbl>
    <w:p w14:paraId="5BE26EAE">
      <w:pPr>
        <w:bidi w:val="0"/>
        <w:jc w:val="center"/>
        <w:rPr>
          <w:rFonts w:hint="eastAsia" w:ascii="宋体" w:hAnsi="宋体" w:eastAsia="宋体" w:cs="宋体"/>
          <w:sz w:val="32"/>
          <w:szCs w:val="32"/>
        </w:rPr>
      </w:pPr>
      <w:r>
        <w:rPr>
          <w:rFonts w:hint="eastAsia" w:ascii="宋体" w:hAnsi="宋体" w:eastAsia="宋体" w:cs="宋体"/>
          <w:sz w:val="32"/>
          <w:szCs w:val="32"/>
        </w:rPr>
        <w:t>收入决算表</w:t>
      </w:r>
    </w:p>
    <w:tbl>
      <w:tblPr>
        <w:tblStyle w:val="12"/>
        <w:tblW w:w="13924" w:type="dxa"/>
        <w:jc w:val="center"/>
        <w:tblLayout w:type="fixed"/>
        <w:tblCellMar>
          <w:top w:w="0" w:type="dxa"/>
          <w:left w:w="108" w:type="dxa"/>
          <w:bottom w:w="0" w:type="dxa"/>
          <w:right w:w="108" w:type="dxa"/>
        </w:tblCellMar>
      </w:tblPr>
      <w:tblGrid>
        <w:gridCol w:w="406"/>
        <w:gridCol w:w="317"/>
        <w:gridCol w:w="425"/>
        <w:gridCol w:w="4040"/>
        <w:gridCol w:w="1248"/>
        <w:gridCol w:w="1247"/>
        <w:gridCol w:w="1248"/>
        <w:gridCol w:w="1247"/>
        <w:gridCol w:w="1248"/>
        <w:gridCol w:w="1247"/>
        <w:gridCol w:w="1251"/>
      </w:tblGrid>
      <w:tr w14:paraId="02B11F9B">
        <w:tblPrEx>
          <w:tblCellMar>
            <w:top w:w="0" w:type="dxa"/>
            <w:left w:w="108" w:type="dxa"/>
            <w:bottom w:w="0" w:type="dxa"/>
            <w:right w:w="108" w:type="dxa"/>
          </w:tblCellMar>
        </w:tblPrEx>
        <w:trPr>
          <w:trHeight w:val="474" w:hRule="atLeast"/>
          <w:tblHeader/>
          <w:jc w:val="center"/>
        </w:trPr>
        <w:tc>
          <w:tcPr>
            <w:tcW w:w="406" w:type="dxa"/>
            <w:tcBorders>
              <w:top w:val="nil"/>
              <w:left w:val="nil"/>
              <w:bottom w:val="nil"/>
              <w:right w:val="nil"/>
            </w:tcBorders>
            <w:shd w:val="clear" w:color="auto" w:fill="auto"/>
            <w:noWrap/>
            <w:vAlign w:val="bottom"/>
          </w:tcPr>
          <w:p w14:paraId="6792698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color w:val="000000"/>
                <w:kern w:val="0"/>
                <w:sz w:val="22"/>
                <w:szCs w:val="22"/>
              </w:rPr>
            </w:pPr>
          </w:p>
        </w:tc>
        <w:tc>
          <w:tcPr>
            <w:tcW w:w="317" w:type="dxa"/>
            <w:tcBorders>
              <w:top w:val="nil"/>
              <w:left w:val="nil"/>
              <w:bottom w:val="nil"/>
              <w:right w:val="nil"/>
            </w:tcBorders>
            <w:shd w:val="clear" w:color="auto" w:fill="auto"/>
            <w:noWrap/>
            <w:vAlign w:val="bottom"/>
          </w:tcPr>
          <w:p w14:paraId="5E78766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425" w:type="dxa"/>
            <w:tcBorders>
              <w:top w:val="nil"/>
              <w:left w:val="nil"/>
              <w:bottom w:val="nil"/>
              <w:right w:val="nil"/>
            </w:tcBorders>
            <w:shd w:val="clear" w:color="auto" w:fill="auto"/>
            <w:noWrap/>
            <w:vAlign w:val="bottom"/>
          </w:tcPr>
          <w:p w14:paraId="10A1A20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4040" w:type="dxa"/>
            <w:tcBorders>
              <w:top w:val="nil"/>
              <w:left w:val="nil"/>
              <w:bottom w:val="nil"/>
              <w:right w:val="nil"/>
            </w:tcBorders>
            <w:shd w:val="clear" w:color="auto" w:fill="auto"/>
            <w:noWrap/>
            <w:vAlign w:val="bottom"/>
          </w:tcPr>
          <w:p w14:paraId="25352D5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1248" w:type="dxa"/>
            <w:tcBorders>
              <w:top w:val="nil"/>
              <w:left w:val="nil"/>
              <w:bottom w:val="nil"/>
              <w:right w:val="nil"/>
            </w:tcBorders>
            <w:shd w:val="clear" w:color="auto" w:fill="auto"/>
            <w:noWrap/>
            <w:vAlign w:val="bottom"/>
          </w:tcPr>
          <w:p w14:paraId="1DA03F8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1247" w:type="dxa"/>
            <w:tcBorders>
              <w:top w:val="nil"/>
              <w:left w:val="nil"/>
              <w:bottom w:val="nil"/>
              <w:right w:val="nil"/>
            </w:tcBorders>
            <w:shd w:val="clear" w:color="auto" w:fill="auto"/>
            <w:noWrap/>
            <w:vAlign w:val="bottom"/>
          </w:tcPr>
          <w:p w14:paraId="27E1067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1248" w:type="dxa"/>
            <w:tcBorders>
              <w:top w:val="nil"/>
              <w:left w:val="nil"/>
              <w:bottom w:val="nil"/>
              <w:right w:val="nil"/>
            </w:tcBorders>
            <w:shd w:val="clear" w:color="auto" w:fill="auto"/>
            <w:noWrap/>
            <w:vAlign w:val="bottom"/>
          </w:tcPr>
          <w:p w14:paraId="0E7A9C0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1247" w:type="dxa"/>
            <w:tcBorders>
              <w:top w:val="nil"/>
              <w:left w:val="nil"/>
              <w:bottom w:val="nil"/>
              <w:right w:val="nil"/>
            </w:tcBorders>
            <w:shd w:val="clear" w:color="auto" w:fill="auto"/>
            <w:noWrap/>
            <w:vAlign w:val="bottom"/>
          </w:tcPr>
          <w:p w14:paraId="6A2306C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1248" w:type="dxa"/>
            <w:tcBorders>
              <w:top w:val="nil"/>
              <w:left w:val="nil"/>
              <w:bottom w:val="nil"/>
              <w:right w:val="nil"/>
            </w:tcBorders>
            <w:shd w:val="clear" w:color="auto" w:fill="auto"/>
            <w:noWrap/>
            <w:vAlign w:val="bottom"/>
          </w:tcPr>
          <w:p w14:paraId="0DB5AB5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1247" w:type="dxa"/>
            <w:tcBorders>
              <w:top w:val="nil"/>
              <w:left w:val="nil"/>
              <w:bottom w:val="nil"/>
              <w:right w:val="nil"/>
            </w:tcBorders>
            <w:shd w:val="clear" w:color="auto" w:fill="auto"/>
            <w:noWrap/>
            <w:vAlign w:val="bottom"/>
          </w:tcPr>
          <w:p w14:paraId="0C56FDC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1251" w:type="dxa"/>
            <w:tcBorders>
              <w:top w:val="nil"/>
              <w:left w:val="nil"/>
              <w:bottom w:val="nil"/>
              <w:right w:val="nil"/>
            </w:tcBorders>
            <w:shd w:val="clear" w:color="auto" w:fill="auto"/>
            <w:noWrap/>
            <w:vAlign w:val="bottom"/>
          </w:tcPr>
          <w:p w14:paraId="36821CE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color w:val="000000"/>
                <w:kern w:val="0"/>
                <w:sz w:val="22"/>
                <w:szCs w:val="22"/>
              </w:rPr>
            </w:pPr>
            <w:r>
              <w:rPr>
                <w:rFonts w:hint="eastAsia" w:ascii="宋体" w:hAnsi="宋体" w:eastAsia="宋体" w:cs="Arial"/>
                <w:color w:val="000000"/>
                <w:kern w:val="0"/>
                <w:sz w:val="22"/>
                <w:szCs w:val="22"/>
              </w:rPr>
              <w:t>公开02表</w:t>
            </w:r>
          </w:p>
        </w:tc>
      </w:tr>
      <w:tr w14:paraId="51B5044E">
        <w:tblPrEx>
          <w:tblCellMar>
            <w:top w:w="0" w:type="dxa"/>
            <w:left w:w="108" w:type="dxa"/>
            <w:bottom w:w="0" w:type="dxa"/>
            <w:right w:w="108" w:type="dxa"/>
          </w:tblCellMar>
        </w:tblPrEx>
        <w:trPr>
          <w:trHeight w:val="255" w:hRule="atLeast"/>
          <w:tblHeader/>
          <w:jc w:val="center"/>
        </w:trPr>
        <w:tc>
          <w:tcPr>
            <w:tcW w:w="5188" w:type="dxa"/>
            <w:gridSpan w:val="4"/>
            <w:tcBorders>
              <w:top w:val="nil"/>
              <w:left w:val="nil"/>
              <w:bottom w:val="nil"/>
              <w:right w:val="nil"/>
            </w:tcBorders>
            <w:shd w:val="clear" w:color="auto" w:fill="auto"/>
            <w:noWrap/>
            <w:vAlign w:val="bottom"/>
          </w:tcPr>
          <w:p w14:paraId="02FE3B1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color w:val="000000"/>
                <w:kern w:val="0"/>
                <w:sz w:val="22"/>
                <w:szCs w:val="22"/>
              </w:rPr>
            </w:pPr>
            <w:r>
              <w:rPr>
                <w:rFonts w:hint="eastAsia" w:ascii="宋体" w:hAnsi="宋体" w:eastAsia="宋体" w:cs="Arial"/>
                <w:color w:val="000000"/>
                <w:kern w:val="0"/>
                <w:sz w:val="22"/>
                <w:szCs w:val="22"/>
              </w:rPr>
              <w:t>部门：国家统计局吉林调查总队</w:t>
            </w:r>
          </w:p>
        </w:tc>
        <w:tc>
          <w:tcPr>
            <w:tcW w:w="1248" w:type="dxa"/>
            <w:tcBorders>
              <w:top w:val="nil"/>
              <w:left w:val="nil"/>
              <w:bottom w:val="nil"/>
              <w:right w:val="nil"/>
            </w:tcBorders>
            <w:shd w:val="clear" w:color="auto" w:fill="auto"/>
            <w:noWrap/>
            <w:vAlign w:val="bottom"/>
          </w:tcPr>
          <w:p w14:paraId="378884E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color w:val="000000"/>
                <w:kern w:val="0"/>
                <w:sz w:val="22"/>
                <w:szCs w:val="22"/>
              </w:rPr>
            </w:pPr>
          </w:p>
        </w:tc>
        <w:tc>
          <w:tcPr>
            <w:tcW w:w="1247" w:type="dxa"/>
            <w:tcBorders>
              <w:top w:val="nil"/>
              <w:left w:val="nil"/>
              <w:bottom w:val="nil"/>
              <w:right w:val="nil"/>
            </w:tcBorders>
            <w:shd w:val="clear" w:color="auto" w:fill="auto"/>
            <w:noWrap/>
            <w:vAlign w:val="bottom"/>
          </w:tcPr>
          <w:p w14:paraId="61E68A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1248" w:type="dxa"/>
            <w:tcBorders>
              <w:top w:val="nil"/>
              <w:left w:val="nil"/>
              <w:bottom w:val="nil"/>
              <w:right w:val="nil"/>
            </w:tcBorders>
            <w:shd w:val="clear" w:color="auto" w:fill="auto"/>
            <w:noWrap/>
            <w:vAlign w:val="bottom"/>
          </w:tcPr>
          <w:p w14:paraId="1F85D02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1247" w:type="dxa"/>
            <w:tcBorders>
              <w:top w:val="nil"/>
              <w:left w:val="nil"/>
              <w:bottom w:val="nil"/>
              <w:right w:val="nil"/>
            </w:tcBorders>
            <w:shd w:val="clear" w:color="auto" w:fill="auto"/>
            <w:noWrap/>
            <w:vAlign w:val="bottom"/>
          </w:tcPr>
          <w:p w14:paraId="36B6568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1248" w:type="dxa"/>
            <w:tcBorders>
              <w:top w:val="nil"/>
              <w:left w:val="nil"/>
              <w:bottom w:val="nil"/>
              <w:right w:val="nil"/>
            </w:tcBorders>
            <w:shd w:val="clear" w:color="auto" w:fill="auto"/>
            <w:noWrap/>
            <w:vAlign w:val="bottom"/>
          </w:tcPr>
          <w:p w14:paraId="304CE0F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2498" w:type="dxa"/>
            <w:gridSpan w:val="2"/>
            <w:tcBorders>
              <w:top w:val="nil"/>
              <w:left w:val="nil"/>
              <w:bottom w:val="nil"/>
              <w:right w:val="nil"/>
            </w:tcBorders>
            <w:shd w:val="clear" w:color="auto" w:fill="auto"/>
            <w:noWrap/>
            <w:vAlign w:val="bottom"/>
          </w:tcPr>
          <w:p w14:paraId="3E0F379C">
            <w:pPr>
              <w:keepNext w:val="0"/>
              <w:keepLines w:val="0"/>
              <w:pageBreakBefore w:val="0"/>
              <w:widowControl/>
              <w:kinsoku/>
              <w:wordWrap/>
              <w:overflowPunct/>
              <w:topLinePunct w:val="0"/>
              <w:autoSpaceDE/>
              <w:autoSpaceDN/>
              <w:bidi w:val="0"/>
              <w:adjustRightInd/>
              <w:snapToGrid/>
              <w:spacing w:line="400" w:lineRule="exact"/>
              <w:jc w:val="right"/>
              <w:textAlignment w:val="auto"/>
              <w:rPr>
                <w:rFonts w:ascii="宋体" w:hAnsi="宋体" w:eastAsia="宋体" w:cs="Arial"/>
                <w:color w:val="000000"/>
                <w:kern w:val="0"/>
                <w:sz w:val="22"/>
                <w:szCs w:val="22"/>
              </w:rPr>
            </w:pPr>
            <w:r>
              <w:rPr>
                <w:rFonts w:hint="eastAsia" w:ascii="宋体" w:hAnsi="宋体" w:eastAsia="宋体" w:cs="Arial"/>
                <w:color w:val="000000"/>
                <w:kern w:val="0"/>
                <w:sz w:val="22"/>
                <w:szCs w:val="22"/>
              </w:rPr>
              <w:t>金额单位：万元</w:t>
            </w:r>
          </w:p>
        </w:tc>
      </w:tr>
      <w:tr w14:paraId="1D3CFEF1">
        <w:tblPrEx>
          <w:tblCellMar>
            <w:top w:w="0" w:type="dxa"/>
            <w:left w:w="108" w:type="dxa"/>
            <w:bottom w:w="0" w:type="dxa"/>
            <w:right w:w="108" w:type="dxa"/>
          </w:tblCellMar>
        </w:tblPrEx>
        <w:trPr>
          <w:trHeight w:val="308" w:hRule="atLeast"/>
          <w:tblHeader/>
          <w:jc w:val="center"/>
        </w:trPr>
        <w:tc>
          <w:tcPr>
            <w:tcW w:w="518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F7EA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Arial"/>
                <w:color w:val="000000"/>
                <w:kern w:val="0"/>
                <w:sz w:val="22"/>
              </w:rPr>
            </w:pPr>
            <w:r>
              <w:rPr>
                <w:rFonts w:hint="eastAsia" w:ascii="宋体" w:hAnsi="宋体" w:eastAsia="宋体" w:cs="Arial"/>
                <w:color w:val="000000"/>
                <w:kern w:val="0"/>
                <w:sz w:val="22"/>
              </w:rPr>
              <w:t>项目</w:t>
            </w:r>
          </w:p>
        </w:tc>
        <w:tc>
          <w:tcPr>
            <w:tcW w:w="1248" w:type="dxa"/>
            <w:vMerge w:val="restart"/>
            <w:tcBorders>
              <w:top w:val="single" w:color="000000" w:sz="4" w:space="0"/>
              <w:left w:val="nil"/>
              <w:bottom w:val="single" w:color="000000" w:sz="4" w:space="0"/>
              <w:right w:val="single" w:color="000000" w:sz="4" w:space="0"/>
            </w:tcBorders>
            <w:shd w:val="clear" w:color="auto" w:fill="auto"/>
            <w:vAlign w:val="center"/>
          </w:tcPr>
          <w:p w14:paraId="21AAB55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Arial"/>
                <w:color w:val="000000"/>
                <w:kern w:val="0"/>
                <w:sz w:val="22"/>
              </w:rPr>
            </w:pPr>
            <w:r>
              <w:rPr>
                <w:rFonts w:hint="eastAsia" w:ascii="宋体" w:hAnsi="宋体" w:eastAsia="宋体" w:cs="Arial"/>
                <w:color w:val="000000"/>
                <w:kern w:val="0"/>
                <w:sz w:val="22"/>
              </w:rPr>
              <w:t>本年收入合计</w:t>
            </w:r>
          </w:p>
        </w:tc>
        <w:tc>
          <w:tcPr>
            <w:tcW w:w="1247" w:type="dxa"/>
            <w:vMerge w:val="restart"/>
            <w:tcBorders>
              <w:top w:val="single" w:color="000000" w:sz="4" w:space="0"/>
              <w:left w:val="nil"/>
              <w:bottom w:val="single" w:color="000000" w:sz="4" w:space="0"/>
              <w:right w:val="single" w:color="000000" w:sz="4" w:space="0"/>
            </w:tcBorders>
            <w:shd w:val="clear" w:color="auto" w:fill="auto"/>
            <w:vAlign w:val="center"/>
          </w:tcPr>
          <w:p w14:paraId="3541338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Arial"/>
                <w:color w:val="000000"/>
                <w:kern w:val="0"/>
                <w:sz w:val="22"/>
              </w:rPr>
            </w:pPr>
            <w:r>
              <w:rPr>
                <w:rFonts w:hint="eastAsia" w:ascii="宋体" w:hAnsi="宋体" w:eastAsia="宋体" w:cs="Arial"/>
                <w:color w:val="000000"/>
                <w:kern w:val="0"/>
                <w:sz w:val="22"/>
              </w:rPr>
              <w:t>财政拨款收入</w:t>
            </w:r>
          </w:p>
        </w:tc>
        <w:tc>
          <w:tcPr>
            <w:tcW w:w="1248" w:type="dxa"/>
            <w:vMerge w:val="restart"/>
            <w:tcBorders>
              <w:top w:val="single" w:color="000000" w:sz="4" w:space="0"/>
              <w:left w:val="nil"/>
              <w:bottom w:val="single" w:color="000000" w:sz="4" w:space="0"/>
              <w:right w:val="single" w:color="000000" w:sz="4" w:space="0"/>
            </w:tcBorders>
            <w:shd w:val="clear" w:color="auto" w:fill="auto"/>
            <w:vAlign w:val="center"/>
          </w:tcPr>
          <w:p w14:paraId="7DE02D4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Arial"/>
                <w:color w:val="000000"/>
                <w:kern w:val="0"/>
                <w:sz w:val="22"/>
              </w:rPr>
            </w:pPr>
            <w:r>
              <w:rPr>
                <w:rFonts w:hint="eastAsia" w:ascii="宋体" w:hAnsi="宋体" w:eastAsia="宋体" w:cs="Arial"/>
                <w:color w:val="000000"/>
                <w:kern w:val="0"/>
                <w:sz w:val="22"/>
              </w:rPr>
              <w:t>上级补助收入</w:t>
            </w:r>
          </w:p>
        </w:tc>
        <w:tc>
          <w:tcPr>
            <w:tcW w:w="1247" w:type="dxa"/>
            <w:vMerge w:val="restart"/>
            <w:tcBorders>
              <w:top w:val="single" w:color="000000" w:sz="4" w:space="0"/>
              <w:left w:val="nil"/>
              <w:bottom w:val="single" w:color="000000" w:sz="4" w:space="0"/>
              <w:right w:val="single" w:color="000000" w:sz="4" w:space="0"/>
            </w:tcBorders>
            <w:shd w:val="clear" w:color="auto" w:fill="auto"/>
            <w:vAlign w:val="center"/>
          </w:tcPr>
          <w:p w14:paraId="5BBA1E9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Arial"/>
                <w:color w:val="000000"/>
                <w:kern w:val="0"/>
                <w:sz w:val="22"/>
              </w:rPr>
            </w:pPr>
            <w:r>
              <w:rPr>
                <w:rFonts w:hint="eastAsia" w:ascii="宋体" w:hAnsi="宋体" w:eastAsia="宋体" w:cs="Arial"/>
                <w:color w:val="000000"/>
                <w:kern w:val="0"/>
                <w:sz w:val="22"/>
              </w:rPr>
              <w:t>事业收入</w:t>
            </w:r>
          </w:p>
        </w:tc>
        <w:tc>
          <w:tcPr>
            <w:tcW w:w="1248" w:type="dxa"/>
            <w:vMerge w:val="restart"/>
            <w:tcBorders>
              <w:top w:val="single" w:color="000000" w:sz="4" w:space="0"/>
              <w:left w:val="nil"/>
              <w:bottom w:val="single" w:color="000000" w:sz="4" w:space="0"/>
              <w:right w:val="single" w:color="000000" w:sz="4" w:space="0"/>
            </w:tcBorders>
            <w:shd w:val="clear" w:color="auto" w:fill="auto"/>
            <w:vAlign w:val="center"/>
          </w:tcPr>
          <w:p w14:paraId="1C66F83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Arial"/>
                <w:color w:val="000000"/>
                <w:kern w:val="0"/>
                <w:sz w:val="22"/>
              </w:rPr>
            </w:pPr>
            <w:r>
              <w:rPr>
                <w:rFonts w:hint="eastAsia" w:ascii="宋体" w:hAnsi="宋体" w:eastAsia="宋体" w:cs="Arial"/>
                <w:color w:val="000000"/>
                <w:kern w:val="0"/>
                <w:sz w:val="22"/>
              </w:rPr>
              <w:t>经营收入</w:t>
            </w:r>
          </w:p>
        </w:tc>
        <w:tc>
          <w:tcPr>
            <w:tcW w:w="1247" w:type="dxa"/>
            <w:vMerge w:val="restart"/>
            <w:tcBorders>
              <w:top w:val="single" w:color="000000" w:sz="4" w:space="0"/>
              <w:left w:val="nil"/>
              <w:bottom w:val="single" w:color="000000" w:sz="4" w:space="0"/>
              <w:right w:val="single" w:color="000000" w:sz="4" w:space="0"/>
            </w:tcBorders>
            <w:shd w:val="clear" w:color="auto" w:fill="auto"/>
            <w:vAlign w:val="center"/>
          </w:tcPr>
          <w:p w14:paraId="3869234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Arial"/>
                <w:color w:val="000000"/>
                <w:kern w:val="0"/>
                <w:sz w:val="22"/>
              </w:rPr>
            </w:pPr>
            <w:r>
              <w:rPr>
                <w:rFonts w:hint="eastAsia" w:ascii="宋体" w:hAnsi="宋体" w:eastAsia="宋体" w:cs="Arial"/>
                <w:color w:val="000000"/>
                <w:kern w:val="0"/>
                <w:sz w:val="22"/>
              </w:rPr>
              <w:t>附属单位上缴收入</w:t>
            </w:r>
          </w:p>
        </w:tc>
        <w:tc>
          <w:tcPr>
            <w:tcW w:w="1251" w:type="dxa"/>
            <w:vMerge w:val="restart"/>
            <w:tcBorders>
              <w:top w:val="single" w:color="000000" w:sz="4" w:space="0"/>
              <w:left w:val="nil"/>
              <w:bottom w:val="single" w:color="000000" w:sz="4" w:space="0"/>
              <w:right w:val="single" w:color="000000" w:sz="4" w:space="0"/>
            </w:tcBorders>
            <w:shd w:val="clear" w:color="auto" w:fill="auto"/>
            <w:vAlign w:val="center"/>
          </w:tcPr>
          <w:p w14:paraId="1F52F7B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Arial"/>
                <w:color w:val="000000"/>
                <w:kern w:val="0"/>
                <w:sz w:val="22"/>
              </w:rPr>
            </w:pPr>
            <w:r>
              <w:rPr>
                <w:rFonts w:hint="eastAsia" w:ascii="宋体" w:hAnsi="宋体" w:eastAsia="宋体" w:cs="Arial"/>
                <w:color w:val="000000"/>
                <w:kern w:val="0"/>
                <w:sz w:val="22"/>
              </w:rPr>
              <w:t>其他收入</w:t>
            </w:r>
          </w:p>
        </w:tc>
      </w:tr>
      <w:tr w14:paraId="534A2CD0">
        <w:tblPrEx>
          <w:tblCellMar>
            <w:top w:w="0" w:type="dxa"/>
            <w:left w:w="108" w:type="dxa"/>
            <w:bottom w:w="0" w:type="dxa"/>
            <w:right w:w="108" w:type="dxa"/>
          </w:tblCellMar>
        </w:tblPrEx>
        <w:trPr>
          <w:trHeight w:val="312" w:hRule="atLeast"/>
          <w:tblHeader/>
          <w:jc w:val="center"/>
        </w:trPr>
        <w:tc>
          <w:tcPr>
            <w:tcW w:w="1148"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4DED5FB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Arial"/>
                <w:color w:val="000000"/>
                <w:kern w:val="0"/>
                <w:sz w:val="22"/>
              </w:rPr>
            </w:pPr>
            <w:r>
              <w:rPr>
                <w:rFonts w:hint="eastAsia" w:ascii="宋体" w:hAnsi="宋体" w:eastAsia="宋体" w:cs="Arial"/>
                <w:color w:val="000000"/>
                <w:kern w:val="0"/>
                <w:sz w:val="22"/>
                <w:lang w:eastAsia="zh-CN"/>
              </w:rPr>
              <w:t>科目代码</w:t>
            </w:r>
          </w:p>
        </w:tc>
        <w:tc>
          <w:tcPr>
            <w:tcW w:w="4040" w:type="dxa"/>
            <w:vMerge w:val="restart"/>
            <w:tcBorders>
              <w:top w:val="nil"/>
              <w:left w:val="nil"/>
              <w:bottom w:val="single" w:color="000000" w:sz="4" w:space="0"/>
              <w:right w:val="single" w:color="000000" w:sz="4" w:space="0"/>
            </w:tcBorders>
            <w:shd w:val="clear" w:color="auto" w:fill="auto"/>
            <w:noWrap/>
            <w:vAlign w:val="center"/>
          </w:tcPr>
          <w:p w14:paraId="4DC519D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Arial"/>
                <w:color w:val="000000"/>
                <w:kern w:val="0"/>
                <w:sz w:val="22"/>
              </w:rPr>
            </w:pPr>
            <w:r>
              <w:rPr>
                <w:rFonts w:hint="eastAsia" w:ascii="宋体" w:hAnsi="宋体" w:eastAsia="宋体" w:cs="Arial"/>
                <w:color w:val="000000"/>
                <w:kern w:val="0"/>
                <w:sz w:val="22"/>
              </w:rPr>
              <w:t>科目名称</w:t>
            </w:r>
          </w:p>
        </w:tc>
        <w:tc>
          <w:tcPr>
            <w:tcW w:w="1248" w:type="dxa"/>
            <w:vMerge w:val="continue"/>
            <w:tcBorders>
              <w:top w:val="single" w:color="000000" w:sz="4" w:space="0"/>
              <w:left w:val="nil"/>
              <w:bottom w:val="single" w:color="000000" w:sz="4" w:space="0"/>
              <w:right w:val="single" w:color="000000" w:sz="4" w:space="0"/>
            </w:tcBorders>
            <w:shd w:val="clear" w:color="auto" w:fill="auto"/>
            <w:vAlign w:val="center"/>
          </w:tcPr>
          <w:p w14:paraId="02E6BC8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1247" w:type="dxa"/>
            <w:vMerge w:val="continue"/>
            <w:tcBorders>
              <w:top w:val="single" w:color="000000" w:sz="4" w:space="0"/>
              <w:left w:val="nil"/>
              <w:bottom w:val="single" w:color="000000" w:sz="4" w:space="0"/>
              <w:right w:val="single" w:color="000000" w:sz="4" w:space="0"/>
            </w:tcBorders>
            <w:shd w:val="clear" w:color="auto" w:fill="auto"/>
            <w:vAlign w:val="center"/>
          </w:tcPr>
          <w:p w14:paraId="2EC98C4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1248" w:type="dxa"/>
            <w:vMerge w:val="continue"/>
            <w:tcBorders>
              <w:top w:val="single" w:color="000000" w:sz="4" w:space="0"/>
              <w:left w:val="nil"/>
              <w:bottom w:val="single" w:color="000000" w:sz="4" w:space="0"/>
              <w:right w:val="single" w:color="000000" w:sz="4" w:space="0"/>
            </w:tcBorders>
            <w:shd w:val="clear" w:color="auto" w:fill="auto"/>
            <w:vAlign w:val="center"/>
          </w:tcPr>
          <w:p w14:paraId="44C43B4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1247" w:type="dxa"/>
            <w:vMerge w:val="continue"/>
            <w:tcBorders>
              <w:top w:val="single" w:color="000000" w:sz="4" w:space="0"/>
              <w:left w:val="nil"/>
              <w:bottom w:val="single" w:color="000000" w:sz="4" w:space="0"/>
              <w:right w:val="single" w:color="000000" w:sz="4" w:space="0"/>
            </w:tcBorders>
            <w:shd w:val="clear" w:color="auto" w:fill="auto"/>
            <w:vAlign w:val="center"/>
          </w:tcPr>
          <w:p w14:paraId="22CEACA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1248" w:type="dxa"/>
            <w:vMerge w:val="continue"/>
            <w:tcBorders>
              <w:top w:val="single" w:color="000000" w:sz="4" w:space="0"/>
              <w:left w:val="nil"/>
              <w:bottom w:val="single" w:color="000000" w:sz="4" w:space="0"/>
              <w:right w:val="single" w:color="000000" w:sz="4" w:space="0"/>
            </w:tcBorders>
            <w:shd w:val="clear" w:color="auto" w:fill="auto"/>
            <w:vAlign w:val="center"/>
          </w:tcPr>
          <w:p w14:paraId="7574002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1247" w:type="dxa"/>
            <w:vMerge w:val="continue"/>
            <w:tcBorders>
              <w:top w:val="single" w:color="000000" w:sz="4" w:space="0"/>
              <w:left w:val="nil"/>
              <w:bottom w:val="single" w:color="000000" w:sz="4" w:space="0"/>
              <w:right w:val="single" w:color="000000" w:sz="4" w:space="0"/>
            </w:tcBorders>
            <w:shd w:val="clear" w:color="auto" w:fill="auto"/>
            <w:vAlign w:val="center"/>
          </w:tcPr>
          <w:p w14:paraId="39A9CE2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1251" w:type="dxa"/>
            <w:vMerge w:val="continue"/>
            <w:tcBorders>
              <w:top w:val="single" w:color="000000" w:sz="4" w:space="0"/>
              <w:left w:val="nil"/>
              <w:bottom w:val="single" w:color="000000" w:sz="4" w:space="0"/>
              <w:right w:val="single" w:color="000000" w:sz="4" w:space="0"/>
            </w:tcBorders>
            <w:shd w:val="clear" w:color="auto" w:fill="auto"/>
            <w:vAlign w:val="center"/>
          </w:tcPr>
          <w:p w14:paraId="50BF4F7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r>
      <w:tr w14:paraId="2CF177B7">
        <w:tblPrEx>
          <w:tblCellMar>
            <w:top w:w="0" w:type="dxa"/>
            <w:left w:w="108" w:type="dxa"/>
            <w:bottom w:w="0" w:type="dxa"/>
            <w:right w:w="108" w:type="dxa"/>
          </w:tblCellMar>
        </w:tblPrEx>
        <w:trPr>
          <w:trHeight w:val="312" w:hRule="atLeast"/>
          <w:tblHeader/>
          <w:jc w:val="center"/>
        </w:trPr>
        <w:tc>
          <w:tcPr>
            <w:tcW w:w="1148"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6FC2FBD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4040" w:type="dxa"/>
            <w:vMerge w:val="continue"/>
            <w:tcBorders>
              <w:top w:val="nil"/>
              <w:left w:val="nil"/>
              <w:bottom w:val="single" w:color="000000" w:sz="4" w:space="0"/>
              <w:right w:val="single" w:color="000000" w:sz="4" w:space="0"/>
            </w:tcBorders>
            <w:shd w:val="clear" w:color="auto" w:fill="auto"/>
            <w:vAlign w:val="center"/>
          </w:tcPr>
          <w:p w14:paraId="12EF6DE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1248" w:type="dxa"/>
            <w:vMerge w:val="continue"/>
            <w:tcBorders>
              <w:top w:val="single" w:color="000000" w:sz="4" w:space="0"/>
              <w:left w:val="nil"/>
              <w:bottom w:val="single" w:color="000000" w:sz="4" w:space="0"/>
              <w:right w:val="single" w:color="000000" w:sz="4" w:space="0"/>
            </w:tcBorders>
            <w:shd w:val="clear" w:color="auto" w:fill="auto"/>
            <w:vAlign w:val="center"/>
          </w:tcPr>
          <w:p w14:paraId="368CDC1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1247" w:type="dxa"/>
            <w:vMerge w:val="continue"/>
            <w:tcBorders>
              <w:top w:val="single" w:color="000000" w:sz="4" w:space="0"/>
              <w:left w:val="nil"/>
              <w:bottom w:val="single" w:color="000000" w:sz="4" w:space="0"/>
              <w:right w:val="single" w:color="000000" w:sz="4" w:space="0"/>
            </w:tcBorders>
            <w:shd w:val="clear" w:color="auto" w:fill="auto"/>
            <w:vAlign w:val="center"/>
          </w:tcPr>
          <w:p w14:paraId="523AE50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1248" w:type="dxa"/>
            <w:vMerge w:val="continue"/>
            <w:tcBorders>
              <w:top w:val="single" w:color="000000" w:sz="4" w:space="0"/>
              <w:left w:val="nil"/>
              <w:bottom w:val="single" w:color="000000" w:sz="4" w:space="0"/>
              <w:right w:val="single" w:color="000000" w:sz="4" w:space="0"/>
            </w:tcBorders>
            <w:shd w:val="clear" w:color="auto" w:fill="auto"/>
            <w:vAlign w:val="center"/>
          </w:tcPr>
          <w:p w14:paraId="516A427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1247" w:type="dxa"/>
            <w:vMerge w:val="continue"/>
            <w:tcBorders>
              <w:top w:val="single" w:color="000000" w:sz="4" w:space="0"/>
              <w:left w:val="nil"/>
              <w:bottom w:val="single" w:color="000000" w:sz="4" w:space="0"/>
              <w:right w:val="single" w:color="000000" w:sz="4" w:space="0"/>
            </w:tcBorders>
            <w:shd w:val="clear" w:color="auto" w:fill="auto"/>
            <w:vAlign w:val="center"/>
          </w:tcPr>
          <w:p w14:paraId="67819E3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1248" w:type="dxa"/>
            <w:vMerge w:val="continue"/>
            <w:tcBorders>
              <w:top w:val="single" w:color="000000" w:sz="4" w:space="0"/>
              <w:left w:val="nil"/>
              <w:bottom w:val="single" w:color="000000" w:sz="4" w:space="0"/>
              <w:right w:val="single" w:color="000000" w:sz="4" w:space="0"/>
            </w:tcBorders>
            <w:shd w:val="clear" w:color="auto" w:fill="auto"/>
            <w:vAlign w:val="center"/>
          </w:tcPr>
          <w:p w14:paraId="33D2A8E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1247" w:type="dxa"/>
            <w:vMerge w:val="continue"/>
            <w:tcBorders>
              <w:top w:val="single" w:color="000000" w:sz="4" w:space="0"/>
              <w:left w:val="nil"/>
              <w:bottom w:val="single" w:color="000000" w:sz="4" w:space="0"/>
              <w:right w:val="single" w:color="000000" w:sz="4" w:space="0"/>
            </w:tcBorders>
            <w:shd w:val="clear" w:color="auto" w:fill="auto"/>
            <w:vAlign w:val="center"/>
          </w:tcPr>
          <w:p w14:paraId="5F5A447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1251" w:type="dxa"/>
            <w:vMerge w:val="continue"/>
            <w:tcBorders>
              <w:top w:val="single" w:color="000000" w:sz="4" w:space="0"/>
              <w:left w:val="nil"/>
              <w:bottom w:val="single" w:color="000000" w:sz="4" w:space="0"/>
              <w:right w:val="single" w:color="000000" w:sz="4" w:space="0"/>
            </w:tcBorders>
            <w:shd w:val="clear" w:color="auto" w:fill="auto"/>
            <w:vAlign w:val="center"/>
          </w:tcPr>
          <w:p w14:paraId="517DCB7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r>
      <w:tr w14:paraId="3068890B">
        <w:tblPrEx>
          <w:tblCellMar>
            <w:top w:w="0" w:type="dxa"/>
            <w:left w:w="108" w:type="dxa"/>
            <w:bottom w:w="0" w:type="dxa"/>
            <w:right w:w="108" w:type="dxa"/>
          </w:tblCellMar>
        </w:tblPrEx>
        <w:trPr>
          <w:trHeight w:val="312" w:hRule="atLeast"/>
          <w:tblHeader/>
          <w:jc w:val="center"/>
        </w:trPr>
        <w:tc>
          <w:tcPr>
            <w:tcW w:w="1148"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6402B92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4040" w:type="dxa"/>
            <w:vMerge w:val="continue"/>
            <w:tcBorders>
              <w:top w:val="nil"/>
              <w:left w:val="nil"/>
              <w:bottom w:val="single" w:color="000000" w:sz="4" w:space="0"/>
              <w:right w:val="single" w:color="000000" w:sz="4" w:space="0"/>
            </w:tcBorders>
            <w:shd w:val="clear" w:color="auto" w:fill="auto"/>
            <w:vAlign w:val="center"/>
          </w:tcPr>
          <w:p w14:paraId="331A177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1248" w:type="dxa"/>
            <w:vMerge w:val="continue"/>
            <w:tcBorders>
              <w:top w:val="single" w:color="000000" w:sz="4" w:space="0"/>
              <w:left w:val="nil"/>
              <w:bottom w:val="single" w:color="000000" w:sz="4" w:space="0"/>
              <w:right w:val="single" w:color="000000" w:sz="4" w:space="0"/>
            </w:tcBorders>
            <w:shd w:val="clear" w:color="auto" w:fill="auto"/>
            <w:vAlign w:val="center"/>
          </w:tcPr>
          <w:p w14:paraId="79394B9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1247" w:type="dxa"/>
            <w:vMerge w:val="continue"/>
            <w:tcBorders>
              <w:top w:val="single" w:color="000000" w:sz="4" w:space="0"/>
              <w:left w:val="nil"/>
              <w:bottom w:val="single" w:color="000000" w:sz="4" w:space="0"/>
              <w:right w:val="single" w:color="000000" w:sz="4" w:space="0"/>
            </w:tcBorders>
            <w:shd w:val="clear" w:color="auto" w:fill="auto"/>
            <w:vAlign w:val="center"/>
          </w:tcPr>
          <w:p w14:paraId="4D4B79D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1248" w:type="dxa"/>
            <w:vMerge w:val="continue"/>
            <w:tcBorders>
              <w:top w:val="single" w:color="000000" w:sz="4" w:space="0"/>
              <w:left w:val="nil"/>
              <w:bottom w:val="single" w:color="000000" w:sz="4" w:space="0"/>
              <w:right w:val="single" w:color="000000" w:sz="4" w:space="0"/>
            </w:tcBorders>
            <w:shd w:val="clear" w:color="auto" w:fill="auto"/>
            <w:vAlign w:val="center"/>
          </w:tcPr>
          <w:p w14:paraId="14B0FB9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1247" w:type="dxa"/>
            <w:vMerge w:val="continue"/>
            <w:tcBorders>
              <w:top w:val="single" w:color="000000" w:sz="4" w:space="0"/>
              <w:left w:val="nil"/>
              <w:bottom w:val="single" w:color="000000" w:sz="4" w:space="0"/>
              <w:right w:val="single" w:color="000000" w:sz="4" w:space="0"/>
            </w:tcBorders>
            <w:shd w:val="clear" w:color="auto" w:fill="auto"/>
            <w:vAlign w:val="center"/>
          </w:tcPr>
          <w:p w14:paraId="15CC09C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1248" w:type="dxa"/>
            <w:vMerge w:val="continue"/>
            <w:tcBorders>
              <w:top w:val="single" w:color="000000" w:sz="4" w:space="0"/>
              <w:left w:val="nil"/>
              <w:bottom w:val="single" w:color="000000" w:sz="4" w:space="0"/>
              <w:right w:val="single" w:color="000000" w:sz="4" w:space="0"/>
            </w:tcBorders>
            <w:shd w:val="clear" w:color="auto" w:fill="auto"/>
            <w:vAlign w:val="center"/>
          </w:tcPr>
          <w:p w14:paraId="3731116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1247" w:type="dxa"/>
            <w:vMerge w:val="continue"/>
            <w:tcBorders>
              <w:top w:val="single" w:color="000000" w:sz="4" w:space="0"/>
              <w:left w:val="nil"/>
              <w:bottom w:val="single" w:color="000000" w:sz="4" w:space="0"/>
              <w:right w:val="single" w:color="000000" w:sz="4" w:space="0"/>
            </w:tcBorders>
            <w:shd w:val="clear" w:color="auto" w:fill="auto"/>
            <w:vAlign w:val="center"/>
          </w:tcPr>
          <w:p w14:paraId="7D90156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1251" w:type="dxa"/>
            <w:vMerge w:val="continue"/>
            <w:tcBorders>
              <w:top w:val="single" w:color="000000" w:sz="4" w:space="0"/>
              <w:left w:val="nil"/>
              <w:bottom w:val="single" w:color="000000" w:sz="4" w:space="0"/>
              <w:right w:val="single" w:color="000000" w:sz="4" w:space="0"/>
            </w:tcBorders>
            <w:shd w:val="clear" w:color="auto" w:fill="auto"/>
            <w:vAlign w:val="center"/>
          </w:tcPr>
          <w:p w14:paraId="5217743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r>
      <w:tr w14:paraId="4D026F17">
        <w:tblPrEx>
          <w:tblCellMar>
            <w:top w:w="0" w:type="dxa"/>
            <w:left w:w="108" w:type="dxa"/>
            <w:bottom w:w="0" w:type="dxa"/>
            <w:right w:w="108" w:type="dxa"/>
          </w:tblCellMar>
        </w:tblPrEx>
        <w:trPr>
          <w:trHeight w:val="308" w:hRule="atLeast"/>
          <w:tblHeader/>
          <w:jc w:val="center"/>
        </w:trPr>
        <w:tc>
          <w:tcPr>
            <w:tcW w:w="5188" w:type="dxa"/>
            <w:gridSpan w:val="4"/>
            <w:tcBorders>
              <w:top w:val="nil"/>
              <w:left w:val="single" w:color="000000" w:sz="4" w:space="0"/>
              <w:bottom w:val="single" w:color="auto" w:sz="4" w:space="0"/>
              <w:right w:val="single" w:color="000000" w:sz="4" w:space="0"/>
            </w:tcBorders>
            <w:shd w:val="clear" w:color="auto" w:fill="auto"/>
            <w:noWrap/>
            <w:vAlign w:val="center"/>
          </w:tcPr>
          <w:p w14:paraId="24AE7BA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栏次</w:t>
            </w:r>
          </w:p>
        </w:tc>
        <w:tc>
          <w:tcPr>
            <w:tcW w:w="1248" w:type="dxa"/>
            <w:tcBorders>
              <w:top w:val="nil"/>
              <w:left w:val="nil"/>
              <w:bottom w:val="single" w:color="auto" w:sz="4" w:space="0"/>
              <w:right w:val="single" w:color="000000" w:sz="4" w:space="0"/>
            </w:tcBorders>
            <w:shd w:val="clear" w:color="auto" w:fill="auto"/>
            <w:vAlign w:val="center"/>
          </w:tcPr>
          <w:p w14:paraId="0619EDC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1</w:t>
            </w:r>
          </w:p>
        </w:tc>
        <w:tc>
          <w:tcPr>
            <w:tcW w:w="1247" w:type="dxa"/>
            <w:tcBorders>
              <w:top w:val="nil"/>
              <w:left w:val="nil"/>
              <w:bottom w:val="single" w:color="auto" w:sz="4" w:space="0"/>
              <w:right w:val="single" w:color="000000" w:sz="4" w:space="0"/>
            </w:tcBorders>
            <w:shd w:val="clear" w:color="auto" w:fill="auto"/>
            <w:vAlign w:val="center"/>
          </w:tcPr>
          <w:p w14:paraId="7717C27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2</w:t>
            </w:r>
          </w:p>
        </w:tc>
        <w:tc>
          <w:tcPr>
            <w:tcW w:w="1248" w:type="dxa"/>
            <w:tcBorders>
              <w:top w:val="nil"/>
              <w:left w:val="nil"/>
              <w:bottom w:val="single" w:color="auto" w:sz="4" w:space="0"/>
              <w:right w:val="single" w:color="000000" w:sz="4" w:space="0"/>
            </w:tcBorders>
            <w:shd w:val="clear" w:color="auto" w:fill="auto"/>
            <w:vAlign w:val="center"/>
          </w:tcPr>
          <w:p w14:paraId="71220B6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3</w:t>
            </w:r>
          </w:p>
        </w:tc>
        <w:tc>
          <w:tcPr>
            <w:tcW w:w="1247" w:type="dxa"/>
            <w:tcBorders>
              <w:top w:val="nil"/>
              <w:left w:val="nil"/>
              <w:bottom w:val="single" w:color="auto" w:sz="4" w:space="0"/>
              <w:right w:val="single" w:color="000000" w:sz="4" w:space="0"/>
            </w:tcBorders>
            <w:shd w:val="clear" w:color="auto" w:fill="auto"/>
            <w:vAlign w:val="center"/>
          </w:tcPr>
          <w:p w14:paraId="51DC456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4</w:t>
            </w:r>
          </w:p>
        </w:tc>
        <w:tc>
          <w:tcPr>
            <w:tcW w:w="1248" w:type="dxa"/>
            <w:tcBorders>
              <w:top w:val="nil"/>
              <w:left w:val="nil"/>
              <w:bottom w:val="single" w:color="auto" w:sz="4" w:space="0"/>
              <w:right w:val="single" w:color="000000" w:sz="4" w:space="0"/>
            </w:tcBorders>
            <w:shd w:val="clear" w:color="auto" w:fill="auto"/>
            <w:vAlign w:val="center"/>
          </w:tcPr>
          <w:p w14:paraId="4A36DB9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5</w:t>
            </w:r>
          </w:p>
        </w:tc>
        <w:tc>
          <w:tcPr>
            <w:tcW w:w="1247" w:type="dxa"/>
            <w:tcBorders>
              <w:top w:val="nil"/>
              <w:left w:val="nil"/>
              <w:bottom w:val="single" w:color="auto" w:sz="4" w:space="0"/>
              <w:right w:val="single" w:color="000000" w:sz="4" w:space="0"/>
            </w:tcBorders>
            <w:shd w:val="clear" w:color="auto" w:fill="auto"/>
            <w:vAlign w:val="center"/>
          </w:tcPr>
          <w:p w14:paraId="2A31D2B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6</w:t>
            </w:r>
          </w:p>
        </w:tc>
        <w:tc>
          <w:tcPr>
            <w:tcW w:w="1251" w:type="dxa"/>
            <w:tcBorders>
              <w:top w:val="nil"/>
              <w:left w:val="nil"/>
              <w:bottom w:val="single" w:color="auto" w:sz="4" w:space="0"/>
              <w:right w:val="single" w:color="000000" w:sz="4" w:space="0"/>
            </w:tcBorders>
            <w:shd w:val="clear" w:color="auto" w:fill="auto"/>
            <w:vAlign w:val="center"/>
          </w:tcPr>
          <w:p w14:paraId="44DE428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7</w:t>
            </w:r>
          </w:p>
        </w:tc>
      </w:tr>
      <w:tr w14:paraId="1FB7E81D">
        <w:tblPrEx>
          <w:tblCellMar>
            <w:top w:w="0" w:type="dxa"/>
            <w:left w:w="108" w:type="dxa"/>
            <w:bottom w:w="0" w:type="dxa"/>
            <w:right w:w="108" w:type="dxa"/>
          </w:tblCellMar>
        </w:tblPrEx>
        <w:trPr>
          <w:trHeight w:val="308" w:hRule="atLeast"/>
          <w:jc w:val="center"/>
        </w:trPr>
        <w:tc>
          <w:tcPr>
            <w:tcW w:w="5188" w:type="dxa"/>
            <w:gridSpan w:val="4"/>
            <w:tcBorders>
              <w:top w:val="single" w:color="auto" w:sz="4" w:space="0"/>
              <w:left w:val="single" w:color="000000" w:sz="4" w:space="0"/>
              <w:bottom w:val="single" w:color="auto" w:sz="4" w:space="0"/>
              <w:right w:val="single" w:color="000000" w:sz="4" w:space="0"/>
            </w:tcBorders>
            <w:shd w:val="clear" w:color="auto" w:fill="auto"/>
            <w:noWrap/>
            <w:vAlign w:val="center"/>
          </w:tcPr>
          <w:p w14:paraId="3F4BB1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合计</w:t>
            </w:r>
          </w:p>
        </w:tc>
        <w:tc>
          <w:tcPr>
            <w:tcW w:w="1248" w:type="dxa"/>
            <w:tcBorders>
              <w:top w:val="single" w:color="auto" w:sz="4" w:space="0"/>
              <w:left w:val="nil"/>
              <w:bottom w:val="single" w:color="auto" w:sz="4" w:space="0"/>
              <w:right w:val="single" w:color="000000" w:sz="4" w:space="0"/>
            </w:tcBorders>
            <w:shd w:val="clear" w:color="auto" w:fill="auto"/>
            <w:noWrap/>
            <w:vAlign w:val="center"/>
          </w:tcPr>
          <w:p w14:paraId="200122BD">
            <w:pPr>
              <w:keepNext w:val="0"/>
              <w:keepLines w:val="0"/>
              <w:widowControl/>
              <w:suppressLineNumbers w:val="0"/>
              <w:jc w:val="right"/>
              <w:textAlignment w:val="center"/>
              <w:rPr>
                <w:rFonts w:ascii="宋体" w:hAnsi="宋体" w:eastAsia="宋体" w:cs="Arial"/>
                <w:b w:val="0"/>
                <w:bCs w:val="0"/>
                <w:color w:val="000000"/>
                <w:kern w:val="0"/>
                <w:sz w:val="22"/>
              </w:rPr>
            </w:pPr>
            <w:r>
              <w:rPr>
                <w:rFonts w:hint="eastAsia" w:ascii="宋体" w:hAnsi="宋体" w:eastAsia="宋体" w:cs="宋体"/>
                <w:b/>
                <w:bCs/>
                <w:i w:val="0"/>
                <w:iCs w:val="0"/>
                <w:color w:val="000000"/>
                <w:kern w:val="0"/>
                <w:sz w:val="22"/>
                <w:szCs w:val="22"/>
                <w:u w:val="none"/>
                <w:lang w:val="en-US" w:eastAsia="zh-CN" w:bidi="ar"/>
              </w:rPr>
              <w:t>16,136.93</w:t>
            </w:r>
          </w:p>
        </w:tc>
        <w:tc>
          <w:tcPr>
            <w:tcW w:w="1247" w:type="dxa"/>
            <w:tcBorders>
              <w:top w:val="single" w:color="auto" w:sz="4" w:space="0"/>
              <w:left w:val="nil"/>
              <w:bottom w:val="single" w:color="auto" w:sz="4" w:space="0"/>
              <w:right w:val="single" w:color="000000" w:sz="4" w:space="0"/>
            </w:tcBorders>
            <w:shd w:val="clear" w:color="auto" w:fill="auto"/>
            <w:noWrap/>
            <w:vAlign w:val="center"/>
          </w:tcPr>
          <w:p w14:paraId="1BD56446">
            <w:pPr>
              <w:keepNext w:val="0"/>
              <w:keepLines w:val="0"/>
              <w:widowControl/>
              <w:suppressLineNumbers w:val="0"/>
              <w:jc w:val="right"/>
              <w:textAlignment w:val="center"/>
              <w:rPr>
                <w:rFonts w:ascii="宋体" w:hAnsi="宋体" w:eastAsia="宋体" w:cs="Arial"/>
                <w:b w:val="0"/>
                <w:bCs w:val="0"/>
                <w:color w:val="000000"/>
                <w:kern w:val="0"/>
                <w:sz w:val="22"/>
              </w:rPr>
            </w:pPr>
            <w:r>
              <w:rPr>
                <w:rFonts w:hint="eastAsia" w:ascii="宋体" w:hAnsi="宋体" w:eastAsia="宋体" w:cs="宋体"/>
                <w:b/>
                <w:bCs/>
                <w:i w:val="0"/>
                <w:iCs w:val="0"/>
                <w:color w:val="000000"/>
                <w:kern w:val="0"/>
                <w:sz w:val="22"/>
                <w:szCs w:val="22"/>
                <w:u w:val="none"/>
                <w:lang w:val="en-US" w:eastAsia="zh-CN" w:bidi="ar"/>
              </w:rPr>
              <w:t>11,542.91</w:t>
            </w:r>
          </w:p>
        </w:tc>
        <w:tc>
          <w:tcPr>
            <w:tcW w:w="1248" w:type="dxa"/>
            <w:tcBorders>
              <w:top w:val="single" w:color="auto" w:sz="4" w:space="0"/>
              <w:left w:val="nil"/>
              <w:bottom w:val="single" w:color="auto" w:sz="4" w:space="0"/>
              <w:right w:val="single" w:color="000000" w:sz="4" w:space="0"/>
            </w:tcBorders>
            <w:shd w:val="clear" w:color="auto" w:fill="auto"/>
            <w:noWrap/>
            <w:vAlign w:val="center"/>
          </w:tcPr>
          <w:p w14:paraId="72C35BC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p>
        </w:tc>
        <w:tc>
          <w:tcPr>
            <w:tcW w:w="1247" w:type="dxa"/>
            <w:tcBorders>
              <w:top w:val="single" w:color="auto" w:sz="4" w:space="0"/>
              <w:left w:val="nil"/>
              <w:bottom w:val="single" w:color="auto" w:sz="4" w:space="0"/>
              <w:right w:val="single" w:color="000000" w:sz="4" w:space="0"/>
            </w:tcBorders>
            <w:shd w:val="clear" w:color="auto" w:fill="auto"/>
            <w:noWrap/>
            <w:vAlign w:val="center"/>
          </w:tcPr>
          <w:p w14:paraId="72601BD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p>
        </w:tc>
        <w:tc>
          <w:tcPr>
            <w:tcW w:w="1248" w:type="dxa"/>
            <w:tcBorders>
              <w:top w:val="single" w:color="auto" w:sz="4" w:space="0"/>
              <w:left w:val="nil"/>
              <w:bottom w:val="single" w:color="auto" w:sz="4" w:space="0"/>
              <w:right w:val="single" w:color="000000" w:sz="4" w:space="0"/>
            </w:tcBorders>
            <w:shd w:val="clear" w:color="auto" w:fill="auto"/>
            <w:noWrap/>
            <w:vAlign w:val="center"/>
          </w:tcPr>
          <w:p w14:paraId="0880774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p>
        </w:tc>
        <w:tc>
          <w:tcPr>
            <w:tcW w:w="1247" w:type="dxa"/>
            <w:tcBorders>
              <w:top w:val="single" w:color="auto" w:sz="4" w:space="0"/>
              <w:left w:val="nil"/>
              <w:bottom w:val="single" w:color="auto" w:sz="4" w:space="0"/>
              <w:right w:val="single" w:color="000000" w:sz="4" w:space="0"/>
            </w:tcBorders>
            <w:shd w:val="clear" w:color="auto" w:fill="auto"/>
            <w:noWrap/>
            <w:vAlign w:val="center"/>
          </w:tcPr>
          <w:p w14:paraId="7584B87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p>
        </w:tc>
        <w:tc>
          <w:tcPr>
            <w:tcW w:w="1251" w:type="dxa"/>
            <w:tcBorders>
              <w:top w:val="single" w:color="auto" w:sz="4" w:space="0"/>
              <w:left w:val="nil"/>
              <w:bottom w:val="single" w:color="auto" w:sz="4" w:space="0"/>
              <w:right w:val="single" w:color="000000" w:sz="4" w:space="0"/>
            </w:tcBorders>
            <w:shd w:val="clear" w:color="auto" w:fill="auto"/>
            <w:noWrap/>
            <w:vAlign w:val="center"/>
          </w:tcPr>
          <w:p w14:paraId="28A86B61">
            <w:pPr>
              <w:keepNext w:val="0"/>
              <w:keepLines w:val="0"/>
              <w:widowControl/>
              <w:suppressLineNumbers w:val="0"/>
              <w:jc w:val="right"/>
              <w:textAlignment w:val="center"/>
              <w:rPr>
                <w:rFonts w:ascii="宋体" w:hAnsi="宋体" w:eastAsia="宋体" w:cs="Arial"/>
                <w:b w:val="0"/>
                <w:bCs w:val="0"/>
                <w:color w:val="000000"/>
                <w:kern w:val="0"/>
                <w:sz w:val="22"/>
              </w:rPr>
            </w:pPr>
            <w:r>
              <w:rPr>
                <w:rFonts w:hint="eastAsia" w:ascii="宋体" w:hAnsi="宋体" w:eastAsia="宋体" w:cs="宋体"/>
                <w:b/>
                <w:bCs/>
                <w:i w:val="0"/>
                <w:iCs w:val="0"/>
                <w:color w:val="000000"/>
                <w:kern w:val="0"/>
                <w:sz w:val="22"/>
                <w:szCs w:val="22"/>
                <w:u w:val="none"/>
                <w:lang w:val="en-US" w:eastAsia="zh-CN" w:bidi="ar"/>
              </w:rPr>
              <w:t>4,594.02</w:t>
            </w:r>
          </w:p>
        </w:tc>
      </w:tr>
      <w:tr w14:paraId="2E8BDD77">
        <w:tblPrEx>
          <w:tblCellMar>
            <w:top w:w="0" w:type="dxa"/>
            <w:left w:w="108" w:type="dxa"/>
            <w:bottom w:w="0" w:type="dxa"/>
            <w:right w:w="108" w:type="dxa"/>
          </w:tblCellMar>
        </w:tblPrEx>
        <w:trPr>
          <w:trHeight w:val="308" w:hRule="atLeast"/>
          <w:jc w:val="center"/>
        </w:trPr>
        <w:tc>
          <w:tcPr>
            <w:tcW w:w="11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A77AC92">
            <w:pPr>
              <w:keepNext w:val="0"/>
              <w:keepLines w:val="0"/>
              <w:widowControl/>
              <w:suppressLineNumbers w:val="0"/>
              <w:jc w:val="left"/>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w:t>
            </w:r>
          </w:p>
        </w:tc>
        <w:tc>
          <w:tcPr>
            <w:tcW w:w="4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02E8C7">
            <w:pPr>
              <w:keepNext w:val="0"/>
              <w:keepLines w:val="0"/>
              <w:widowControl/>
              <w:suppressLineNumbers w:val="0"/>
              <w:jc w:val="left"/>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一般公共服务支出</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6519BB">
            <w:pPr>
              <w:keepNext w:val="0"/>
              <w:keepLines w:val="0"/>
              <w:widowControl/>
              <w:suppressLineNumbers w:val="0"/>
              <w:jc w:val="right"/>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13,923.80</w:t>
            </w: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ADACA7">
            <w:pPr>
              <w:keepNext w:val="0"/>
              <w:keepLines w:val="0"/>
              <w:widowControl/>
              <w:suppressLineNumbers w:val="0"/>
              <w:jc w:val="right"/>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9,329.78</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95C01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6EF26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val="0"/>
                <w:i w:val="0"/>
                <w:iCs w:val="0"/>
                <w:color w:val="000000"/>
                <w:kern w:val="0"/>
                <w:sz w:val="22"/>
                <w:szCs w:val="22"/>
                <w:u w:val="none"/>
                <w:lang w:val="en-US" w:eastAsia="zh-CN" w:bidi="ar"/>
              </w:rPr>
            </w:pP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6A064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BE91C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val="0"/>
                <w:i w:val="0"/>
                <w:iCs w:val="0"/>
                <w:color w:val="000000"/>
                <w:kern w:val="0"/>
                <w:sz w:val="22"/>
                <w:szCs w:val="22"/>
                <w:u w:val="none"/>
                <w:lang w:val="en-US" w:eastAsia="zh-CN" w:bidi="ar"/>
              </w:rPr>
            </w:pP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086019">
            <w:pPr>
              <w:keepNext w:val="0"/>
              <w:keepLines w:val="0"/>
              <w:widowControl/>
              <w:suppressLineNumbers w:val="0"/>
              <w:jc w:val="right"/>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4,594.02</w:t>
            </w:r>
          </w:p>
        </w:tc>
      </w:tr>
      <w:tr w14:paraId="03707245">
        <w:tblPrEx>
          <w:tblCellMar>
            <w:top w:w="0" w:type="dxa"/>
            <w:left w:w="108" w:type="dxa"/>
            <w:bottom w:w="0" w:type="dxa"/>
            <w:right w:w="108" w:type="dxa"/>
          </w:tblCellMar>
        </w:tblPrEx>
        <w:trPr>
          <w:trHeight w:val="90" w:hRule="atLeast"/>
          <w:jc w:val="center"/>
        </w:trPr>
        <w:tc>
          <w:tcPr>
            <w:tcW w:w="11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1BE1BF2">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20105</w:t>
            </w:r>
          </w:p>
        </w:tc>
        <w:tc>
          <w:tcPr>
            <w:tcW w:w="4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AEBC1D">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统计信息事务</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F8EBD1">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13,923.80</w:t>
            </w: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AC86BE">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9,329.78</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879DD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0632A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632F7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C865F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1CB1C8">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4,594.02</w:t>
            </w:r>
          </w:p>
        </w:tc>
      </w:tr>
      <w:tr w14:paraId="0928961D">
        <w:tblPrEx>
          <w:tblCellMar>
            <w:top w:w="0" w:type="dxa"/>
            <w:left w:w="108" w:type="dxa"/>
            <w:bottom w:w="0" w:type="dxa"/>
            <w:right w:w="108" w:type="dxa"/>
          </w:tblCellMar>
        </w:tblPrEx>
        <w:trPr>
          <w:trHeight w:val="308" w:hRule="atLeast"/>
          <w:jc w:val="center"/>
        </w:trPr>
        <w:tc>
          <w:tcPr>
            <w:tcW w:w="11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84FA76B">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2010501</w:t>
            </w:r>
          </w:p>
        </w:tc>
        <w:tc>
          <w:tcPr>
            <w:tcW w:w="4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5DDBE2">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CDD28F">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7,009.84</w:t>
            </w: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B38DA7">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7,009.84</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EDB11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A73D0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CB267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29C37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AE698D">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r>
      <w:tr w14:paraId="1417AB47">
        <w:tblPrEx>
          <w:tblCellMar>
            <w:top w:w="0" w:type="dxa"/>
            <w:left w:w="108" w:type="dxa"/>
            <w:bottom w:w="0" w:type="dxa"/>
            <w:right w:w="108" w:type="dxa"/>
          </w:tblCellMar>
        </w:tblPrEx>
        <w:trPr>
          <w:trHeight w:val="308" w:hRule="atLeast"/>
          <w:jc w:val="center"/>
        </w:trPr>
        <w:tc>
          <w:tcPr>
            <w:tcW w:w="11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5802171">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2010502</w:t>
            </w:r>
          </w:p>
        </w:tc>
        <w:tc>
          <w:tcPr>
            <w:tcW w:w="4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3F5774">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95EBB5">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391.00</w:t>
            </w: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AD9B42">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391.00</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4AD98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07AA5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2F6DA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0DAA3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C14F8B">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r>
      <w:tr w14:paraId="23710193">
        <w:tblPrEx>
          <w:tblCellMar>
            <w:top w:w="0" w:type="dxa"/>
            <w:left w:w="108" w:type="dxa"/>
            <w:bottom w:w="0" w:type="dxa"/>
            <w:right w:w="108" w:type="dxa"/>
          </w:tblCellMar>
        </w:tblPrEx>
        <w:trPr>
          <w:trHeight w:val="308" w:hRule="atLeast"/>
          <w:jc w:val="center"/>
        </w:trPr>
        <w:tc>
          <w:tcPr>
            <w:tcW w:w="11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58A3FEB">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2010505</w:t>
            </w:r>
          </w:p>
        </w:tc>
        <w:tc>
          <w:tcPr>
            <w:tcW w:w="4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A354E1">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专项统计业务</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EBD894">
            <w:pPr>
              <w:keepNext w:val="0"/>
              <w:keepLines w:val="0"/>
              <w:widowControl/>
              <w:suppressLineNumbers w:val="0"/>
              <w:jc w:val="right"/>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370.00</w:t>
            </w: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6FBE51">
            <w:pPr>
              <w:keepNext w:val="0"/>
              <w:keepLines w:val="0"/>
              <w:widowControl/>
              <w:suppressLineNumbers w:val="0"/>
              <w:jc w:val="right"/>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370.00</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03E12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EBD45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A69B4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CDE58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DA0B57">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r>
      <w:tr w14:paraId="23F0FB1E">
        <w:tblPrEx>
          <w:tblCellMar>
            <w:top w:w="0" w:type="dxa"/>
            <w:left w:w="108" w:type="dxa"/>
            <w:bottom w:w="0" w:type="dxa"/>
            <w:right w:w="108" w:type="dxa"/>
          </w:tblCellMar>
        </w:tblPrEx>
        <w:trPr>
          <w:trHeight w:val="308" w:hRule="atLeast"/>
          <w:jc w:val="center"/>
        </w:trPr>
        <w:tc>
          <w:tcPr>
            <w:tcW w:w="11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921188D">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2010506</w:t>
            </w:r>
          </w:p>
        </w:tc>
        <w:tc>
          <w:tcPr>
            <w:tcW w:w="4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5DE03D">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统计管理</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D4F44A">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127.00</w:t>
            </w: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59F17C">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127.00</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FE1B7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F16E3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7DF68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3BDCC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3A21BB">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r>
      <w:tr w14:paraId="355B09A4">
        <w:tblPrEx>
          <w:tblCellMar>
            <w:top w:w="0" w:type="dxa"/>
            <w:left w:w="108" w:type="dxa"/>
            <w:bottom w:w="0" w:type="dxa"/>
            <w:right w:w="108" w:type="dxa"/>
          </w:tblCellMar>
        </w:tblPrEx>
        <w:trPr>
          <w:trHeight w:val="308" w:hRule="atLeast"/>
          <w:jc w:val="center"/>
        </w:trPr>
        <w:tc>
          <w:tcPr>
            <w:tcW w:w="11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BBF7EBB">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2010507</w:t>
            </w:r>
          </w:p>
        </w:tc>
        <w:tc>
          <w:tcPr>
            <w:tcW w:w="4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EBB4B3">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7F3243">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1.18</w:t>
            </w: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10EED4">
            <w:pPr>
              <w:keepNext w:val="0"/>
              <w:keepLines w:val="0"/>
              <w:widowControl/>
              <w:suppressLineNumbers w:val="0"/>
              <w:jc w:val="right"/>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1.18</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43610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254A8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B7D6C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59741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0F72B5">
            <w:pPr>
              <w:keepNext w:val="0"/>
              <w:keepLines w:val="0"/>
              <w:widowControl/>
              <w:suppressLineNumbers w:val="0"/>
              <w:jc w:val="right"/>
              <w:textAlignment w:val="center"/>
              <w:rPr>
                <w:rFonts w:hint="default" w:ascii="宋体" w:hAnsi="宋体" w:eastAsia="宋体" w:cs="宋体"/>
                <w:b w:val="0"/>
                <w:bCs w:val="0"/>
                <w:i w:val="0"/>
                <w:iCs w:val="0"/>
                <w:color w:val="000000"/>
                <w:kern w:val="0"/>
                <w:sz w:val="22"/>
                <w:szCs w:val="22"/>
                <w:u w:val="none"/>
                <w:lang w:val="en-US" w:eastAsia="zh-CN" w:bidi="ar"/>
              </w:rPr>
            </w:pPr>
          </w:p>
        </w:tc>
      </w:tr>
      <w:tr w14:paraId="630DA50F">
        <w:tblPrEx>
          <w:tblCellMar>
            <w:top w:w="0" w:type="dxa"/>
            <w:left w:w="108" w:type="dxa"/>
            <w:bottom w:w="0" w:type="dxa"/>
            <w:right w:w="108" w:type="dxa"/>
          </w:tblCellMar>
        </w:tblPrEx>
        <w:trPr>
          <w:trHeight w:val="308" w:hRule="atLeast"/>
          <w:jc w:val="center"/>
        </w:trPr>
        <w:tc>
          <w:tcPr>
            <w:tcW w:w="11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451F03C">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2010508</w:t>
            </w:r>
          </w:p>
        </w:tc>
        <w:tc>
          <w:tcPr>
            <w:tcW w:w="4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5F5A7D">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统计抽样调查</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E8F116">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6,024.78</w:t>
            </w: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0E3FBE">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1,430.76</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52798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BD60C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EA017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AF8FB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D58A05">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4,594.02</w:t>
            </w:r>
          </w:p>
        </w:tc>
      </w:tr>
      <w:tr w14:paraId="135DC18E">
        <w:tblPrEx>
          <w:tblCellMar>
            <w:top w:w="0" w:type="dxa"/>
            <w:left w:w="108" w:type="dxa"/>
            <w:bottom w:w="0" w:type="dxa"/>
            <w:right w:w="108" w:type="dxa"/>
          </w:tblCellMar>
        </w:tblPrEx>
        <w:trPr>
          <w:trHeight w:val="308" w:hRule="atLeast"/>
          <w:jc w:val="center"/>
        </w:trPr>
        <w:tc>
          <w:tcPr>
            <w:tcW w:w="11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3080060">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w:t>
            </w:r>
          </w:p>
        </w:tc>
        <w:tc>
          <w:tcPr>
            <w:tcW w:w="4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ACAAF0">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F11BF6">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1,139.85</w:t>
            </w: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17275D">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1,139.85</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5B8AF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653A4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D848E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ABB49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2C9B8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171EDF8B">
        <w:tblPrEx>
          <w:tblCellMar>
            <w:top w:w="0" w:type="dxa"/>
            <w:left w:w="108" w:type="dxa"/>
            <w:bottom w:w="0" w:type="dxa"/>
            <w:right w:w="108" w:type="dxa"/>
          </w:tblCellMar>
        </w:tblPrEx>
        <w:trPr>
          <w:trHeight w:val="308" w:hRule="atLeast"/>
          <w:jc w:val="center"/>
        </w:trPr>
        <w:tc>
          <w:tcPr>
            <w:tcW w:w="11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E09D47D">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w:t>
            </w:r>
          </w:p>
        </w:tc>
        <w:tc>
          <w:tcPr>
            <w:tcW w:w="4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41AD5F">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D314FF">
            <w:pPr>
              <w:keepNext w:val="0"/>
              <w:keepLines w:val="0"/>
              <w:widowControl/>
              <w:suppressLineNumbers w:val="0"/>
              <w:jc w:val="right"/>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1,139.85</w:t>
            </w: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A7477B">
            <w:pPr>
              <w:keepNext w:val="0"/>
              <w:keepLines w:val="0"/>
              <w:widowControl/>
              <w:suppressLineNumbers w:val="0"/>
              <w:jc w:val="right"/>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1,139.85</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D04D6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4D067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EBBC7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6CE42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1F9AE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63601EAE">
        <w:tblPrEx>
          <w:tblCellMar>
            <w:top w:w="0" w:type="dxa"/>
            <w:left w:w="108" w:type="dxa"/>
            <w:bottom w:w="0" w:type="dxa"/>
            <w:right w:w="108" w:type="dxa"/>
          </w:tblCellMar>
        </w:tblPrEx>
        <w:trPr>
          <w:trHeight w:val="308" w:hRule="atLeast"/>
          <w:jc w:val="center"/>
        </w:trPr>
        <w:tc>
          <w:tcPr>
            <w:tcW w:w="11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97AB28D">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2080505</w:t>
            </w:r>
          </w:p>
        </w:tc>
        <w:tc>
          <w:tcPr>
            <w:tcW w:w="4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479623">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9A0202">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697.17</w:t>
            </w: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1525AC">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697.17</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722DF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BC491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DC9CA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C04F8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17038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47137A89">
        <w:tblPrEx>
          <w:tblCellMar>
            <w:top w:w="0" w:type="dxa"/>
            <w:left w:w="108" w:type="dxa"/>
            <w:bottom w:w="0" w:type="dxa"/>
            <w:right w:w="108" w:type="dxa"/>
          </w:tblCellMar>
        </w:tblPrEx>
        <w:trPr>
          <w:trHeight w:val="308" w:hRule="atLeast"/>
          <w:jc w:val="center"/>
        </w:trPr>
        <w:tc>
          <w:tcPr>
            <w:tcW w:w="11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9FEBB95">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2080506</w:t>
            </w:r>
          </w:p>
        </w:tc>
        <w:tc>
          <w:tcPr>
            <w:tcW w:w="4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892C0D">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机关事业单位职业年金缴费支出</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088A80">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442.68</w:t>
            </w: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BF0B60">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442.68</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AF3E2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5C1FD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FA2AB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40414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F33E6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0170311B">
        <w:tblPrEx>
          <w:tblCellMar>
            <w:top w:w="0" w:type="dxa"/>
            <w:left w:w="108" w:type="dxa"/>
            <w:bottom w:w="0" w:type="dxa"/>
            <w:right w:w="108" w:type="dxa"/>
          </w:tblCellMar>
        </w:tblPrEx>
        <w:trPr>
          <w:trHeight w:val="308" w:hRule="atLeast"/>
          <w:jc w:val="center"/>
        </w:trPr>
        <w:tc>
          <w:tcPr>
            <w:tcW w:w="11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1E8FDA1">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4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F0CC9E">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卫生健康支出</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406A67">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407.59</w:t>
            </w: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CF4299">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407.59</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37530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4D5B7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F700D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A53B8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706A7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6BA5E55B">
        <w:tblPrEx>
          <w:tblCellMar>
            <w:top w:w="0" w:type="dxa"/>
            <w:left w:w="108" w:type="dxa"/>
            <w:bottom w:w="0" w:type="dxa"/>
            <w:right w:w="108" w:type="dxa"/>
          </w:tblCellMar>
        </w:tblPrEx>
        <w:trPr>
          <w:trHeight w:val="308" w:hRule="atLeast"/>
          <w:jc w:val="center"/>
        </w:trPr>
        <w:tc>
          <w:tcPr>
            <w:tcW w:w="11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F07ED81">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w:t>
            </w:r>
          </w:p>
        </w:tc>
        <w:tc>
          <w:tcPr>
            <w:tcW w:w="4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13B870">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行政事业单位医疗</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937FDC">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407.59</w:t>
            </w: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52F08C">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407.59</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85102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2EF1E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02C07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570B4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24FC0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136DB1DB">
        <w:tblPrEx>
          <w:tblCellMar>
            <w:top w:w="0" w:type="dxa"/>
            <w:left w:w="108" w:type="dxa"/>
            <w:bottom w:w="0" w:type="dxa"/>
            <w:right w:w="108" w:type="dxa"/>
          </w:tblCellMar>
        </w:tblPrEx>
        <w:trPr>
          <w:trHeight w:val="308" w:hRule="atLeast"/>
          <w:jc w:val="center"/>
        </w:trPr>
        <w:tc>
          <w:tcPr>
            <w:tcW w:w="11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9E5AEF5">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2101101</w:t>
            </w:r>
          </w:p>
        </w:tc>
        <w:tc>
          <w:tcPr>
            <w:tcW w:w="4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213DA3">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E610C9">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399.09</w:t>
            </w: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F1756D">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399.09</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9F49F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F6573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7B929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EBF45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ED04C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7A8D7EAE">
        <w:tblPrEx>
          <w:tblCellMar>
            <w:top w:w="0" w:type="dxa"/>
            <w:left w:w="108" w:type="dxa"/>
            <w:bottom w:w="0" w:type="dxa"/>
            <w:right w:w="108" w:type="dxa"/>
          </w:tblCellMar>
        </w:tblPrEx>
        <w:trPr>
          <w:trHeight w:val="308" w:hRule="atLeast"/>
          <w:jc w:val="center"/>
        </w:trPr>
        <w:tc>
          <w:tcPr>
            <w:tcW w:w="11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4C6B7A0">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2101199</w:t>
            </w:r>
          </w:p>
        </w:tc>
        <w:tc>
          <w:tcPr>
            <w:tcW w:w="4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2AA6F3">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其他行政事业单位医疗支出</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A2A722">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8.50</w:t>
            </w: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DD3C9A">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8.50</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745A0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D8A1C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7876E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0F25D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F3B61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74981B87">
        <w:tblPrEx>
          <w:tblCellMar>
            <w:top w:w="0" w:type="dxa"/>
            <w:left w:w="108" w:type="dxa"/>
            <w:bottom w:w="0" w:type="dxa"/>
            <w:right w:w="108" w:type="dxa"/>
          </w:tblCellMar>
        </w:tblPrEx>
        <w:trPr>
          <w:trHeight w:val="308" w:hRule="atLeast"/>
          <w:jc w:val="center"/>
        </w:trPr>
        <w:tc>
          <w:tcPr>
            <w:tcW w:w="11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5A35A16">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w:t>
            </w:r>
          </w:p>
        </w:tc>
        <w:tc>
          <w:tcPr>
            <w:tcW w:w="4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AA7A02">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住房保障支出</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7FF087">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665.69</w:t>
            </w: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35D116">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665.69</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CB5E8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A90AC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2777C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27DF6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9DA3E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58F7C6BC">
        <w:tblPrEx>
          <w:tblCellMar>
            <w:top w:w="0" w:type="dxa"/>
            <w:left w:w="108" w:type="dxa"/>
            <w:bottom w:w="0" w:type="dxa"/>
            <w:right w:w="108" w:type="dxa"/>
          </w:tblCellMar>
        </w:tblPrEx>
        <w:trPr>
          <w:trHeight w:val="308" w:hRule="atLeast"/>
          <w:jc w:val="center"/>
        </w:trPr>
        <w:tc>
          <w:tcPr>
            <w:tcW w:w="11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92EEE02">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w:t>
            </w:r>
          </w:p>
        </w:tc>
        <w:tc>
          <w:tcPr>
            <w:tcW w:w="4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ED00B7">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住房改革支出</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5A8D50">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665.69</w:t>
            </w: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175B96">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665.69</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9A910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06493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ACE32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C59DF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EE5ED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731ED313">
        <w:tblPrEx>
          <w:tblCellMar>
            <w:top w:w="0" w:type="dxa"/>
            <w:left w:w="108" w:type="dxa"/>
            <w:bottom w:w="0" w:type="dxa"/>
            <w:right w:w="108" w:type="dxa"/>
          </w:tblCellMar>
        </w:tblPrEx>
        <w:trPr>
          <w:trHeight w:val="308" w:hRule="atLeast"/>
          <w:jc w:val="center"/>
        </w:trPr>
        <w:tc>
          <w:tcPr>
            <w:tcW w:w="11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5B0A961">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2210201</w:t>
            </w:r>
          </w:p>
        </w:tc>
        <w:tc>
          <w:tcPr>
            <w:tcW w:w="4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D94A90">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0FCAC3">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661.00</w:t>
            </w: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045CA6">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661.00</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AB3C9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6A797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13F25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6804E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F1BF0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708739C7">
        <w:tblPrEx>
          <w:tblCellMar>
            <w:top w:w="0" w:type="dxa"/>
            <w:left w:w="108" w:type="dxa"/>
            <w:bottom w:w="0" w:type="dxa"/>
            <w:right w:w="108" w:type="dxa"/>
          </w:tblCellMar>
        </w:tblPrEx>
        <w:trPr>
          <w:trHeight w:val="308" w:hRule="atLeast"/>
          <w:jc w:val="center"/>
        </w:trPr>
        <w:tc>
          <w:tcPr>
            <w:tcW w:w="11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6798138">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2210203</w:t>
            </w:r>
          </w:p>
        </w:tc>
        <w:tc>
          <w:tcPr>
            <w:tcW w:w="4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C8C87C">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购房补贴</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B0F2D3">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4.69</w:t>
            </w: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A241C0">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4.69</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830CA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E0266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B77B9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A6B7D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D6753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06537E8C">
        <w:tblPrEx>
          <w:tblCellMar>
            <w:top w:w="0" w:type="dxa"/>
            <w:left w:w="108" w:type="dxa"/>
            <w:bottom w:w="0" w:type="dxa"/>
            <w:right w:w="108" w:type="dxa"/>
          </w:tblCellMar>
        </w:tblPrEx>
        <w:trPr>
          <w:trHeight w:val="308" w:hRule="atLeast"/>
          <w:jc w:val="center"/>
        </w:trPr>
        <w:tc>
          <w:tcPr>
            <w:tcW w:w="13924" w:type="dxa"/>
            <w:gridSpan w:val="11"/>
            <w:tcBorders>
              <w:top w:val="single" w:color="auto" w:sz="4" w:space="0"/>
              <w:left w:val="nil"/>
              <w:bottom w:val="nil"/>
              <w:right w:val="nil"/>
            </w:tcBorders>
            <w:shd w:val="clear" w:color="auto" w:fill="auto"/>
            <w:noWrap/>
            <w:vAlign w:val="center"/>
          </w:tcPr>
          <w:p w14:paraId="76D202A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注：本表反映部门本年度取得的各项收入情况。</w:t>
            </w:r>
          </w:p>
        </w:tc>
      </w:tr>
    </w:tbl>
    <w:p w14:paraId="02CA4EC8"/>
    <w:p w14:paraId="601C6ABF">
      <w:pPr>
        <w:bidi w:val="0"/>
        <w:jc w:val="center"/>
        <w:rPr>
          <w:rFonts w:hint="eastAsia" w:ascii="宋体" w:hAnsi="宋体" w:eastAsia="宋体" w:cs="宋体"/>
          <w:sz w:val="32"/>
          <w:szCs w:val="32"/>
        </w:rPr>
      </w:pPr>
    </w:p>
    <w:p w14:paraId="47B8799A">
      <w:pPr>
        <w:bidi w:val="0"/>
        <w:jc w:val="center"/>
        <w:rPr>
          <w:rFonts w:hint="eastAsia" w:ascii="宋体" w:hAnsi="宋体" w:eastAsia="宋体" w:cs="宋体"/>
          <w:sz w:val="32"/>
          <w:szCs w:val="32"/>
        </w:rPr>
      </w:pPr>
    </w:p>
    <w:p w14:paraId="6B920F47">
      <w:pPr>
        <w:bidi w:val="0"/>
        <w:jc w:val="center"/>
        <w:rPr>
          <w:rFonts w:hint="eastAsia" w:ascii="宋体" w:hAnsi="宋体" w:eastAsia="宋体" w:cs="宋体"/>
          <w:sz w:val="32"/>
          <w:szCs w:val="32"/>
        </w:rPr>
      </w:pPr>
      <w:r>
        <w:rPr>
          <w:rFonts w:hint="eastAsia" w:ascii="宋体" w:hAnsi="宋体" w:eastAsia="宋体" w:cs="宋体"/>
          <w:sz w:val="32"/>
          <w:szCs w:val="32"/>
        </w:rPr>
        <w:t>支出决算表</w:t>
      </w:r>
    </w:p>
    <w:tbl>
      <w:tblPr>
        <w:tblStyle w:val="12"/>
        <w:tblW w:w="13930" w:type="dxa"/>
        <w:jc w:val="center"/>
        <w:tblLayout w:type="fixed"/>
        <w:tblCellMar>
          <w:top w:w="0" w:type="dxa"/>
          <w:left w:w="108" w:type="dxa"/>
          <w:bottom w:w="0" w:type="dxa"/>
          <w:right w:w="108" w:type="dxa"/>
        </w:tblCellMar>
      </w:tblPr>
      <w:tblGrid>
        <w:gridCol w:w="360"/>
        <w:gridCol w:w="315"/>
        <w:gridCol w:w="483"/>
        <w:gridCol w:w="4045"/>
        <w:gridCol w:w="451"/>
        <w:gridCol w:w="1003"/>
        <w:gridCol w:w="855"/>
        <w:gridCol w:w="599"/>
        <w:gridCol w:w="1259"/>
        <w:gridCol w:w="195"/>
        <w:gridCol w:w="1115"/>
        <w:gridCol w:w="339"/>
        <w:gridCol w:w="948"/>
        <w:gridCol w:w="506"/>
        <w:gridCol w:w="1457"/>
      </w:tblGrid>
      <w:tr w14:paraId="2D3B6CDE">
        <w:tblPrEx>
          <w:tblCellMar>
            <w:top w:w="0" w:type="dxa"/>
            <w:left w:w="108" w:type="dxa"/>
            <w:bottom w:w="0" w:type="dxa"/>
            <w:right w:w="108" w:type="dxa"/>
          </w:tblCellMar>
        </w:tblPrEx>
        <w:trPr>
          <w:trHeight w:val="255" w:hRule="atLeast"/>
          <w:tblHeader/>
          <w:jc w:val="center"/>
        </w:trPr>
        <w:tc>
          <w:tcPr>
            <w:tcW w:w="360" w:type="dxa"/>
            <w:tcBorders>
              <w:top w:val="nil"/>
              <w:left w:val="nil"/>
              <w:bottom w:val="nil"/>
              <w:right w:val="nil"/>
            </w:tcBorders>
            <w:shd w:val="clear" w:color="auto" w:fill="auto"/>
            <w:noWrap/>
            <w:vAlign w:val="bottom"/>
          </w:tcPr>
          <w:p w14:paraId="518F93E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color w:val="000000"/>
                <w:kern w:val="0"/>
                <w:sz w:val="22"/>
                <w:szCs w:val="22"/>
              </w:rPr>
            </w:pPr>
          </w:p>
        </w:tc>
        <w:tc>
          <w:tcPr>
            <w:tcW w:w="315" w:type="dxa"/>
            <w:tcBorders>
              <w:top w:val="nil"/>
              <w:left w:val="nil"/>
              <w:bottom w:val="nil"/>
              <w:right w:val="nil"/>
            </w:tcBorders>
            <w:shd w:val="clear" w:color="auto" w:fill="auto"/>
            <w:noWrap/>
            <w:vAlign w:val="bottom"/>
          </w:tcPr>
          <w:p w14:paraId="1BDE8F5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483" w:type="dxa"/>
            <w:tcBorders>
              <w:top w:val="nil"/>
              <w:left w:val="nil"/>
              <w:bottom w:val="nil"/>
              <w:right w:val="nil"/>
            </w:tcBorders>
            <w:shd w:val="clear" w:color="auto" w:fill="auto"/>
            <w:noWrap/>
            <w:vAlign w:val="bottom"/>
          </w:tcPr>
          <w:p w14:paraId="11410B7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4045" w:type="dxa"/>
            <w:tcBorders>
              <w:top w:val="nil"/>
              <w:left w:val="nil"/>
              <w:bottom w:val="nil"/>
              <w:right w:val="nil"/>
            </w:tcBorders>
            <w:shd w:val="clear" w:color="auto" w:fill="auto"/>
            <w:noWrap/>
            <w:vAlign w:val="bottom"/>
          </w:tcPr>
          <w:p w14:paraId="68C66E7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451" w:type="dxa"/>
            <w:tcBorders>
              <w:top w:val="nil"/>
              <w:left w:val="nil"/>
              <w:bottom w:val="nil"/>
              <w:right w:val="nil"/>
            </w:tcBorders>
            <w:shd w:val="clear" w:color="auto" w:fill="auto"/>
            <w:noWrap/>
            <w:vAlign w:val="bottom"/>
          </w:tcPr>
          <w:p w14:paraId="75400A1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1858" w:type="dxa"/>
            <w:gridSpan w:val="2"/>
            <w:tcBorders>
              <w:top w:val="nil"/>
              <w:left w:val="nil"/>
              <w:bottom w:val="nil"/>
              <w:right w:val="nil"/>
            </w:tcBorders>
            <w:shd w:val="clear" w:color="auto" w:fill="auto"/>
            <w:noWrap/>
            <w:vAlign w:val="bottom"/>
          </w:tcPr>
          <w:p w14:paraId="4341CC5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1858" w:type="dxa"/>
            <w:gridSpan w:val="2"/>
            <w:tcBorders>
              <w:top w:val="nil"/>
              <w:left w:val="nil"/>
              <w:bottom w:val="nil"/>
              <w:right w:val="nil"/>
            </w:tcBorders>
            <w:shd w:val="clear" w:color="auto" w:fill="auto"/>
            <w:noWrap/>
            <w:vAlign w:val="bottom"/>
          </w:tcPr>
          <w:p w14:paraId="6E014EF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1310" w:type="dxa"/>
            <w:gridSpan w:val="2"/>
            <w:tcBorders>
              <w:top w:val="nil"/>
              <w:left w:val="nil"/>
              <w:bottom w:val="nil"/>
              <w:right w:val="nil"/>
            </w:tcBorders>
            <w:shd w:val="clear" w:color="auto" w:fill="auto"/>
            <w:noWrap/>
            <w:vAlign w:val="bottom"/>
          </w:tcPr>
          <w:p w14:paraId="001EA45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1287" w:type="dxa"/>
            <w:gridSpan w:val="2"/>
            <w:tcBorders>
              <w:top w:val="nil"/>
              <w:left w:val="nil"/>
              <w:bottom w:val="nil"/>
              <w:right w:val="nil"/>
            </w:tcBorders>
            <w:shd w:val="clear" w:color="auto" w:fill="auto"/>
            <w:noWrap/>
            <w:vAlign w:val="bottom"/>
          </w:tcPr>
          <w:p w14:paraId="416FD19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1963" w:type="dxa"/>
            <w:gridSpan w:val="2"/>
            <w:tcBorders>
              <w:top w:val="nil"/>
              <w:left w:val="nil"/>
              <w:bottom w:val="nil"/>
              <w:right w:val="nil"/>
            </w:tcBorders>
            <w:shd w:val="clear" w:color="auto" w:fill="auto"/>
            <w:noWrap/>
            <w:vAlign w:val="bottom"/>
          </w:tcPr>
          <w:p w14:paraId="2CE422F6">
            <w:pPr>
              <w:keepNext w:val="0"/>
              <w:keepLines w:val="0"/>
              <w:pageBreakBefore w:val="0"/>
              <w:widowControl/>
              <w:kinsoku/>
              <w:wordWrap/>
              <w:overflowPunct/>
              <w:topLinePunct w:val="0"/>
              <w:autoSpaceDE/>
              <w:autoSpaceDN/>
              <w:bidi w:val="0"/>
              <w:adjustRightInd/>
              <w:snapToGrid/>
              <w:spacing w:line="400" w:lineRule="exact"/>
              <w:jc w:val="right"/>
              <w:textAlignment w:val="auto"/>
              <w:rPr>
                <w:rFonts w:ascii="宋体" w:hAnsi="宋体" w:eastAsia="宋体" w:cs="Arial"/>
                <w:color w:val="000000"/>
                <w:kern w:val="0"/>
                <w:sz w:val="22"/>
                <w:szCs w:val="22"/>
              </w:rPr>
            </w:pPr>
            <w:r>
              <w:rPr>
                <w:rFonts w:hint="eastAsia" w:ascii="宋体" w:hAnsi="宋体" w:eastAsia="宋体" w:cs="Arial"/>
                <w:color w:val="000000"/>
                <w:kern w:val="0"/>
                <w:sz w:val="22"/>
                <w:szCs w:val="22"/>
              </w:rPr>
              <w:t>公开03表</w:t>
            </w:r>
          </w:p>
        </w:tc>
      </w:tr>
      <w:tr w14:paraId="77DD908D">
        <w:tblPrEx>
          <w:tblCellMar>
            <w:top w:w="0" w:type="dxa"/>
            <w:left w:w="108" w:type="dxa"/>
            <w:bottom w:w="0" w:type="dxa"/>
            <w:right w:w="108" w:type="dxa"/>
          </w:tblCellMar>
        </w:tblPrEx>
        <w:trPr>
          <w:trHeight w:val="255" w:hRule="atLeast"/>
          <w:tblHeader/>
          <w:jc w:val="center"/>
        </w:trPr>
        <w:tc>
          <w:tcPr>
            <w:tcW w:w="5203" w:type="dxa"/>
            <w:gridSpan w:val="4"/>
            <w:tcBorders>
              <w:top w:val="nil"/>
              <w:left w:val="nil"/>
              <w:bottom w:val="nil"/>
              <w:right w:val="nil"/>
            </w:tcBorders>
            <w:shd w:val="clear" w:color="auto" w:fill="auto"/>
            <w:noWrap/>
            <w:vAlign w:val="bottom"/>
          </w:tcPr>
          <w:p w14:paraId="6A0F2DC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color w:val="000000"/>
                <w:kern w:val="0"/>
                <w:sz w:val="22"/>
                <w:szCs w:val="22"/>
              </w:rPr>
            </w:pPr>
            <w:r>
              <w:rPr>
                <w:rFonts w:hint="eastAsia" w:ascii="宋体" w:hAnsi="宋体" w:eastAsia="宋体" w:cs="Arial"/>
                <w:color w:val="000000"/>
                <w:kern w:val="0"/>
                <w:sz w:val="22"/>
                <w:szCs w:val="22"/>
              </w:rPr>
              <w:t>部门：国家统计局吉林调查总队</w:t>
            </w:r>
          </w:p>
        </w:tc>
        <w:tc>
          <w:tcPr>
            <w:tcW w:w="451" w:type="dxa"/>
            <w:tcBorders>
              <w:top w:val="nil"/>
              <w:left w:val="nil"/>
              <w:bottom w:val="nil"/>
              <w:right w:val="nil"/>
            </w:tcBorders>
            <w:shd w:val="clear" w:color="auto" w:fill="auto"/>
            <w:noWrap/>
            <w:vAlign w:val="bottom"/>
          </w:tcPr>
          <w:p w14:paraId="524E629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color w:val="000000"/>
                <w:kern w:val="0"/>
                <w:sz w:val="22"/>
                <w:szCs w:val="22"/>
              </w:rPr>
            </w:pPr>
          </w:p>
        </w:tc>
        <w:tc>
          <w:tcPr>
            <w:tcW w:w="1858" w:type="dxa"/>
            <w:gridSpan w:val="2"/>
            <w:tcBorders>
              <w:top w:val="nil"/>
              <w:left w:val="nil"/>
              <w:bottom w:val="nil"/>
              <w:right w:val="nil"/>
            </w:tcBorders>
            <w:shd w:val="clear" w:color="auto" w:fill="auto"/>
            <w:noWrap/>
            <w:vAlign w:val="bottom"/>
          </w:tcPr>
          <w:p w14:paraId="659A31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1858" w:type="dxa"/>
            <w:gridSpan w:val="2"/>
            <w:tcBorders>
              <w:top w:val="nil"/>
              <w:left w:val="nil"/>
              <w:bottom w:val="nil"/>
              <w:right w:val="nil"/>
            </w:tcBorders>
            <w:shd w:val="clear" w:color="auto" w:fill="auto"/>
            <w:noWrap/>
            <w:vAlign w:val="bottom"/>
          </w:tcPr>
          <w:p w14:paraId="276EB2B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1310" w:type="dxa"/>
            <w:gridSpan w:val="2"/>
            <w:tcBorders>
              <w:top w:val="nil"/>
              <w:left w:val="nil"/>
              <w:bottom w:val="nil"/>
              <w:right w:val="nil"/>
            </w:tcBorders>
            <w:shd w:val="clear" w:color="auto" w:fill="auto"/>
            <w:noWrap/>
            <w:vAlign w:val="bottom"/>
          </w:tcPr>
          <w:p w14:paraId="5321943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1287" w:type="dxa"/>
            <w:gridSpan w:val="2"/>
            <w:tcBorders>
              <w:top w:val="nil"/>
              <w:left w:val="nil"/>
              <w:bottom w:val="nil"/>
              <w:right w:val="nil"/>
            </w:tcBorders>
            <w:shd w:val="clear" w:color="auto" w:fill="auto"/>
            <w:noWrap/>
            <w:vAlign w:val="bottom"/>
          </w:tcPr>
          <w:p w14:paraId="252BE59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1963" w:type="dxa"/>
            <w:gridSpan w:val="2"/>
            <w:tcBorders>
              <w:top w:val="nil"/>
              <w:left w:val="nil"/>
              <w:bottom w:val="nil"/>
              <w:right w:val="nil"/>
            </w:tcBorders>
            <w:shd w:val="clear" w:color="auto" w:fill="auto"/>
            <w:noWrap/>
            <w:vAlign w:val="bottom"/>
          </w:tcPr>
          <w:p w14:paraId="2D1AE8C8">
            <w:pPr>
              <w:keepNext w:val="0"/>
              <w:keepLines w:val="0"/>
              <w:pageBreakBefore w:val="0"/>
              <w:widowControl/>
              <w:kinsoku/>
              <w:wordWrap/>
              <w:overflowPunct/>
              <w:topLinePunct w:val="0"/>
              <w:autoSpaceDE/>
              <w:autoSpaceDN/>
              <w:bidi w:val="0"/>
              <w:adjustRightInd/>
              <w:snapToGrid/>
              <w:spacing w:line="400" w:lineRule="exact"/>
              <w:jc w:val="right"/>
              <w:textAlignment w:val="auto"/>
              <w:rPr>
                <w:rFonts w:ascii="宋体" w:hAnsi="宋体" w:eastAsia="宋体" w:cs="Arial"/>
                <w:color w:val="000000"/>
                <w:kern w:val="0"/>
                <w:sz w:val="22"/>
                <w:szCs w:val="22"/>
              </w:rPr>
            </w:pPr>
            <w:r>
              <w:rPr>
                <w:rFonts w:hint="eastAsia" w:ascii="宋体" w:hAnsi="宋体" w:eastAsia="宋体" w:cs="Arial"/>
                <w:color w:val="000000"/>
                <w:kern w:val="0"/>
                <w:sz w:val="22"/>
                <w:szCs w:val="22"/>
              </w:rPr>
              <w:t>金额单位：万元</w:t>
            </w:r>
          </w:p>
        </w:tc>
      </w:tr>
      <w:tr w14:paraId="14FA1064">
        <w:tblPrEx>
          <w:tblCellMar>
            <w:top w:w="0" w:type="dxa"/>
            <w:left w:w="108" w:type="dxa"/>
            <w:bottom w:w="0" w:type="dxa"/>
            <w:right w:w="108" w:type="dxa"/>
          </w:tblCellMar>
        </w:tblPrEx>
        <w:trPr>
          <w:trHeight w:val="308" w:hRule="atLeast"/>
          <w:tblHeader/>
          <w:jc w:val="center"/>
        </w:trPr>
        <w:tc>
          <w:tcPr>
            <w:tcW w:w="520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D8DB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项目</w:t>
            </w:r>
          </w:p>
        </w:tc>
        <w:tc>
          <w:tcPr>
            <w:tcW w:w="1454"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2D4D69F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Arial"/>
                <w:b w:val="0"/>
                <w:bCs w:val="0"/>
                <w:color w:val="000000"/>
                <w:kern w:val="0"/>
                <w:sz w:val="22"/>
              </w:rPr>
            </w:pPr>
            <w:r>
              <w:rPr>
                <w:rFonts w:hint="eastAsia" w:ascii="宋体" w:hAnsi="宋体" w:eastAsia="宋体" w:cs="Arial"/>
                <w:b w:val="0"/>
                <w:bCs w:val="0"/>
                <w:color w:val="000000"/>
                <w:kern w:val="0"/>
                <w:sz w:val="22"/>
              </w:rPr>
              <w:t>本年支出</w:t>
            </w:r>
          </w:p>
          <w:p w14:paraId="63B60CB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合计</w:t>
            </w:r>
          </w:p>
        </w:tc>
        <w:tc>
          <w:tcPr>
            <w:tcW w:w="1454"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74D0392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基本支出</w:t>
            </w:r>
          </w:p>
        </w:tc>
        <w:tc>
          <w:tcPr>
            <w:tcW w:w="1454"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2A68B94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项目支出</w:t>
            </w:r>
          </w:p>
        </w:tc>
        <w:tc>
          <w:tcPr>
            <w:tcW w:w="1454"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2506175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Arial"/>
                <w:b w:val="0"/>
                <w:bCs w:val="0"/>
                <w:color w:val="000000"/>
                <w:kern w:val="0"/>
                <w:sz w:val="22"/>
              </w:rPr>
            </w:pPr>
            <w:r>
              <w:rPr>
                <w:rFonts w:hint="eastAsia" w:ascii="宋体" w:hAnsi="宋体" w:eastAsia="宋体" w:cs="Arial"/>
                <w:b w:val="0"/>
                <w:bCs w:val="0"/>
                <w:color w:val="000000"/>
                <w:kern w:val="0"/>
                <w:sz w:val="22"/>
              </w:rPr>
              <w:t>上缴上级</w:t>
            </w:r>
          </w:p>
          <w:p w14:paraId="13BFF85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支出</w:t>
            </w:r>
          </w:p>
        </w:tc>
        <w:tc>
          <w:tcPr>
            <w:tcW w:w="1454"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666ACAB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经营支出</w:t>
            </w:r>
          </w:p>
        </w:tc>
        <w:tc>
          <w:tcPr>
            <w:tcW w:w="1457" w:type="dxa"/>
            <w:vMerge w:val="restart"/>
            <w:tcBorders>
              <w:top w:val="single" w:color="000000" w:sz="4" w:space="0"/>
              <w:left w:val="nil"/>
              <w:bottom w:val="single" w:color="000000" w:sz="4" w:space="0"/>
              <w:right w:val="single" w:color="000000" w:sz="4" w:space="0"/>
            </w:tcBorders>
            <w:shd w:val="clear" w:color="auto" w:fill="auto"/>
            <w:vAlign w:val="center"/>
          </w:tcPr>
          <w:p w14:paraId="0D7C66B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对附属单位补助支出</w:t>
            </w:r>
          </w:p>
        </w:tc>
      </w:tr>
      <w:tr w14:paraId="76B6ACD2">
        <w:tblPrEx>
          <w:tblCellMar>
            <w:top w:w="0" w:type="dxa"/>
            <w:left w:w="108" w:type="dxa"/>
            <w:bottom w:w="0" w:type="dxa"/>
            <w:right w:w="108" w:type="dxa"/>
          </w:tblCellMar>
        </w:tblPrEx>
        <w:trPr>
          <w:trHeight w:val="312" w:hRule="atLeast"/>
          <w:tblHeader/>
          <w:jc w:val="center"/>
        </w:trPr>
        <w:tc>
          <w:tcPr>
            <w:tcW w:w="1158"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38CAC76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科目</w:t>
            </w:r>
            <w:r>
              <w:rPr>
                <w:rFonts w:hint="eastAsia" w:ascii="宋体" w:hAnsi="宋体" w:eastAsia="宋体" w:cs="Arial"/>
                <w:b w:val="0"/>
                <w:bCs w:val="0"/>
                <w:color w:val="000000"/>
                <w:kern w:val="0"/>
                <w:sz w:val="22"/>
                <w:lang w:val="en-US" w:eastAsia="zh-CN"/>
              </w:rPr>
              <w:t>代</w:t>
            </w:r>
            <w:r>
              <w:rPr>
                <w:rFonts w:hint="eastAsia" w:ascii="宋体" w:hAnsi="宋体" w:eastAsia="宋体" w:cs="Arial"/>
                <w:b w:val="0"/>
                <w:bCs w:val="0"/>
                <w:color w:val="000000"/>
                <w:kern w:val="0"/>
                <w:sz w:val="22"/>
              </w:rPr>
              <w:t>码</w:t>
            </w:r>
          </w:p>
        </w:tc>
        <w:tc>
          <w:tcPr>
            <w:tcW w:w="4045" w:type="dxa"/>
            <w:vMerge w:val="restart"/>
            <w:tcBorders>
              <w:top w:val="nil"/>
              <w:left w:val="nil"/>
              <w:bottom w:val="single" w:color="000000" w:sz="4" w:space="0"/>
              <w:right w:val="single" w:color="000000" w:sz="4" w:space="0"/>
            </w:tcBorders>
            <w:shd w:val="clear" w:color="auto" w:fill="auto"/>
            <w:noWrap/>
            <w:vAlign w:val="center"/>
          </w:tcPr>
          <w:p w14:paraId="12B63ED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科目名称</w:t>
            </w:r>
          </w:p>
        </w:tc>
        <w:tc>
          <w:tcPr>
            <w:tcW w:w="1454"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685B45C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p>
        </w:tc>
        <w:tc>
          <w:tcPr>
            <w:tcW w:w="1454"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2A34A5F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p>
        </w:tc>
        <w:tc>
          <w:tcPr>
            <w:tcW w:w="1454"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7B07141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p>
        </w:tc>
        <w:tc>
          <w:tcPr>
            <w:tcW w:w="1454"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1C4C47B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p>
        </w:tc>
        <w:tc>
          <w:tcPr>
            <w:tcW w:w="1454"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64550F2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p>
        </w:tc>
        <w:tc>
          <w:tcPr>
            <w:tcW w:w="1457" w:type="dxa"/>
            <w:vMerge w:val="continue"/>
            <w:tcBorders>
              <w:top w:val="single" w:color="000000" w:sz="4" w:space="0"/>
              <w:left w:val="nil"/>
              <w:bottom w:val="single" w:color="000000" w:sz="4" w:space="0"/>
              <w:right w:val="single" w:color="000000" w:sz="4" w:space="0"/>
            </w:tcBorders>
            <w:shd w:val="clear" w:color="auto" w:fill="auto"/>
            <w:vAlign w:val="center"/>
          </w:tcPr>
          <w:p w14:paraId="2977E82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p>
        </w:tc>
      </w:tr>
      <w:tr w14:paraId="79D5B306">
        <w:tblPrEx>
          <w:tblCellMar>
            <w:top w:w="0" w:type="dxa"/>
            <w:left w:w="108" w:type="dxa"/>
            <w:bottom w:w="0" w:type="dxa"/>
            <w:right w:w="108" w:type="dxa"/>
          </w:tblCellMar>
        </w:tblPrEx>
        <w:trPr>
          <w:trHeight w:val="312" w:hRule="atLeast"/>
          <w:tblHeader/>
          <w:jc w:val="center"/>
        </w:trPr>
        <w:tc>
          <w:tcPr>
            <w:tcW w:w="1158"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55B8889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p>
        </w:tc>
        <w:tc>
          <w:tcPr>
            <w:tcW w:w="4045" w:type="dxa"/>
            <w:vMerge w:val="continue"/>
            <w:tcBorders>
              <w:top w:val="nil"/>
              <w:left w:val="nil"/>
              <w:bottom w:val="single" w:color="000000" w:sz="4" w:space="0"/>
              <w:right w:val="single" w:color="000000" w:sz="4" w:space="0"/>
            </w:tcBorders>
            <w:shd w:val="clear" w:color="auto" w:fill="auto"/>
            <w:vAlign w:val="center"/>
          </w:tcPr>
          <w:p w14:paraId="40C8A8A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p>
        </w:tc>
        <w:tc>
          <w:tcPr>
            <w:tcW w:w="1454"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47262E7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p>
        </w:tc>
        <w:tc>
          <w:tcPr>
            <w:tcW w:w="1454"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6C6A984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p>
        </w:tc>
        <w:tc>
          <w:tcPr>
            <w:tcW w:w="1454"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58319E3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p>
        </w:tc>
        <w:tc>
          <w:tcPr>
            <w:tcW w:w="1454"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5415C76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p>
        </w:tc>
        <w:tc>
          <w:tcPr>
            <w:tcW w:w="1454"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190FF95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p>
        </w:tc>
        <w:tc>
          <w:tcPr>
            <w:tcW w:w="1457" w:type="dxa"/>
            <w:vMerge w:val="continue"/>
            <w:tcBorders>
              <w:top w:val="single" w:color="000000" w:sz="4" w:space="0"/>
              <w:left w:val="nil"/>
              <w:bottom w:val="single" w:color="000000" w:sz="4" w:space="0"/>
              <w:right w:val="single" w:color="000000" w:sz="4" w:space="0"/>
            </w:tcBorders>
            <w:shd w:val="clear" w:color="auto" w:fill="auto"/>
            <w:vAlign w:val="center"/>
          </w:tcPr>
          <w:p w14:paraId="0F483D0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p>
        </w:tc>
      </w:tr>
      <w:tr w14:paraId="1F2D1BB6">
        <w:tblPrEx>
          <w:tblCellMar>
            <w:top w:w="0" w:type="dxa"/>
            <w:left w:w="108" w:type="dxa"/>
            <w:bottom w:w="0" w:type="dxa"/>
            <w:right w:w="108" w:type="dxa"/>
          </w:tblCellMar>
        </w:tblPrEx>
        <w:trPr>
          <w:trHeight w:val="312" w:hRule="atLeast"/>
          <w:tblHeader/>
          <w:jc w:val="center"/>
        </w:trPr>
        <w:tc>
          <w:tcPr>
            <w:tcW w:w="1158"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1844A02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p>
        </w:tc>
        <w:tc>
          <w:tcPr>
            <w:tcW w:w="4045" w:type="dxa"/>
            <w:vMerge w:val="continue"/>
            <w:tcBorders>
              <w:top w:val="nil"/>
              <w:left w:val="nil"/>
              <w:bottom w:val="single" w:color="000000" w:sz="4" w:space="0"/>
              <w:right w:val="single" w:color="000000" w:sz="4" w:space="0"/>
            </w:tcBorders>
            <w:shd w:val="clear" w:color="auto" w:fill="auto"/>
            <w:vAlign w:val="center"/>
          </w:tcPr>
          <w:p w14:paraId="37B1A6B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p>
        </w:tc>
        <w:tc>
          <w:tcPr>
            <w:tcW w:w="1454"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258550B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p>
        </w:tc>
        <w:tc>
          <w:tcPr>
            <w:tcW w:w="1454"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46A18E8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p>
        </w:tc>
        <w:tc>
          <w:tcPr>
            <w:tcW w:w="1454"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1F35FBB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p>
        </w:tc>
        <w:tc>
          <w:tcPr>
            <w:tcW w:w="1454"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43D28A7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p>
        </w:tc>
        <w:tc>
          <w:tcPr>
            <w:tcW w:w="1454"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03C3633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p>
        </w:tc>
        <w:tc>
          <w:tcPr>
            <w:tcW w:w="1457" w:type="dxa"/>
            <w:vMerge w:val="continue"/>
            <w:tcBorders>
              <w:top w:val="single" w:color="000000" w:sz="4" w:space="0"/>
              <w:left w:val="nil"/>
              <w:bottom w:val="single" w:color="000000" w:sz="4" w:space="0"/>
              <w:right w:val="single" w:color="000000" w:sz="4" w:space="0"/>
            </w:tcBorders>
            <w:shd w:val="clear" w:color="auto" w:fill="auto"/>
            <w:vAlign w:val="center"/>
          </w:tcPr>
          <w:p w14:paraId="1106D07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p>
        </w:tc>
      </w:tr>
      <w:tr w14:paraId="0998AE07">
        <w:tblPrEx>
          <w:tblCellMar>
            <w:top w:w="0" w:type="dxa"/>
            <w:left w:w="108" w:type="dxa"/>
            <w:bottom w:w="0" w:type="dxa"/>
            <w:right w:w="108" w:type="dxa"/>
          </w:tblCellMar>
        </w:tblPrEx>
        <w:trPr>
          <w:trHeight w:val="90" w:hRule="atLeast"/>
          <w:tblHeader/>
          <w:jc w:val="center"/>
        </w:trPr>
        <w:tc>
          <w:tcPr>
            <w:tcW w:w="5203" w:type="dxa"/>
            <w:gridSpan w:val="4"/>
            <w:tcBorders>
              <w:top w:val="nil"/>
              <w:left w:val="single" w:color="000000" w:sz="4" w:space="0"/>
              <w:bottom w:val="single" w:color="auto" w:sz="4" w:space="0"/>
              <w:right w:val="single" w:color="000000" w:sz="4" w:space="0"/>
            </w:tcBorders>
            <w:shd w:val="clear" w:color="auto" w:fill="auto"/>
            <w:noWrap/>
            <w:vAlign w:val="center"/>
          </w:tcPr>
          <w:p w14:paraId="1D5729A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栏次</w:t>
            </w:r>
          </w:p>
        </w:tc>
        <w:tc>
          <w:tcPr>
            <w:tcW w:w="1454" w:type="dxa"/>
            <w:gridSpan w:val="2"/>
            <w:tcBorders>
              <w:top w:val="nil"/>
              <w:left w:val="nil"/>
              <w:bottom w:val="single" w:color="auto" w:sz="4" w:space="0"/>
              <w:right w:val="single" w:color="000000" w:sz="4" w:space="0"/>
            </w:tcBorders>
            <w:shd w:val="clear" w:color="auto" w:fill="auto"/>
            <w:vAlign w:val="center"/>
          </w:tcPr>
          <w:p w14:paraId="6D9A28F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1</w:t>
            </w:r>
          </w:p>
        </w:tc>
        <w:tc>
          <w:tcPr>
            <w:tcW w:w="1454" w:type="dxa"/>
            <w:gridSpan w:val="2"/>
            <w:tcBorders>
              <w:top w:val="nil"/>
              <w:left w:val="nil"/>
              <w:bottom w:val="single" w:color="auto" w:sz="4" w:space="0"/>
              <w:right w:val="single" w:color="000000" w:sz="4" w:space="0"/>
            </w:tcBorders>
            <w:shd w:val="clear" w:color="auto" w:fill="auto"/>
            <w:vAlign w:val="center"/>
          </w:tcPr>
          <w:p w14:paraId="34921B6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2</w:t>
            </w:r>
          </w:p>
        </w:tc>
        <w:tc>
          <w:tcPr>
            <w:tcW w:w="1454" w:type="dxa"/>
            <w:gridSpan w:val="2"/>
            <w:tcBorders>
              <w:top w:val="nil"/>
              <w:left w:val="nil"/>
              <w:bottom w:val="single" w:color="auto" w:sz="4" w:space="0"/>
              <w:right w:val="single" w:color="000000" w:sz="4" w:space="0"/>
            </w:tcBorders>
            <w:shd w:val="clear" w:color="auto" w:fill="auto"/>
            <w:vAlign w:val="center"/>
          </w:tcPr>
          <w:p w14:paraId="1B93094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3</w:t>
            </w:r>
          </w:p>
        </w:tc>
        <w:tc>
          <w:tcPr>
            <w:tcW w:w="1454" w:type="dxa"/>
            <w:gridSpan w:val="2"/>
            <w:tcBorders>
              <w:top w:val="nil"/>
              <w:left w:val="nil"/>
              <w:bottom w:val="single" w:color="auto" w:sz="4" w:space="0"/>
              <w:right w:val="single" w:color="000000" w:sz="4" w:space="0"/>
            </w:tcBorders>
            <w:shd w:val="clear" w:color="auto" w:fill="auto"/>
            <w:vAlign w:val="center"/>
          </w:tcPr>
          <w:p w14:paraId="092D12B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4</w:t>
            </w:r>
          </w:p>
        </w:tc>
        <w:tc>
          <w:tcPr>
            <w:tcW w:w="1454" w:type="dxa"/>
            <w:gridSpan w:val="2"/>
            <w:tcBorders>
              <w:top w:val="nil"/>
              <w:left w:val="nil"/>
              <w:bottom w:val="single" w:color="auto" w:sz="4" w:space="0"/>
              <w:right w:val="single" w:color="000000" w:sz="4" w:space="0"/>
            </w:tcBorders>
            <w:shd w:val="clear" w:color="auto" w:fill="auto"/>
            <w:vAlign w:val="center"/>
          </w:tcPr>
          <w:p w14:paraId="35A519D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5</w:t>
            </w:r>
          </w:p>
        </w:tc>
        <w:tc>
          <w:tcPr>
            <w:tcW w:w="1457" w:type="dxa"/>
            <w:tcBorders>
              <w:top w:val="nil"/>
              <w:left w:val="nil"/>
              <w:bottom w:val="single" w:color="auto" w:sz="4" w:space="0"/>
              <w:right w:val="single" w:color="000000" w:sz="4" w:space="0"/>
            </w:tcBorders>
            <w:shd w:val="clear" w:color="auto" w:fill="auto"/>
            <w:vAlign w:val="center"/>
          </w:tcPr>
          <w:p w14:paraId="4EFDF57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6</w:t>
            </w:r>
          </w:p>
        </w:tc>
      </w:tr>
      <w:tr w14:paraId="62D6320E">
        <w:tblPrEx>
          <w:tblCellMar>
            <w:top w:w="0" w:type="dxa"/>
            <w:left w:w="108" w:type="dxa"/>
            <w:bottom w:w="0" w:type="dxa"/>
            <w:right w:w="108" w:type="dxa"/>
          </w:tblCellMar>
        </w:tblPrEx>
        <w:trPr>
          <w:trHeight w:val="308" w:hRule="atLeast"/>
          <w:jc w:val="center"/>
        </w:trPr>
        <w:tc>
          <w:tcPr>
            <w:tcW w:w="5203"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38ACC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合计</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02C41EE">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15,405.33</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EA3FF4A">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9,392.02</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0670CF5">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6,013.32</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EBB58B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F97783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BFFD9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2FC70277">
        <w:tblPrEx>
          <w:tblCellMar>
            <w:top w:w="0" w:type="dxa"/>
            <w:left w:w="108" w:type="dxa"/>
            <w:bottom w:w="0" w:type="dxa"/>
            <w:right w:w="108" w:type="dxa"/>
          </w:tblCellMar>
        </w:tblPrEx>
        <w:trPr>
          <w:trHeight w:val="308" w:hRule="atLeast"/>
          <w:jc w:val="center"/>
        </w:trPr>
        <w:tc>
          <w:tcPr>
            <w:tcW w:w="115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E4C97E3">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w:t>
            </w:r>
          </w:p>
        </w:tc>
        <w:tc>
          <w:tcPr>
            <w:tcW w:w="40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212C88">
            <w:pPr>
              <w:keepNext w:val="0"/>
              <w:keepLines w:val="0"/>
              <w:widowControl/>
              <w:suppressLineNumbers w:val="0"/>
              <w:jc w:val="left"/>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一般公共服务支出</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5DC9DA0">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13,184.80</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02A8AAB">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7,171.48</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0F7DD4C">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6,013.32</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4DF65A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6DC41C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76E57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68E944D8">
        <w:tblPrEx>
          <w:tblCellMar>
            <w:top w:w="0" w:type="dxa"/>
            <w:left w:w="108" w:type="dxa"/>
            <w:bottom w:w="0" w:type="dxa"/>
            <w:right w:w="108" w:type="dxa"/>
          </w:tblCellMar>
        </w:tblPrEx>
        <w:trPr>
          <w:trHeight w:val="308" w:hRule="atLeast"/>
          <w:jc w:val="center"/>
        </w:trPr>
        <w:tc>
          <w:tcPr>
            <w:tcW w:w="115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1426778">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20105</w:t>
            </w:r>
          </w:p>
        </w:tc>
        <w:tc>
          <w:tcPr>
            <w:tcW w:w="40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9D2614">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统计信息事务</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45BDD3D">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13,184.80</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457B059">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7,171.48</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49EEE22">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6,013.32</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4CF5D6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6A1108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982C2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66D1A69A">
        <w:tblPrEx>
          <w:tblCellMar>
            <w:top w:w="0" w:type="dxa"/>
            <w:left w:w="108" w:type="dxa"/>
            <w:bottom w:w="0" w:type="dxa"/>
            <w:right w:w="108" w:type="dxa"/>
          </w:tblCellMar>
        </w:tblPrEx>
        <w:trPr>
          <w:trHeight w:val="308" w:hRule="atLeast"/>
          <w:jc w:val="center"/>
        </w:trPr>
        <w:tc>
          <w:tcPr>
            <w:tcW w:w="115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2BCDA2E">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2010501</w:t>
            </w:r>
          </w:p>
        </w:tc>
        <w:tc>
          <w:tcPr>
            <w:tcW w:w="40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6F2226">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4517D3B">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7,171.48</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8344C3A">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7,171.48</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78C6B70">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ED4904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A438B9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8C005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1FB11EBE">
        <w:tblPrEx>
          <w:tblCellMar>
            <w:top w:w="0" w:type="dxa"/>
            <w:left w:w="108" w:type="dxa"/>
            <w:bottom w:w="0" w:type="dxa"/>
            <w:right w:w="108" w:type="dxa"/>
          </w:tblCellMar>
        </w:tblPrEx>
        <w:trPr>
          <w:trHeight w:val="308" w:hRule="atLeast"/>
          <w:jc w:val="center"/>
        </w:trPr>
        <w:tc>
          <w:tcPr>
            <w:tcW w:w="115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9EF5E19">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2010502</w:t>
            </w:r>
          </w:p>
        </w:tc>
        <w:tc>
          <w:tcPr>
            <w:tcW w:w="40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B1FAAD">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4FD360B">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38.49</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B7BE546">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2B1E3FE">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38.49</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0446FA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CB7070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B017F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4F35DD09">
        <w:tblPrEx>
          <w:tblCellMar>
            <w:top w:w="0" w:type="dxa"/>
            <w:left w:w="108" w:type="dxa"/>
            <w:bottom w:w="0" w:type="dxa"/>
            <w:right w:w="108" w:type="dxa"/>
          </w:tblCellMar>
        </w:tblPrEx>
        <w:trPr>
          <w:trHeight w:val="308" w:hRule="atLeast"/>
          <w:jc w:val="center"/>
        </w:trPr>
        <w:tc>
          <w:tcPr>
            <w:tcW w:w="115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31320F1">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2010505</w:t>
            </w:r>
          </w:p>
        </w:tc>
        <w:tc>
          <w:tcPr>
            <w:tcW w:w="40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60818D">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专项统计业务</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CA4E1FB">
            <w:pPr>
              <w:keepNext w:val="0"/>
              <w:keepLines w:val="0"/>
              <w:widowControl/>
              <w:suppressLineNumbers w:val="0"/>
              <w:jc w:val="right"/>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370.16</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C851465">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4A2A00C">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370.16</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5ADF40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2C9569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0CC97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7D3058A1">
        <w:tblPrEx>
          <w:tblCellMar>
            <w:top w:w="0" w:type="dxa"/>
            <w:left w:w="108" w:type="dxa"/>
            <w:bottom w:w="0" w:type="dxa"/>
            <w:right w:w="108" w:type="dxa"/>
          </w:tblCellMar>
        </w:tblPrEx>
        <w:trPr>
          <w:trHeight w:val="308" w:hRule="atLeast"/>
          <w:jc w:val="center"/>
        </w:trPr>
        <w:tc>
          <w:tcPr>
            <w:tcW w:w="115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4868212">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2010506</w:t>
            </w:r>
          </w:p>
        </w:tc>
        <w:tc>
          <w:tcPr>
            <w:tcW w:w="40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A63983">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统计管理</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986CD74">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127.00</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A7A013D">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BFE5ECE">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127.00</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6A8AF2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DF72FF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CF745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32DE96CA">
        <w:tblPrEx>
          <w:tblCellMar>
            <w:top w:w="0" w:type="dxa"/>
            <w:left w:w="108" w:type="dxa"/>
            <w:bottom w:w="0" w:type="dxa"/>
            <w:right w:w="108" w:type="dxa"/>
          </w:tblCellMar>
        </w:tblPrEx>
        <w:trPr>
          <w:trHeight w:val="308" w:hRule="atLeast"/>
          <w:jc w:val="center"/>
        </w:trPr>
        <w:tc>
          <w:tcPr>
            <w:tcW w:w="115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DC86F27">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2010507</w:t>
            </w:r>
          </w:p>
        </w:tc>
        <w:tc>
          <w:tcPr>
            <w:tcW w:w="40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E2A498">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D42CC3F">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1.18</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C1A60F8">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B94C1DE">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1.18</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B5E2A1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5A8B69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FD9E4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6618A484">
        <w:tblPrEx>
          <w:tblCellMar>
            <w:top w:w="0" w:type="dxa"/>
            <w:left w:w="108" w:type="dxa"/>
            <w:bottom w:w="0" w:type="dxa"/>
            <w:right w:w="108" w:type="dxa"/>
          </w:tblCellMar>
        </w:tblPrEx>
        <w:trPr>
          <w:trHeight w:val="308" w:hRule="atLeast"/>
          <w:jc w:val="center"/>
        </w:trPr>
        <w:tc>
          <w:tcPr>
            <w:tcW w:w="115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FC9281D">
            <w:pPr>
              <w:keepNext w:val="0"/>
              <w:keepLines w:val="0"/>
              <w:widowControl/>
              <w:suppressLineNumbers w:val="0"/>
              <w:jc w:val="left"/>
              <w:textAlignment w:val="center"/>
              <w:rPr>
                <w:rFonts w:hint="eastAsia" w:ascii="宋体" w:hAnsi="宋体" w:eastAsia="宋体" w:cs="Arial"/>
                <w:b w:val="0"/>
                <w:bCs w:val="0"/>
                <w:color w:val="000000"/>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2010508</w:t>
            </w:r>
          </w:p>
        </w:tc>
        <w:tc>
          <w:tcPr>
            <w:tcW w:w="40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C7E9E2">
            <w:pPr>
              <w:keepNext w:val="0"/>
              <w:keepLines w:val="0"/>
              <w:widowControl/>
              <w:suppressLineNumbers w:val="0"/>
              <w:jc w:val="left"/>
              <w:textAlignment w:val="center"/>
              <w:rPr>
                <w:rFonts w:hint="eastAsia" w:ascii="宋体" w:hAnsi="宋体" w:eastAsia="宋体" w:cs="Arial"/>
                <w:b w:val="0"/>
                <w:bCs w:val="0"/>
                <w:color w:val="000000"/>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统计抽样调查</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B028EDE">
            <w:pPr>
              <w:keepNext w:val="0"/>
              <w:keepLines w:val="0"/>
              <w:widowControl/>
              <w:suppressLineNumbers w:val="0"/>
              <w:jc w:val="right"/>
              <w:textAlignment w:val="center"/>
              <w:rPr>
                <w:rFonts w:hint="eastAsia" w:ascii="宋体" w:hAnsi="宋体" w:eastAsia="宋体" w:cs="Arial"/>
                <w:b w:val="0"/>
                <w:bCs w:val="0"/>
                <w:color w:val="000000"/>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5,476.49</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6C97D74">
            <w:pPr>
              <w:keepNext w:val="0"/>
              <w:keepLines w:val="0"/>
              <w:widowControl/>
              <w:suppressLineNumbers w:val="0"/>
              <w:jc w:val="right"/>
              <w:textAlignment w:val="center"/>
              <w:rPr>
                <w:rFonts w:hint="eastAsia" w:ascii="宋体" w:hAnsi="宋体" w:eastAsia="宋体" w:cs="Arial"/>
                <w:b w:val="0"/>
                <w:bCs w:val="0"/>
                <w:color w:val="000000"/>
                <w:kern w:val="0"/>
                <w:sz w:val="22"/>
                <w:szCs w:val="22"/>
                <w:lang w:val="en-US" w:eastAsia="zh-CN" w:bidi="ar-SA"/>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DBA10F4">
            <w:pPr>
              <w:keepNext w:val="0"/>
              <w:keepLines w:val="0"/>
              <w:widowControl/>
              <w:suppressLineNumbers w:val="0"/>
              <w:jc w:val="right"/>
              <w:textAlignment w:val="center"/>
              <w:rPr>
                <w:rFonts w:hint="eastAsia" w:ascii="宋体" w:hAnsi="宋体" w:eastAsia="宋体" w:cs="Arial"/>
                <w:b w:val="0"/>
                <w:bCs w:val="0"/>
                <w:color w:val="000000"/>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5,476.49</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9A2BB0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Arial"/>
                <w:b w:val="0"/>
                <w:bCs w:val="0"/>
                <w:color w:val="000000"/>
                <w:kern w:val="0"/>
                <w:sz w:val="22"/>
                <w:szCs w:val="22"/>
                <w:lang w:val="en-US" w:eastAsia="zh-CN" w:bidi="ar-SA"/>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382B9F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Arial"/>
                <w:b w:val="0"/>
                <w:bCs w:val="0"/>
                <w:color w:val="000000"/>
                <w:kern w:val="0"/>
                <w:sz w:val="22"/>
                <w:szCs w:val="22"/>
                <w:lang w:val="en-US" w:eastAsia="zh-CN" w:bidi="ar-SA"/>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D1A45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Arial"/>
                <w:b w:val="0"/>
                <w:bCs w:val="0"/>
                <w:color w:val="000000"/>
                <w:kern w:val="0"/>
                <w:sz w:val="22"/>
                <w:szCs w:val="22"/>
                <w:lang w:val="en-US" w:eastAsia="zh-CN" w:bidi="ar-SA"/>
              </w:rPr>
            </w:pPr>
          </w:p>
        </w:tc>
      </w:tr>
      <w:tr w14:paraId="4B2566C5">
        <w:tblPrEx>
          <w:tblCellMar>
            <w:top w:w="0" w:type="dxa"/>
            <w:left w:w="108" w:type="dxa"/>
            <w:bottom w:w="0" w:type="dxa"/>
            <w:right w:w="108" w:type="dxa"/>
          </w:tblCellMar>
        </w:tblPrEx>
        <w:trPr>
          <w:trHeight w:val="308" w:hRule="atLeast"/>
          <w:jc w:val="center"/>
        </w:trPr>
        <w:tc>
          <w:tcPr>
            <w:tcW w:w="115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AA4DA67">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w:t>
            </w:r>
          </w:p>
        </w:tc>
        <w:tc>
          <w:tcPr>
            <w:tcW w:w="40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D7B3CD">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C1AF01B">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1,123.21</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7271BC6">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1,123.21</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E9761E7">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38CEAC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EFA83E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1C516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73AFE220">
        <w:tblPrEx>
          <w:tblCellMar>
            <w:top w:w="0" w:type="dxa"/>
            <w:left w:w="108" w:type="dxa"/>
            <w:bottom w:w="0" w:type="dxa"/>
            <w:right w:w="108" w:type="dxa"/>
          </w:tblCellMar>
        </w:tblPrEx>
        <w:trPr>
          <w:trHeight w:val="308" w:hRule="atLeast"/>
          <w:jc w:val="center"/>
        </w:trPr>
        <w:tc>
          <w:tcPr>
            <w:tcW w:w="115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10D0C8B">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w:t>
            </w:r>
          </w:p>
        </w:tc>
        <w:tc>
          <w:tcPr>
            <w:tcW w:w="40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FD8B2D">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DCBD186">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1,123.21</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E87CE3E">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1,123.21</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573D32F">
            <w:pPr>
              <w:keepNext w:val="0"/>
              <w:keepLines w:val="0"/>
              <w:widowControl/>
              <w:suppressLineNumbers w:val="0"/>
              <w:jc w:val="center"/>
              <w:textAlignment w:val="center"/>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BB00FE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01453C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DC51B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07BCB924">
        <w:tblPrEx>
          <w:tblCellMar>
            <w:top w:w="0" w:type="dxa"/>
            <w:left w:w="108" w:type="dxa"/>
            <w:bottom w:w="0" w:type="dxa"/>
            <w:right w:w="108" w:type="dxa"/>
          </w:tblCellMar>
        </w:tblPrEx>
        <w:trPr>
          <w:trHeight w:val="308" w:hRule="atLeast"/>
          <w:jc w:val="center"/>
        </w:trPr>
        <w:tc>
          <w:tcPr>
            <w:tcW w:w="115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12D2BB2">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2080505</w:t>
            </w:r>
          </w:p>
        </w:tc>
        <w:tc>
          <w:tcPr>
            <w:tcW w:w="40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BE4480">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A717178">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711.09</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4DF15D9">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711.09</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84F3E49">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B43622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5CFF6B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5DCB1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4DDADB9C">
        <w:tblPrEx>
          <w:tblCellMar>
            <w:top w:w="0" w:type="dxa"/>
            <w:left w:w="108" w:type="dxa"/>
            <w:bottom w:w="0" w:type="dxa"/>
            <w:right w:w="108" w:type="dxa"/>
          </w:tblCellMar>
        </w:tblPrEx>
        <w:trPr>
          <w:trHeight w:val="308" w:hRule="atLeast"/>
          <w:jc w:val="center"/>
        </w:trPr>
        <w:tc>
          <w:tcPr>
            <w:tcW w:w="115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615721A">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2080506</w:t>
            </w:r>
          </w:p>
        </w:tc>
        <w:tc>
          <w:tcPr>
            <w:tcW w:w="40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E69DB7">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机关事业单位职业年金缴费支出</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A7FD7BB">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412.12</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5577570">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412.12</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6ACCB54">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3A71D3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C054B1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DA75B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153620B4">
        <w:tblPrEx>
          <w:tblCellMar>
            <w:top w:w="0" w:type="dxa"/>
            <w:left w:w="108" w:type="dxa"/>
            <w:bottom w:w="0" w:type="dxa"/>
            <w:right w:w="108" w:type="dxa"/>
          </w:tblCellMar>
        </w:tblPrEx>
        <w:trPr>
          <w:trHeight w:val="308" w:hRule="atLeast"/>
          <w:jc w:val="center"/>
        </w:trPr>
        <w:tc>
          <w:tcPr>
            <w:tcW w:w="115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B855060">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40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9861AE">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卫生健康支出</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6CBC196">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434.73</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F3D5D29">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434.73</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C1882F5">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79C77A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157B28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88804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4A3A9504">
        <w:tblPrEx>
          <w:tblCellMar>
            <w:top w:w="0" w:type="dxa"/>
            <w:left w:w="108" w:type="dxa"/>
            <w:bottom w:w="0" w:type="dxa"/>
            <w:right w:w="108" w:type="dxa"/>
          </w:tblCellMar>
        </w:tblPrEx>
        <w:trPr>
          <w:trHeight w:val="308" w:hRule="atLeast"/>
          <w:jc w:val="center"/>
        </w:trPr>
        <w:tc>
          <w:tcPr>
            <w:tcW w:w="115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D307C0D">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w:t>
            </w:r>
          </w:p>
        </w:tc>
        <w:tc>
          <w:tcPr>
            <w:tcW w:w="40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5F5B18">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行政事业单位医疗</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A2D2AD3">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434.73</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361AADE">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434.73</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C60CA73">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B7AB42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7C8656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91FAD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68467858">
        <w:tblPrEx>
          <w:tblCellMar>
            <w:top w:w="0" w:type="dxa"/>
            <w:left w:w="108" w:type="dxa"/>
            <w:bottom w:w="0" w:type="dxa"/>
            <w:right w:w="108" w:type="dxa"/>
          </w:tblCellMar>
        </w:tblPrEx>
        <w:trPr>
          <w:trHeight w:val="308" w:hRule="atLeast"/>
          <w:jc w:val="center"/>
        </w:trPr>
        <w:tc>
          <w:tcPr>
            <w:tcW w:w="115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28AFBFC">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2101101</w:t>
            </w:r>
          </w:p>
        </w:tc>
        <w:tc>
          <w:tcPr>
            <w:tcW w:w="40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2B318A">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2BA91F1">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426.29</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834B462">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426.29</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AF4AF2C">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7E70C8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F779DC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92A67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0D72E9D4">
        <w:tblPrEx>
          <w:tblCellMar>
            <w:top w:w="0" w:type="dxa"/>
            <w:left w:w="108" w:type="dxa"/>
            <w:bottom w:w="0" w:type="dxa"/>
            <w:right w:w="108" w:type="dxa"/>
          </w:tblCellMar>
        </w:tblPrEx>
        <w:trPr>
          <w:trHeight w:val="308" w:hRule="atLeast"/>
          <w:jc w:val="center"/>
        </w:trPr>
        <w:tc>
          <w:tcPr>
            <w:tcW w:w="115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1E0C613">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2101199</w:t>
            </w:r>
          </w:p>
        </w:tc>
        <w:tc>
          <w:tcPr>
            <w:tcW w:w="40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0204D1">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其他行政事业单位医疗支出</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7F87AC8">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8.44</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43A95F8">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8.44</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3CBB478">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D2340E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DAB1B0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62D27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4E085404">
        <w:tblPrEx>
          <w:tblCellMar>
            <w:top w:w="0" w:type="dxa"/>
            <w:left w:w="108" w:type="dxa"/>
            <w:bottom w:w="0" w:type="dxa"/>
            <w:right w:w="108" w:type="dxa"/>
          </w:tblCellMar>
        </w:tblPrEx>
        <w:trPr>
          <w:trHeight w:val="308" w:hRule="atLeast"/>
          <w:jc w:val="center"/>
        </w:trPr>
        <w:tc>
          <w:tcPr>
            <w:tcW w:w="115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CA2ED57">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w:t>
            </w:r>
          </w:p>
        </w:tc>
        <w:tc>
          <w:tcPr>
            <w:tcW w:w="40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C4A3FA">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住房保障支出</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70166DE">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662.59</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0D2B9F1">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662.59</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429EEA7">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9EC442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994B9C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1058C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1F637691">
        <w:tblPrEx>
          <w:tblCellMar>
            <w:top w:w="0" w:type="dxa"/>
            <w:left w:w="108" w:type="dxa"/>
            <w:bottom w:w="0" w:type="dxa"/>
            <w:right w:w="108" w:type="dxa"/>
          </w:tblCellMar>
        </w:tblPrEx>
        <w:trPr>
          <w:trHeight w:val="308" w:hRule="atLeast"/>
          <w:jc w:val="center"/>
        </w:trPr>
        <w:tc>
          <w:tcPr>
            <w:tcW w:w="115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E7BB469">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w:t>
            </w:r>
          </w:p>
        </w:tc>
        <w:tc>
          <w:tcPr>
            <w:tcW w:w="40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1E6236">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住房改革支出</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6F64F58">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662.59</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A6E17E4">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662.59</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96187F4">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6D5048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E1E2E1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43CC2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21AEE5A6">
        <w:tblPrEx>
          <w:tblCellMar>
            <w:top w:w="0" w:type="dxa"/>
            <w:left w:w="108" w:type="dxa"/>
            <w:bottom w:w="0" w:type="dxa"/>
            <w:right w:w="108" w:type="dxa"/>
          </w:tblCellMar>
        </w:tblPrEx>
        <w:trPr>
          <w:trHeight w:val="308" w:hRule="atLeast"/>
          <w:jc w:val="center"/>
        </w:trPr>
        <w:tc>
          <w:tcPr>
            <w:tcW w:w="115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C31483F">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2210201</w:t>
            </w:r>
          </w:p>
        </w:tc>
        <w:tc>
          <w:tcPr>
            <w:tcW w:w="40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7F71FB">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121ED6A">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657.90</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D5846F6">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657.90</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75088C6">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9A2FD4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8076E5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84FC8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320C070D">
        <w:tblPrEx>
          <w:tblCellMar>
            <w:top w:w="0" w:type="dxa"/>
            <w:left w:w="108" w:type="dxa"/>
            <w:bottom w:w="0" w:type="dxa"/>
            <w:right w:w="108" w:type="dxa"/>
          </w:tblCellMar>
        </w:tblPrEx>
        <w:trPr>
          <w:trHeight w:val="308" w:hRule="atLeast"/>
          <w:jc w:val="center"/>
        </w:trPr>
        <w:tc>
          <w:tcPr>
            <w:tcW w:w="115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6C7E492">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2210203</w:t>
            </w:r>
          </w:p>
        </w:tc>
        <w:tc>
          <w:tcPr>
            <w:tcW w:w="40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D0C844">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购房补贴</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1E74D0F">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4.69</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E0FD583">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4.69</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70FA257">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157745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7D2CB9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390AD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p>
        </w:tc>
      </w:tr>
      <w:tr w14:paraId="3F1506C0">
        <w:tblPrEx>
          <w:tblCellMar>
            <w:top w:w="0" w:type="dxa"/>
            <w:left w:w="108" w:type="dxa"/>
            <w:bottom w:w="0" w:type="dxa"/>
            <w:right w:w="108" w:type="dxa"/>
          </w:tblCellMar>
        </w:tblPrEx>
        <w:trPr>
          <w:trHeight w:val="308" w:hRule="atLeast"/>
          <w:jc w:val="center"/>
        </w:trPr>
        <w:tc>
          <w:tcPr>
            <w:tcW w:w="13930" w:type="dxa"/>
            <w:gridSpan w:val="15"/>
            <w:tcBorders>
              <w:top w:val="single" w:color="auto" w:sz="4" w:space="0"/>
              <w:left w:val="nil"/>
              <w:bottom w:val="nil"/>
              <w:right w:val="nil"/>
            </w:tcBorders>
            <w:shd w:val="clear" w:color="auto" w:fill="auto"/>
            <w:noWrap/>
            <w:vAlign w:val="center"/>
          </w:tcPr>
          <w:p w14:paraId="61D6B69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注：本表反映部门本年度各项支出情况。</w:t>
            </w:r>
          </w:p>
        </w:tc>
      </w:tr>
    </w:tbl>
    <w:p w14:paraId="353BCD6F"/>
    <w:p w14:paraId="3C27521E">
      <w:pPr>
        <w:bidi w:val="0"/>
        <w:jc w:val="center"/>
        <w:rPr>
          <w:rFonts w:hint="eastAsia" w:ascii="宋体" w:hAnsi="宋体" w:eastAsia="宋体" w:cs="宋体"/>
          <w:sz w:val="32"/>
          <w:szCs w:val="32"/>
        </w:rPr>
      </w:pPr>
    </w:p>
    <w:p w14:paraId="322F4DDE">
      <w:pPr>
        <w:bidi w:val="0"/>
        <w:jc w:val="center"/>
        <w:rPr>
          <w:rFonts w:hint="eastAsia" w:ascii="宋体" w:hAnsi="宋体" w:eastAsia="宋体" w:cs="宋体"/>
          <w:sz w:val="32"/>
          <w:szCs w:val="32"/>
        </w:rPr>
      </w:pPr>
    </w:p>
    <w:p w14:paraId="4EC12787">
      <w:pPr>
        <w:bidi w:val="0"/>
        <w:jc w:val="center"/>
        <w:rPr>
          <w:rFonts w:hint="eastAsia" w:ascii="宋体" w:hAnsi="宋体" w:eastAsia="宋体" w:cs="宋体"/>
          <w:sz w:val="32"/>
          <w:szCs w:val="32"/>
        </w:rPr>
      </w:pPr>
      <w:r>
        <w:rPr>
          <w:rFonts w:hint="eastAsia" w:ascii="宋体" w:hAnsi="宋体" w:eastAsia="宋体" w:cs="宋体"/>
          <w:sz w:val="32"/>
          <w:szCs w:val="32"/>
        </w:rPr>
        <w:t>财政拨款收入支出决算总表</w:t>
      </w:r>
    </w:p>
    <w:tbl>
      <w:tblPr>
        <w:tblStyle w:val="12"/>
        <w:tblW w:w="13958" w:type="dxa"/>
        <w:jc w:val="center"/>
        <w:tblLayout w:type="fixed"/>
        <w:tblCellMar>
          <w:top w:w="0" w:type="dxa"/>
          <w:left w:w="108" w:type="dxa"/>
          <w:bottom w:w="0" w:type="dxa"/>
          <w:right w:w="108" w:type="dxa"/>
        </w:tblCellMar>
      </w:tblPr>
      <w:tblGrid>
        <w:gridCol w:w="3147"/>
        <w:gridCol w:w="697"/>
        <w:gridCol w:w="1285"/>
        <w:gridCol w:w="3000"/>
        <w:gridCol w:w="806"/>
        <w:gridCol w:w="1171"/>
        <w:gridCol w:w="84"/>
        <w:gridCol w:w="1161"/>
        <w:gridCol w:w="94"/>
        <w:gridCol w:w="903"/>
        <w:gridCol w:w="352"/>
        <w:gridCol w:w="1258"/>
      </w:tblGrid>
      <w:tr w14:paraId="6D50A4EB">
        <w:tblPrEx>
          <w:tblCellMar>
            <w:top w:w="0" w:type="dxa"/>
            <w:left w:w="108" w:type="dxa"/>
            <w:bottom w:w="0" w:type="dxa"/>
            <w:right w:w="108" w:type="dxa"/>
          </w:tblCellMar>
        </w:tblPrEx>
        <w:trPr>
          <w:trHeight w:val="90" w:hRule="atLeast"/>
          <w:tblHeader/>
          <w:jc w:val="center"/>
        </w:trPr>
        <w:tc>
          <w:tcPr>
            <w:tcW w:w="3147" w:type="dxa"/>
            <w:tcBorders>
              <w:top w:val="nil"/>
              <w:left w:val="nil"/>
              <w:bottom w:val="nil"/>
              <w:right w:val="nil"/>
            </w:tcBorders>
            <w:shd w:val="clear" w:color="auto" w:fill="auto"/>
            <w:noWrap/>
            <w:vAlign w:val="bottom"/>
          </w:tcPr>
          <w:p w14:paraId="043DE06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color w:val="000000"/>
                <w:kern w:val="0"/>
                <w:sz w:val="22"/>
                <w:szCs w:val="22"/>
              </w:rPr>
            </w:pPr>
          </w:p>
        </w:tc>
        <w:tc>
          <w:tcPr>
            <w:tcW w:w="697" w:type="dxa"/>
            <w:tcBorders>
              <w:top w:val="nil"/>
              <w:left w:val="nil"/>
              <w:bottom w:val="nil"/>
              <w:right w:val="nil"/>
            </w:tcBorders>
            <w:shd w:val="clear" w:color="auto" w:fill="auto"/>
            <w:noWrap/>
            <w:vAlign w:val="bottom"/>
          </w:tcPr>
          <w:p w14:paraId="3D56BAB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1285" w:type="dxa"/>
            <w:tcBorders>
              <w:top w:val="nil"/>
              <w:left w:val="nil"/>
              <w:bottom w:val="nil"/>
              <w:right w:val="nil"/>
            </w:tcBorders>
            <w:shd w:val="clear" w:color="auto" w:fill="auto"/>
            <w:noWrap/>
            <w:vAlign w:val="bottom"/>
          </w:tcPr>
          <w:p w14:paraId="3D51724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3000" w:type="dxa"/>
            <w:tcBorders>
              <w:top w:val="nil"/>
              <w:left w:val="nil"/>
              <w:bottom w:val="nil"/>
              <w:right w:val="nil"/>
            </w:tcBorders>
            <w:shd w:val="clear" w:color="auto" w:fill="auto"/>
            <w:noWrap/>
            <w:vAlign w:val="bottom"/>
          </w:tcPr>
          <w:p w14:paraId="537948D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806" w:type="dxa"/>
            <w:tcBorders>
              <w:top w:val="nil"/>
              <w:left w:val="nil"/>
              <w:bottom w:val="nil"/>
              <w:right w:val="nil"/>
            </w:tcBorders>
            <w:shd w:val="clear" w:color="auto" w:fill="auto"/>
            <w:noWrap/>
            <w:vAlign w:val="bottom"/>
          </w:tcPr>
          <w:p w14:paraId="37B201C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1171" w:type="dxa"/>
            <w:tcBorders>
              <w:top w:val="nil"/>
              <w:left w:val="nil"/>
              <w:bottom w:val="nil"/>
              <w:right w:val="nil"/>
            </w:tcBorders>
            <w:shd w:val="clear" w:color="auto" w:fill="auto"/>
            <w:noWrap/>
            <w:vAlign w:val="bottom"/>
          </w:tcPr>
          <w:p w14:paraId="43ACE76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1245" w:type="dxa"/>
            <w:gridSpan w:val="2"/>
            <w:tcBorders>
              <w:top w:val="nil"/>
              <w:left w:val="nil"/>
              <w:bottom w:val="nil"/>
              <w:right w:val="nil"/>
            </w:tcBorders>
            <w:shd w:val="clear" w:color="auto" w:fill="auto"/>
            <w:noWrap/>
            <w:vAlign w:val="bottom"/>
          </w:tcPr>
          <w:p w14:paraId="49C948D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997" w:type="dxa"/>
            <w:gridSpan w:val="2"/>
            <w:tcBorders>
              <w:top w:val="nil"/>
              <w:left w:val="nil"/>
              <w:bottom w:val="nil"/>
              <w:right w:val="nil"/>
            </w:tcBorders>
            <w:shd w:val="clear" w:color="auto" w:fill="auto"/>
            <w:noWrap/>
            <w:vAlign w:val="bottom"/>
          </w:tcPr>
          <w:p w14:paraId="70E0B89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1610" w:type="dxa"/>
            <w:gridSpan w:val="2"/>
            <w:tcBorders>
              <w:top w:val="nil"/>
              <w:left w:val="nil"/>
              <w:bottom w:val="nil"/>
              <w:right w:val="nil"/>
            </w:tcBorders>
            <w:shd w:val="clear" w:color="auto" w:fill="auto"/>
            <w:noWrap/>
            <w:vAlign w:val="bottom"/>
          </w:tcPr>
          <w:p w14:paraId="6DA68D2C">
            <w:pPr>
              <w:keepNext w:val="0"/>
              <w:keepLines w:val="0"/>
              <w:pageBreakBefore w:val="0"/>
              <w:widowControl/>
              <w:kinsoku/>
              <w:wordWrap/>
              <w:overflowPunct/>
              <w:topLinePunct w:val="0"/>
              <w:autoSpaceDE/>
              <w:autoSpaceDN/>
              <w:bidi w:val="0"/>
              <w:adjustRightInd/>
              <w:snapToGrid/>
              <w:spacing w:line="400" w:lineRule="exact"/>
              <w:jc w:val="right"/>
              <w:textAlignment w:val="auto"/>
              <w:rPr>
                <w:rFonts w:ascii="宋体" w:hAnsi="宋体" w:eastAsia="宋体" w:cs="Arial"/>
                <w:color w:val="000000"/>
                <w:kern w:val="0"/>
                <w:sz w:val="22"/>
                <w:szCs w:val="22"/>
              </w:rPr>
            </w:pPr>
            <w:r>
              <w:rPr>
                <w:rFonts w:hint="eastAsia" w:ascii="宋体" w:hAnsi="宋体" w:eastAsia="宋体" w:cs="Arial"/>
                <w:color w:val="000000"/>
                <w:kern w:val="0"/>
                <w:sz w:val="22"/>
                <w:szCs w:val="22"/>
              </w:rPr>
              <w:t>公开04表</w:t>
            </w:r>
          </w:p>
        </w:tc>
      </w:tr>
      <w:tr w14:paraId="5B166309">
        <w:tblPrEx>
          <w:tblCellMar>
            <w:top w:w="0" w:type="dxa"/>
            <w:left w:w="108" w:type="dxa"/>
            <w:bottom w:w="0" w:type="dxa"/>
            <w:right w:w="108" w:type="dxa"/>
          </w:tblCellMar>
        </w:tblPrEx>
        <w:trPr>
          <w:trHeight w:val="255" w:hRule="atLeast"/>
          <w:tblHeader/>
          <w:jc w:val="center"/>
        </w:trPr>
        <w:tc>
          <w:tcPr>
            <w:tcW w:w="3844" w:type="dxa"/>
            <w:gridSpan w:val="2"/>
            <w:tcBorders>
              <w:top w:val="nil"/>
              <w:left w:val="nil"/>
              <w:bottom w:val="nil"/>
              <w:right w:val="nil"/>
            </w:tcBorders>
            <w:shd w:val="clear" w:color="auto" w:fill="auto"/>
            <w:noWrap/>
            <w:vAlign w:val="bottom"/>
          </w:tcPr>
          <w:p w14:paraId="590B0D0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color w:val="000000"/>
                <w:kern w:val="0"/>
                <w:sz w:val="22"/>
                <w:szCs w:val="22"/>
              </w:rPr>
            </w:pPr>
            <w:r>
              <w:rPr>
                <w:rFonts w:hint="eastAsia" w:ascii="宋体" w:hAnsi="宋体" w:eastAsia="宋体" w:cs="Arial"/>
                <w:color w:val="000000"/>
                <w:kern w:val="0"/>
                <w:sz w:val="22"/>
                <w:szCs w:val="22"/>
              </w:rPr>
              <w:t>部门：国家统计局吉林调查总队</w:t>
            </w:r>
          </w:p>
        </w:tc>
        <w:tc>
          <w:tcPr>
            <w:tcW w:w="1285" w:type="dxa"/>
            <w:tcBorders>
              <w:top w:val="nil"/>
              <w:left w:val="nil"/>
              <w:bottom w:val="nil"/>
              <w:right w:val="nil"/>
            </w:tcBorders>
            <w:shd w:val="clear" w:color="auto" w:fill="auto"/>
            <w:noWrap/>
            <w:vAlign w:val="bottom"/>
          </w:tcPr>
          <w:p w14:paraId="030C729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3000" w:type="dxa"/>
            <w:tcBorders>
              <w:top w:val="nil"/>
              <w:left w:val="nil"/>
              <w:bottom w:val="nil"/>
              <w:right w:val="nil"/>
            </w:tcBorders>
            <w:shd w:val="clear" w:color="auto" w:fill="auto"/>
            <w:noWrap/>
            <w:vAlign w:val="bottom"/>
          </w:tcPr>
          <w:p w14:paraId="4425C6F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806" w:type="dxa"/>
            <w:tcBorders>
              <w:top w:val="nil"/>
              <w:left w:val="nil"/>
              <w:bottom w:val="nil"/>
              <w:right w:val="nil"/>
            </w:tcBorders>
            <w:shd w:val="clear" w:color="auto" w:fill="auto"/>
            <w:noWrap/>
            <w:vAlign w:val="bottom"/>
          </w:tcPr>
          <w:p w14:paraId="3631EE2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1171" w:type="dxa"/>
            <w:tcBorders>
              <w:top w:val="nil"/>
              <w:left w:val="nil"/>
              <w:bottom w:val="nil"/>
              <w:right w:val="nil"/>
            </w:tcBorders>
            <w:shd w:val="clear" w:color="auto" w:fill="auto"/>
            <w:noWrap/>
            <w:vAlign w:val="bottom"/>
          </w:tcPr>
          <w:p w14:paraId="2DE765F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1245" w:type="dxa"/>
            <w:gridSpan w:val="2"/>
            <w:tcBorders>
              <w:top w:val="nil"/>
              <w:left w:val="nil"/>
              <w:bottom w:val="nil"/>
              <w:right w:val="nil"/>
            </w:tcBorders>
            <w:shd w:val="clear" w:color="auto" w:fill="auto"/>
            <w:noWrap/>
            <w:vAlign w:val="bottom"/>
          </w:tcPr>
          <w:p w14:paraId="2276C0A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Times New Roman" w:cs="Times New Roman"/>
                <w:kern w:val="0"/>
                <w:sz w:val="22"/>
                <w:szCs w:val="22"/>
              </w:rPr>
            </w:pPr>
          </w:p>
        </w:tc>
        <w:tc>
          <w:tcPr>
            <w:tcW w:w="2607" w:type="dxa"/>
            <w:gridSpan w:val="4"/>
            <w:tcBorders>
              <w:top w:val="nil"/>
              <w:left w:val="nil"/>
              <w:bottom w:val="nil"/>
              <w:right w:val="nil"/>
            </w:tcBorders>
            <w:shd w:val="clear" w:color="auto" w:fill="auto"/>
            <w:noWrap/>
            <w:vAlign w:val="bottom"/>
          </w:tcPr>
          <w:p w14:paraId="7ACAB084">
            <w:pPr>
              <w:keepNext w:val="0"/>
              <w:keepLines w:val="0"/>
              <w:pageBreakBefore w:val="0"/>
              <w:widowControl/>
              <w:kinsoku/>
              <w:wordWrap/>
              <w:overflowPunct/>
              <w:topLinePunct w:val="0"/>
              <w:autoSpaceDE/>
              <w:autoSpaceDN/>
              <w:bidi w:val="0"/>
              <w:adjustRightInd/>
              <w:snapToGrid/>
              <w:spacing w:line="400" w:lineRule="exact"/>
              <w:jc w:val="right"/>
              <w:textAlignment w:val="auto"/>
              <w:rPr>
                <w:rFonts w:ascii="宋体" w:hAnsi="宋体" w:eastAsia="宋体" w:cs="Arial"/>
                <w:color w:val="000000"/>
                <w:kern w:val="0"/>
                <w:sz w:val="22"/>
                <w:szCs w:val="22"/>
              </w:rPr>
            </w:pPr>
            <w:r>
              <w:rPr>
                <w:rFonts w:hint="eastAsia" w:ascii="宋体" w:hAnsi="宋体" w:eastAsia="宋体" w:cs="Arial"/>
                <w:color w:val="000000"/>
                <w:kern w:val="0"/>
                <w:sz w:val="22"/>
                <w:szCs w:val="22"/>
              </w:rPr>
              <w:t>金额单位：万元</w:t>
            </w:r>
          </w:p>
        </w:tc>
      </w:tr>
      <w:tr w14:paraId="7090289B">
        <w:tblPrEx>
          <w:tblCellMar>
            <w:top w:w="0" w:type="dxa"/>
            <w:left w:w="108" w:type="dxa"/>
            <w:bottom w:w="0" w:type="dxa"/>
            <w:right w:w="108" w:type="dxa"/>
          </w:tblCellMar>
        </w:tblPrEx>
        <w:trPr>
          <w:trHeight w:val="308" w:hRule="atLeast"/>
          <w:tblHeader/>
          <w:jc w:val="center"/>
        </w:trPr>
        <w:tc>
          <w:tcPr>
            <w:tcW w:w="5129" w:type="dxa"/>
            <w:gridSpan w:val="3"/>
            <w:tcBorders>
              <w:top w:val="single" w:color="000000" w:sz="4" w:space="0"/>
              <w:left w:val="single" w:color="000000" w:sz="4" w:space="0"/>
              <w:bottom w:val="single" w:color="000000" w:sz="4" w:space="0"/>
              <w:right w:val="single" w:color="000000" w:sz="4" w:space="0"/>
            </w:tcBorders>
            <w:shd w:val="clear" w:color="FFFFFF" w:fill="auto"/>
            <w:noWrap/>
            <w:vAlign w:val="center"/>
          </w:tcPr>
          <w:p w14:paraId="495AC80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r>
              <w:rPr>
                <w:rFonts w:hint="eastAsia" w:ascii="宋体" w:hAnsi="宋体" w:eastAsia="宋体" w:cs="Arial"/>
                <w:color w:val="000000"/>
                <w:kern w:val="0"/>
                <w:sz w:val="22"/>
              </w:rPr>
              <w:t>收     入</w:t>
            </w:r>
          </w:p>
        </w:tc>
        <w:tc>
          <w:tcPr>
            <w:tcW w:w="8829" w:type="dxa"/>
            <w:gridSpan w:val="9"/>
            <w:tcBorders>
              <w:top w:val="single" w:color="000000" w:sz="4" w:space="0"/>
              <w:left w:val="nil"/>
              <w:bottom w:val="single" w:color="000000" w:sz="4" w:space="0"/>
              <w:right w:val="single" w:color="000000" w:sz="4" w:space="0"/>
            </w:tcBorders>
            <w:shd w:val="clear" w:color="FFFFFF" w:fill="auto"/>
            <w:noWrap/>
            <w:vAlign w:val="center"/>
          </w:tcPr>
          <w:p w14:paraId="7E1B7C8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r>
              <w:rPr>
                <w:rFonts w:hint="eastAsia" w:ascii="宋体" w:hAnsi="宋体" w:eastAsia="宋体" w:cs="Arial"/>
                <w:color w:val="000000"/>
                <w:kern w:val="0"/>
                <w:sz w:val="22"/>
              </w:rPr>
              <w:t>支     出</w:t>
            </w:r>
          </w:p>
        </w:tc>
      </w:tr>
      <w:tr w14:paraId="74B41B14">
        <w:tblPrEx>
          <w:tblCellMar>
            <w:top w:w="0" w:type="dxa"/>
            <w:left w:w="108" w:type="dxa"/>
            <w:bottom w:w="0" w:type="dxa"/>
            <w:right w:w="108" w:type="dxa"/>
          </w:tblCellMar>
        </w:tblPrEx>
        <w:trPr>
          <w:trHeight w:val="312" w:hRule="atLeast"/>
          <w:tblHeader/>
          <w:jc w:val="center"/>
        </w:trPr>
        <w:tc>
          <w:tcPr>
            <w:tcW w:w="3147" w:type="dxa"/>
            <w:vMerge w:val="restart"/>
            <w:tcBorders>
              <w:top w:val="nil"/>
              <w:left w:val="single" w:color="000000" w:sz="4" w:space="0"/>
              <w:bottom w:val="single" w:color="000000" w:sz="4" w:space="0"/>
              <w:right w:val="single" w:color="000000" w:sz="4" w:space="0"/>
            </w:tcBorders>
            <w:shd w:val="clear" w:color="FFFFFF" w:fill="auto"/>
            <w:vAlign w:val="center"/>
          </w:tcPr>
          <w:p w14:paraId="10F9AE8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697" w:type="dxa"/>
            <w:vMerge w:val="restart"/>
            <w:tcBorders>
              <w:top w:val="nil"/>
              <w:left w:val="nil"/>
              <w:bottom w:val="single" w:color="000000" w:sz="4" w:space="0"/>
              <w:right w:val="single" w:color="000000" w:sz="4" w:space="0"/>
            </w:tcBorders>
            <w:shd w:val="clear" w:color="FFFFFF" w:fill="auto"/>
            <w:vAlign w:val="center"/>
          </w:tcPr>
          <w:p w14:paraId="5DF07D2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r>
              <w:rPr>
                <w:rFonts w:hint="eastAsia" w:ascii="宋体" w:hAnsi="宋体" w:eastAsia="宋体" w:cs="Arial"/>
                <w:color w:val="000000"/>
                <w:kern w:val="0"/>
                <w:sz w:val="22"/>
              </w:rPr>
              <w:t>行次</w:t>
            </w:r>
          </w:p>
        </w:tc>
        <w:tc>
          <w:tcPr>
            <w:tcW w:w="1285" w:type="dxa"/>
            <w:vMerge w:val="restart"/>
            <w:tcBorders>
              <w:top w:val="nil"/>
              <w:left w:val="nil"/>
              <w:bottom w:val="single" w:color="000000" w:sz="4" w:space="0"/>
              <w:right w:val="single" w:color="000000" w:sz="4" w:space="0"/>
            </w:tcBorders>
            <w:shd w:val="clear" w:color="FFFFFF" w:fill="auto"/>
            <w:vAlign w:val="center"/>
          </w:tcPr>
          <w:p w14:paraId="17A8251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r>
              <w:rPr>
                <w:rFonts w:hint="eastAsia" w:ascii="宋体" w:hAnsi="宋体" w:eastAsia="宋体" w:cs="Arial"/>
                <w:color w:val="000000"/>
                <w:kern w:val="0"/>
                <w:sz w:val="22"/>
              </w:rPr>
              <w:t>金额</w:t>
            </w:r>
          </w:p>
        </w:tc>
        <w:tc>
          <w:tcPr>
            <w:tcW w:w="3000" w:type="dxa"/>
            <w:vMerge w:val="restart"/>
            <w:tcBorders>
              <w:top w:val="nil"/>
              <w:left w:val="nil"/>
              <w:bottom w:val="single" w:color="000000" w:sz="4" w:space="0"/>
              <w:right w:val="single" w:color="000000" w:sz="4" w:space="0"/>
            </w:tcBorders>
            <w:shd w:val="clear" w:color="FFFFFF" w:fill="auto"/>
            <w:vAlign w:val="center"/>
          </w:tcPr>
          <w:p w14:paraId="2CF9EFA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806" w:type="dxa"/>
            <w:vMerge w:val="restart"/>
            <w:tcBorders>
              <w:top w:val="nil"/>
              <w:left w:val="nil"/>
              <w:bottom w:val="single" w:color="000000" w:sz="4" w:space="0"/>
              <w:right w:val="single" w:color="000000" w:sz="4" w:space="0"/>
            </w:tcBorders>
            <w:shd w:val="clear" w:color="FFFFFF" w:fill="auto"/>
            <w:vAlign w:val="center"/>
          </w:tcPr>
          <w:p w14:paraId="13B77E9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r>
              <w:rPr>
                <w:rFonts w:hint="eastAsia" w:ascii="宋体" w:hAnsi="宋体" w:eastAsia="宋体" w:cs="Arial"/>
                <w:color w:val="000000"/>
                <w:kern w:val="0"/>
                <w:sz w:val="22"/>
              </w:rPr>
              <w:t>行次</w:t>
            </w:r>
          </w:p>
        </w:tc>
        <w:tc>
          <w:tcPr>
            <w:tcW w:w="1255" w:type="dxa"/>
            <w:gridSpan w:val="2"/>
            <w:vMerge w:val="restart"/>
            <w:tcBorders>
              <w:top w:val="nil"/>
              <w:left w:val="nil"/>
              <w:bottom w:val="single" w:color="000000" w:sz="4" w:space="0"/>
              <w:right w:val="single" w:color="000000" w:sz="4" w:space="0"/>
            </w:tcBorders>
            <w:shd w:val="clear" w:color="FFFFFF" w:fill="auto"/>
            <w:noWrap/>
            <w:vAlign w:val="center"/>
          </w:tcPr>
          <w:p w14:paraId="498B609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255" w:type="dxa"/>
            <w:gridSpan w:val="2"/>
            <w:vMerge w:val="restart"/>
            <w:tcBorders>
              <w:top w:val="nil"/>
              <w:left w:val="nil"/>
              <w:bottom w:val="single" w:color="000000" w:sz="4" w:space="0"/>
              <w:right w:val="single" w:color="000000" w:sz="4" w:space="0"/>
            </w:tcBorders>
            <w:shd w:val="clear" w:color="FFFFFF" w:fill="auto"/>
            <w:vAlign w:val="center"/>
          </w:tcPr>
          <w:p w14:paraId="6672718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r>
              <w:rPr>
                <w:rFonts w:hint="eastAsia" w:ascii="宋体" w:hAnsi="宋体" w:eastAsia="宋体" w:cs="Arial"/>
                <w:color w:val="000000"/>
                <w:kern w:val="0"/>
                <w:sz w:val="22"/>
              </w:rPr>
              <w:t>一般公共预算财政拨款</w:t>
            </w:r>
          </w:p>
        </w:tc>
        <w:tc>
          <w:tcPr>
            <w:tcW w:w="1255" w:type="dxa"/>
            <w:gridSpan w:val="2"/>
            <w:vMerge w:val="restart"/>
            <w:tcBorders>
              <w:top w:val="nil"/>
              <w:left w:val="nil"/>
              <w:bottom w:val="single" w:color="000000" w:sz="4" w:space="0"/>
              <w:right w:val="single" w:color="000000" w:sz="4" w:space="0"/>
            </w:tcBorders>
            <w:shd w:val="clear" w:color="FFFFFF" w:fill="auto"/>
            <w:vAlign w:val="center"/>
          </w:tcPr>
          <w:p w14:paraId="0207507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r>
              <w:rPr>
                <w:rFonts w:hint="eastAsia" w:ascii="宋体" w:hAnsi="宋体" w:eastAsia="宋体" w:cs="Arial"/>
                <w:color w:val="000000"/>
                <w:kern w:val="0"/>
                <w:sz w:val="22"/>
              </w:rPr>
              <w:t>政府性基金预算财政拨款</w:t>
            </w:r>
          </w:p>
        </w:tc>
        <w:tc>
          <w:tcPr>
            <w:tcW w:w="1258" w:type="dxa"/>
            <w:vMerge w:val="restart"/>
            <w:tcBorders>
              <w:top w:val="nil"/>
              <w:left w:val="nil"/>
              <w:bottom w:val="single" w:color="000000" w:sz="4" w:space="0"/>
              <w:right w:val="single" w:color="000000" w:sz="4" w:space="0"/>
            </w:tcBorders>
            <w:shd w:val="clear" w:color="FFFFFF" w:fill="auto"/>
            <w:vAlign w:val="center"/>
          </w:tcPr>
          <w:p w14:paraId="40F79AD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r>
              <w:rPr>
                <w:rFonts w:hint="eastAsia" w:ascii="宋体" w:hAnsi="宋体" w:eastAsia="宋体" w:cs="Arial"/>
                <w:color w:val="000000"/>
                <w:kern w:val="0"/>
                <w:sz w:val="22"/>
              </w:rPr>
              <w:t>国有资本经营预算财政拨款</w:t>
            </w:r>
          </w:p>
        </w:tc>
      </w:tr>
      <w:tr w14:paraId="13A516CF">
        <w:tblPrEx>
          <w:tblCellMar>
            <w:top w:w="0" w:type="dxa"/>
            <w:left w:w="108" w:type="dxa"/>
            <w:bottom w:w="0" w:type="dxa"/>
            <w:right w:w="108" w:type="dxa"/>
          </w:tblCellMar>
        </w:tblPrEx>
        <w:trPr>
          <w:trHeight w:val="615" w:hRule="atLeast"/>
          <w:tblHeader/>
          <w:jc w:val="center"/>
        </w:trPr>
        <w:tc>
          <w:tcPr>
            <w:tcW w:w="3147" w:type="dxa"/>
            <w:vMerge w:val="continue"/>
            <w:tcBorders>
              <w:top w:val="nil"/>
              <w:left w:val="single" w:color="000000" w:sz="4" w:space="0"/>
              <w:bottom w:val="single" w:color="000000" w:sz="4" w:space="0"/>
              <w:right w:val="single" w:color="000000" w:sz="4" w:space="0"/>
            </w:tcBorders>
            <w:shd w:val="clear" w:color="FFFFFF" w:fill="auto"/>
            <w:vAlign w:val="center"/>
          </w:tcPr>
          <w:p w14:paraId="27301E7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697" w:type="dxa"/>
            <w:vMerge w:val="continue"/>
            <w:tcBorders>
              <w:top w:val="nil"/>
              <w:left w:val="nil"/>
              <w:bottom w:val="single" w:color="000000" w:sz="4" w:space="0"/>
              <w:right w:val="single" w:color="000000" w:sz="4" w:space="0"/>
            </w:tcBorders>
            <w:shd w:val="clear" w:color="FFFFFF" w:fill="auto"/>
            <w:vAlign w:val="center"/>
          </w:tcPr>
          <w:p w14:paraId="0DD3223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1285" w:type="dxa"/>
            <w:vMerge w:val="continue"/>
            <w:tcBorders>
              <w:top w:val="nil"/>
              <w:left w:val="nil"/>
              <w:bottom w:val="single" w:color="000000" w:sz="4" w:space="0"/>
              <w:right w:val="single" w:color="000000" w:sz="4" w:space="0"/>
            </w:tcBorders>
            <w:shd w:val="clear" w:color="FFFFFF" w:fill="auto"/>
            <w:vAlign w:val="center"/>
          </w:tcPr>
          <w:p w14:paraId="37C20FF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3000" w:type="dxa"/>
            <w:vMerge w:val="continue"/>
            <w:tcBorders>
              <w:top w:val="nil"/>
              <w:left w:val="nil"/>
              <w:bottom w:val="single" w:color="000000" w:sz="4" w:space="0"/>
              <w:right w:val="single" w:color="000000" w:sz="4" w:space="0"/>
            </w:tcBorders>
            <w:shd w:val="clear" w:color="FFFFFF" w:fill="auto"/>
            <w:vAlign w:val="center"/>
          </w:tcPr>
          <w:p w14:paraId="41862E5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806" w:type="dxa"/>
            <w:vMerge w:val="continue"/>
            <w:tcBorders>
              <w:top w:val="nil"/>
              <w:left w:val="nil"/>
              <w:bottom w:val="single" w:color="000000" w:sz="4" w:space="0"/>
              <w:right w:val="single" w:color="000000" w:sz="4" w:space="0"/>
            </w:tcBorders>
            <w:shd w:val="clear" w:color="FFFFFF" w:fill="auto"/>
            <w:vAlign w:val="center"/>
          </w:tcPr>
          <w:p w14:paraId="63FF8D7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1255" w:type="dxa"/>
            <w:gridSpan w:val="2"/>
            <w:vMerge w:val="continue"/>
            <w:tcBorders>
              <w:top w:val="nil"/>
              <w:left w:val="nil"/>
              <w:bottom w:val="single" w:color="000000" w:sz="4" w:space="0"/>
              <w:right w:val="single" w:color="000000" w:sz="4" w:space="0"/>
            </w:tcBorders>
            <w:shd w:val="clear" w:color="FFFFFF" w:fill="auto"/>
            <w:vAlign w:val="center"/>
          </w:tcPr>
          <w:p w14:paraId="6B4B948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1255" w:type="dxa"/>
            <w:gridSpan w:val="2"/>
            <w:vMerge w:val="continue"/>
            <w:tcBorders>
              <w:top w:val="nil"/>
              <w:left w:val="nil"/>
              <w:bottom w:val="single" w:color="000000" w:sz="4" w:space="0"/>
              <w:right w:val="single" w:color="000000" w:sz="4" w:space="0"/>
            </w:tcBorders>
            <w:shd w:val="clear" w:color="FFFFFF" w:fill="auto"/>
            <w:vAlign w:val="center"/>
          </w:tcPr>
          <w:p w14:paraId="3B2771B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1255" w:type="dxa"/>
            <w:gridSpan w:val="2"/>
            <w:vMerge w:val="continue"/>
            <w:tcBorders>
              <w:top w:val="nil"/>
              <w:left w:val="nil"/>
              <w:bottom w:val="single" w:color="000000" w:sz="4" w:space="0"/>
              <w:right w:val="single" w:color="000000" w:sz="4" w:space="0"/>
            </w:tcBorders>
            <w:shd w:val="clear" w:color="FFFFFF" w:fill="auto"/>
            <w:vAlign w:val="center"/>
          </w:tcPr>
          <w:p w14:paraId="21C7984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c>
          <w:tcPr>
            <w:tcW w:w="1258" w:type="dxa"/>
            <w:vMerge w:val="continue"/>
            <w:tcBorders>
              <w:top w:val="nil"/>
              <w:left w:val="nil"/>
              <w:bottom w:val="single" w:color="000000" w:sz="4" w:space="0"/>
              <w:right w:val="single" w:color="000000" w:sz="4" w:space="0"/>
            </w:tcBorders>
            <w:shd w:val="clear" w:color="FFFFFF" w:fill="auto"/>
            <w:vAlign w:val="center"/>
          </w:tcPr>
          <w:p w14:paraId="551AF37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color w:val="000000"/>
                <w:kern w:val="0"/>
                <w:sz w:val="22"/>
              </w:rPr>
            </w:pPr>
          </w:p>
        </w:tc>
      </w:tr>
      <w:tr w14:paraId="19C2EDF4">
        <w:tblPrEx>
          <w:tblCellMar>
            <w:top w:w="0" w:type="dxa"/>
            <w:left w:w="108" w:type="dxa"/>
            <w:bottom w:w="0" w:type="dxa"/>
            <w:right w:w="108" w:type="dxa"/>
          </w:tblCellMar>
        </w:tblPrEx>
        <w:trPr>
          <w:trHeight w:val="308" w:hRule="atLeast"/>
          <w:tblHeader/>
          <w:jc w:val="center"/>
        </w:trPr>
        <w:tc>
          <w:tcPr>
            <w:tcW w:w="3147" w:type="dxa"/>
            <w:tcBorders>
              <w:top w:val="nil"/>
              <w:left w:val="single" w:color="000000" w:sz="4" w:space="0"/>
              <w:bottom w:val="single" w:color="000000" w:sz="4" w:space="0"/>
              <w:right w:val="single" w:color="000000" w:sz="4" w:space="0"/>
            </w:tcBorders>
            <w:shd w:val="clear" w:color="FFFFFF" w:fill="auto"/>
            <w:noWrap/>
            <w:vAlign w:val="center"/>
          </w:tcPr>
          <w:p w14:paraId="6D37A02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栏次</w:t>
            </w:r>
          </w:p>
        </w:tc>
        <w:tc>
          <w:tcPr>
            <w:tcW w:w="697" w:type="dxa"/>
            <w:tcBorders>
              <w:top w:val="nil"/>
              <w:left w:val="nil"/>
              <w:bottom w:val="single" w:color="000000" w:sz="4" w:space="0"/>
              <w:right w:val="single" w:color="000000" w:sz="4" w:space="0"/>
            </w:tcBorders>
            <w:shd w:val="clear" w:color="FFFFFF" w:fill="auto"/>
            <w:noWrap/>
            <w:vAlign w:val="center"/>
          </w:tcPr>
          <w:p w14:paraId="4EB8376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p>
        </w:tc>
        <w:tc>
          <w:tcPr>
            <w:tcW w:w="1285" w:type="dxa"/>
            <w:tcBorders>
              <w:top w:val="nil"/>
              <w:left w:val="nil"/>
              <w:bottom w:val="single" w:color="000000" w:sz="4" w:space="0"/>
              <w:right w:val="single" w:color="000000" w:sz="4" w:space="0"/>
            </w:tcBorders>
            <w:shd w:val="clear" w:color="FFFFFF" w:fill="auto"/>
            <w:noWrap/>
            <w:vAlign w:val="center"/>
          </w:tcPr>
          <w:p w14:paraId="7EF850D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1</w:t>
            </w:r>
          </w:p>
        </w:tc>
        <w:tc>
          <w:tcPr>
            <w:tcW w:w="3000" w:type="dxa"/>
            <w:tcBorders>
              <w:top w:val="nil"/>
              <w:left w:val="nil"/>
              <w:bottom w:val="single" w:color="000000" w:sz="4" w:space="0"/>
              <w:right w:val="single" w:color="000000" w:sz="4" w:space="0"/>
            </w:tcBorders>
            <w:shd w:val="clear" w:color="FFFFFF" w:fill="auto"/>
            <w:noWrap/>
            <w:vAlign w:val="center"/>
          </w:tcPr>
          <w:p w14:paraId="1DBAE56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栏次</w:t>
            </w:r>
          </w:p>
        </w:tc>
        <w:tc>
          <w:tcPr>
            <w:tcW w:w="806" w:type="dxa"/>
            <w:tcBorders>
              <w:top w:val="nil"/>
              <w:left w:val="nil"/>
              <w:bottom w:val="single" w:color="000000" w:sz="4" w:space="0"/>
              <w:right w:val="single" w:color="000000" w:sz="4" w:space="0"/>
            </w:tcBorders>
            <w:shd w:val="clear" w:color="FFFFFF" w:fill="auto"/>
            <w:noWrap/>
            <w:vAlign w:val="center"/>
          </w:tcPr>
          <w:p w14:paraId="55F5545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p>
        </w:tc>
        <w:tc>
          <w:tcPr>
            <w:tcW w:w="1255" w:type="dxa"/>
            <w:gridSpan w:val="2"/>
            <w:tcBorders>
              <w:top w:val="nil"/>
              <w:left w:val="nil"/>
              <w:bottom w:val="single" w:color="000000" w:sz="4" w:space="0"/>
              <w:right w:val="single" w:color="000000" w:sz="4" w:space="0"/>
            </w:tcBorders>
            <w:shd w:val="clear" w:color="FFFFFF" w:fill="auto"/>
            <w:noWrap/>
            <w:vAlign w:val="center"/>
          </w:tcPr>
          <w:p w14:paraId="3F00749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2</w:t>
            </w:r>
          </w:p>
        </w:tc>
        <w:tc>
          <w:tcPr>
            <w:tcW w:w="1255" w:type="dxa"/>
            <w:gridSpan w:val="2"/>
            <w:tcBorders>
              <w:top w:val="nil"/>
              <w:left w:val="nil"/>
              <w:bottom w:val="single" w:color="000000" w:sz="4" w:space="0"/>
              <w:right w:val="single" w:color="000000" w:sz="4" w:space="0"/>
            </w:tcBorders>
            <w:shd w:val="clear" w:color="FFFFFF" w:fill="auto"/>
            <w:noWrap/>
            <w:vAlign w:val="center"/>
          </w:tcPr>
          <w:p w14:paraId="7ABE6AD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3</w:t>
            </w:r>
          </w:p>
        </w:tc>
        <w:tc>
          <w:tcPr>
            <w:tcW w:w="1255" w:type="dxa"/>
            <w:gridSpan w:val="2"/>
            <w:tcBorders>
              <w:top w:val="nil"/>
              <w:left w:val="nil"/>
              <w:bottom w:val="single" w:color="000000" w:sz="4" w:space="0"/>
              <w:right w:val="single" w:color="000000" w:sz="4" w:space="0"/>
            </w:tcBorders>
            <w:shd w:val="clear" w:color="FFFFFF" w:fill="auto"/>
            <w:noWrap/>
            <w:vAlign w:val="center"/>
          </w:tcPr>
          <w:p w14:paraId="7817BFD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4</w:t>
            </w:r>
          </w:p>
        </w:tc>
        <w:tc>
          <w:tcPr>
            <w:tcW w:w="1258" w:type="dxa"/>
            <w:tcBorders>
              <w:top w:val="nil"/>
              <w:left w:val="nil"/>
              <w:bottom w:val="single" w:color="000000" w:sz="4" w:space="0"/>
              <w:right w:val="single" w:color="000000" w:sz="4" w:space="0"/>
            </w:tcBorders>
            <w:shd w:val="clear" w:color="FFFFFF" w:fill="auto"/>
            <w:noWrap/>
            <w:vAlign w:val="center"/>
          </w:tcPr>
          <w:p w14:paraId="642457F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5</w:t>
            </w:r>
          </w:p>
        </w:tc>
      </w:tr>
      <w:tr w14:paraId="781688F7">
        <w:tblPrEx>
          <w:tblCellMar>
            <w:top w:w="0" w:type="dxa"/>
            <w:left w:w="108" w:type="dxa"/>
            <w:bottom w:w="0" w:type="dxa"/>
            <w:right w:w="108" w:type="dxa"/>
          </w:tblCellMar>
        </w:tblPrEx>
        <w:trPr>
          <w:trHeight w:val="308" w:hRule="atLeast"/>
          <w:jc w:val="center"/>
        </w:trPr>
        <w:tc>
          <w:tcPr>
            <w:tcW w:w="3147" w:type="dxa"/>
            <w:tcBorders>
              <w:top w:val="nil"/>
              <w:left w:val="single" w:color="000000" w:sz="4" w:space="0"/>
              <w:bottom w:val="single" w:color="000000" w:sz="4" w:space="0"/>
              <w:right w:val="single" w:color="000000" w:sz="4" w:space="0"/>
            </w:tcBorders>
            <w:shd w:val="clear" w:color="FFFFFF" w:fill="auto"/>
            <w:noWrap/>
            <w:vAlign w:val="center"/>
          </w:tcPr>
          <w:p w14:paraId="3EF0813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一、一般公共预算财政拨款</w:t>
            </w:r>
          </w:p>
        </w:tc>
        <w:tc>
          <w:tcPr>
            <w:tcW w:w="697" w:type="dxa"/>
            <w:tcBorders>
              <w:top w:val="nil"/>
              <w:left w:val="nil"/>
              <w:bottom w:val="single" w:color="000000" w:sz="4" w:space="0"/>
              <w:right w:val="single" w:color="000000" w:sz="4" w:space="0"/>
            </w:tcBorders>
            <w:shd w:val="clear" w:color="FFFFFF" w:fill="auto"/>
            <w:noWrap/>
            <w:vAlign w:val="center"/>
          </w:tcPr>
          <w:p w14:paraId="3021EF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1</w:t>
            </w:r>
          </w:p>
        </w:tc>
        <w:tc>
          <w:tcPr>
            <w:tcW w:w="1285" w:type="dxa"/>
            <w:tcBorders>
              <w:top w:val="nil"/>
              <w:left w:val="nil"/>
              <w:bottom w:val="single" w:color="000000" w:sz="4" w:space="0"/>
              <w:right w:val="single" w:color="000000" w:sz="4" w:space="0"/>
            </w:tcBorders>
            <w:shd w:val="clear" w:color="FFFFFF" w:fill="auto"/>
            <w:noWrap/>
            <w:vAlign w:val="center"/>
          </w:tcPr>
          <w:p w14:paraId="5F71F3E5">
            <w:pPr>
              <w:keepNext w:val="0"/>
              <w:keepLines w:val="0"/>
              <w:widowControl/>
              <w:suppressLineNumbers w:val="0"/>
              <w:jc w:val="right"/>
              <w:textAlignment w:val="center"/>
              <w:rPr>
                <w:rFonts w:hint="default"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11,542.91</w:t>
            </w:r>
          </w:p>
        </w:tc>
        <w:tc>
          <w:tcPr>
            <w:tcW w:w="3000" w:type="dxa"/>
            <w:tcBorders>
              <w:top w:val="nil"/>
              <w:left w:val="nil"/>
              <w:bottom w:val="single" w:color="000000" w:sz="4" w:space="0"/>
              <w:right w:val="single" w:color="000000" w:sz="4" w:space="0"/>
            </w:tcBorders>
            <w:shd w:val="clear" w:color="FFFFFF" w:fill="auto"/>
            <w:noWrap/>
            <w:vAlign w:val="center"/>
          </w:tcPr>
          <w:p w14:paraId="4AEC31C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一、一般公共服务支出</w:t>
            </w:r>
          </w:p>
        </w:tc>
        <w:tc>
          <w:tcPr>
            <w:tcW w:w="806" w:type="dxa"/>
            <w:tcBorders>
              <w:top w:val="nil"/>
              <w:left w:val="nil"/>
              <w:bottom w:val="single" w:color="000000" w:sz="4" w:space="0"/>
              <w:right w:val="single" w:color="000000" w:sz="4" w:space="0"/>
            </w:tcBorders>
            <w:shd w:val="clear" w:color="FFFFFF" w:fill="auto"/>
            <w:noWrap/>
            <w:vAlign w:val="center"/>
          </w:tcPr>
          <w:p w14:paraId="1D1062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11</w:t>
            </w:r>
          </w:p>
        </w:tc>
        <w:tc>
          <w:tcPr>
            <w:tcW w:w="1255" w:type="dxa"/>
            <w:gridSpan w:val="2"/>
            <w:tcBorders>
              <w:top w:val="nil"/>
              <w:left w:val="nil"/>
              <w:bottom w:val="single" w:color="000000" w:sz="4" w:space="0"/>
              <w:right w:val="single" w:color="000000" w:sz="4" w:space="0"/>
            </w:tcBorders>
            <w:shd w:val="clear" w:color="FFFFFF" w:fill="auto"/>
            <w:noWrap/>
            <w:vAlign w:val="center"/>
          </w:tcPr>
          <w:p w14:paraId="3BFE4C6A">
            <w:pPr>
              <w:keepNext w:val="0"/>
              <w:keepLines w:val="0"/>
              <w:widowControl/>
              <w:suppressLineNumbers w:val="0"/>
              <w:jc w:val="right"/>
              <w:textAlignment w:val="center"/>
              <w:rPr>
                <w:rFonts w:hint="default" w:ascii="宋体" w:hAnsi="宋体" w:eastAsia="宋体" w:cs="Arial"/>
                <w:b w:val="0"/>
                <w:bCs w:val="0"/>
                <w:color w:val="000000"/>
                <w:kern w:val="0"/>
                <w:sz w:val="22"/>
                <w:lang w:val="en-US"/>
              </w:rPr>
            </w:pPr>
            <w:r>
              <w:rPr>
                <w:rFonts w:hint="eastAsia" w:ascii="宋体" w:hAnsi="宋体" w:eastAsia="宋体" w:cs="宋体"/>
                <w:i w:val="0"/>
                <w:iCs w:val="0"/>
                <w:color w:val="000000"/>
                <w:kern w:val="0"/>
                <w:sz w:val="22"/>
                <w:szCs w:val="22"/>
                <w:u w:val="none"/>
                <w:lang w:val="en-US" w:eastAsia="zh-CN" w:bidi="ar"/>
              </w:rPr>
              <w:t>9,140.81</w:t>
            </w:r>
          </w:p>
        </w:tc>
        <w:tc>
          <w:tcPr>
            <w:tcW w:w="1255" w:type="dxa"/>
            <w:gridSpan w:val="2"/>
            <w:tcBorders>
              <w:top w:val="nil"/>
              <w:left w:val="nil"/>
              <w:bottom w:val="single" w:color="000000" w:sz="4" w:space="0"/>
              <w:right w:val="single" w:color="000000" w:sz="4" w:space="0"/>
            </w:tcBorders>
            <w:shd w:val="clear" w:color="FFFFFF" w:fill="auto"/>
            <w:noWrap/>
            <w:vAlign w:val="center"/>
          </w:tcPr>
          <w:p w14:paraId="7EB6AC25">
            <w:pPr>
              <w:keepNext w:val="0"/>
              <w:keepLines w:val="0"/>
              <w:widowControl/>
              <w:suppressLineNumbers w:val="0"/>
              <w:jc w:val="right"/>
              <w:textAlignment w:val="center"/>
              <w:rPr>
                <w:rFonts w:ascii="宋体" w:hAnsi="宋体" w:eastAsia="宋体" w:cs="Arial"/>
                <w:b w:val="0"/>
                <w:bCs w:val="0"/>
                <w:color w:val="000000"/>
                <w:kern w:val="0"/>
                <w:sz w:val="22"/>
              </w:rPr>
            </w:pPr>
            <w:r>
              <w:rPr>
                <w:rFonts w:hint="eastAsia" w:ascii="宋体" w:hAnsi="宋体" w:eastAsia="宋体" w:cs="宋体"/>
                <w:i w:val="0"/>
                <w:iCs w:val="0"/>
                <w:color w:val="000000"/>
                <w:kern w:val="0"/>
                <w:sz w:val="22"/>
                <w:szCs w:val="22"/>
                <w:u w:val="none"/>
                <w:lang w:val="en-US" w:eastAsia="zh-CN" w:bidi="ar"/>
              </w:rPr>
              <w:t>9,140.81</w:t>
            </w:r>
          </w:p>
        </w:tc>
        <w:tc>
          <w:tcPr>
            <w:tcW w:w="1255" w:type="dxa"/>
            <w:gridSpan w:val="2"/>
            <w:tcBorders>
              <w:top w:val="nil"/>
              <w:left w:val="nil"/>
              <w:bottom w:val="single" w:color="000000" w:sz="4" w:space="0"/>
              <w:right w:val="single" w:color="000000" w:sz="4" w:space="0"/>
            </w:tcBorders>
            <w:shd w:val="clear" w:color="FFFFFF" w:fill="auto"/>
            <w:noWrap/>
            <w:vAlign w:val="center"/>
          </w:tcPr>
          <w:p w14:paraId="5ECE909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p>
        </w:tc>
        <w:tc>
          <w:tcPr>
            <w:tcW w:w="1258" w:type="dxa"/>
            <w:tcBorders>
              <w:top w:val="nil"/>
              <w:left w:val="nil"/>
              <w:bottom w:val="single" w:color="000000" w:sz="4" w:space="0"/>
              <w:right w:val="single" w:color="000000" w:sz="4" w:space="0"/>
            </w:tcBorders>
            <w:shd w:val="clear" w:color="FFFFFF" w:fill="auto"/>
            <w:noWrap/>
            <w:vAlign w:val="center"/>
          </w:tcPr>
          <w:p w14:paraId="22653DF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p>
        </w:tc>
      </w:tr>
      <w:tr w14:paraId="481ECDE2">
        <w:tblPrEx>
          <w:tblCellMar>
            <w:top w:w="0" w:type="dxa"/>
            <w:left w:w="108" w:type="dxa"/>
            <w:bottom w:w="0" w:type="dxa"/>
            <w:right w:w="108" w:type="dxa"/>
          </w:tblCellMar>
        </w:tblPrEx>
        <w:trPr>
          <w:trHeight w:val="308" w:hRule="atLeast"/>
          <w:jc w:val="center"/>
        </w:trPr>
        <w:tc>
          <w:tcPr>
            <w:tcW w:w="3147" w:type="dxa"/>
            <w:tcBorders>
              <w:top w:val="nil"/>
              <w:left w:val="single" w:color="000000" w:sz="4" w:space="0"/>
              <w:bottom w:val="single" w:color="000000" w:sz="4" w:space="0"/>
              <w:right w:val="single" w:color="000000" w:sz="4" w:space="0"/>
            </w:tcBorders>
            <w:shd w:val="clear" w:color="FFFFFF" w:fill="auto"/>
            <w:noWrap/>
            <w:vAlign w:val="center"/>
          </w:tcPr>
          <w:p w14:paraId="239F7C2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二、政府性基金预算财政拨款</w:t>
            </w:r>
          </w:p>
        </w:tc>
        <w:tc>
          <w:tcPr>
            <w:tcW w:w="697" w:type="dxa"/>
            <w:tcBorders>
              <w:top w:val="nil"/>
              <w:left w:val="nil"/>
              <w:bottom w:val="single" w:color="000000" w:sz="4" w:space="0"/>
              <w:right w:val="single" w:color="000000" w:sz="4" w:space="0"/>
            </w:tcBorders>
            <w:shd w:val="clear" w:color="FFFFFF" w:fill="auto"/>
            <w:noWrap/>
            <w:vAlign w:val="center"/>
          </w:tcPr>
          <w:p w14:paraId="6BAAAD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2</w:t>
            </w:r>
          </w:p>
        </w:tc>
        <w:tc>
          <w:tcPr>
            <w:tcW w:w="1285" w:type="dxa"/>
            <w:tcBorders>
              <w:top w:val="nil"/>
              <w:left w:val="nil"/>
              <w:bottom w:val="single" w:color="000000" w:sz="4" w:space="0"/>
              <w:right w:val="single" w:color="000000" w:sz="4" w:space="0"/>
            </w:tcBorders>
            <w:shd w:val="clear" w:color="FFFFFF" w:fill="auto"/>
            <w:noWrap/>
            <w:vAlign w:val="center"/>
          </w:tcPr>
          <w:p w14:paraId="32EDCE29">
            <w:pPr>
              <w:keepNext w:val="0"/>
              <w:keepLines w:val="0"/>
              <w:widowControl/>
              <w:suppressLineNumbers w:val="0"/>
              <w:jc w:val="right"/>
              <w:textAlignment w:val="center"/>
              <w:rPr>
                <w:rFonts w:ascii="宋体" w:hAnsi="宋体" w:eastAsia="宋体" w:cs="Arial"/>
                <w:b w:val="0"/>
                <w:bCs w:val="0"/>
                <w:color w:val="000000"/>
                <w:kern w:val="0"/>
                <w:sz w:val="22"/>
              </w:rPr>
            </w:pPr>
          </w:p>
        </w:tc>
        <w:tc>
          <w:tcPr>
            <w:tcW w:w="3000" w:type="dxa"/>
            <w:tcBorders>
              <w:top w:val="nil"/>
              <w:left w:val="nil"/>
              <w:bottom w:val="single" w:color="000000" w:sz="4" w:space="0"/>
              <w:right w:val="single" w:color="000000" w:sz="4" w:space="0"/>
            </w:tcBorders>
            <w:shd w:val="clear" w:color="FFFFFF" w:fill="auto"/>
            <w:noWrap/>
            <w:vAlign w:val="center"/>
          </w:tcPr>
          <w:p w14:paraId="50E14A8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二、社会保障和就业支出</w:t>
            </w:r>
          </w:p>
        </w:tc>
        <w:tc>
          <w:tcPr>
            <w:tcW w:w="806" w:type="dxa"/>
            <w:tcBorders>
              <w:top w:val="nil"/>
              <w:left w:val="nil"/>
              <w:bottom w:val="single" w:color="000000" w:sz="4" w:space="0"/>
              <w:right w:val="single" w:color="000000" w:sz="4" w:space="0"/>
            </w:tcBorders>
            <w:shd w:val="clear" w:color="FFFFFF" w:fill="auto"/>
            <w:noWrap/>
            <w:vAlign w:val="center"/>
          </w:tcPr>
          <w:p w14:paraId="6278B2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12</w:t>
            </w:r>
          </w:p>
        </w:tc>
        <w:tc>
          <w:tcPr>
            <w:tcW w:w="1255" w:type="dxa"/>
            <w:gridSpan w:val="2"/>
            <w:tcBorders>
              <w:top w:val="nil"/>
              <w:left w:val="nil"/>
              <w:bottom w:val="single" w:color="000000" w:sz="4" w:space="0"/>
              <w:right w:val="single" w:color="000000" w:sz="4" w:space="0"/>
            </w:tcBorders>
            <w:shd w:val="clear" w:color="FFFFFF" w:fill="auto"/>
            <w:noWrap/>
            <w:vAlign w:val="center"/>
          </w:tcPr>
          <w:p w14:paraId="5A64D3C9">
            <w:pPr>
              <w:keepNext w:val="0"/>
              <w:keepLines w:val="0"/>
              <w:widowControl/>
              <w:suppressLineNumbers w:val="0"/>
              <w:jc w:val="right"/>
              <w:textAlignment w:val="center"/>
              <w:rPr>
                <w:rFonts w:hint="default" w:ascii="宋体" w:hAnsi="宋体" w:eastAsia="宋体" w:cs="Arial"/>
                <w:b w:val="0"/>
                <w:bCs w:val="0"/>
                <w:color w:val="000000"/>
                <w:kern w:val="0"/>
                <w:sz w:val="22"/>
                <w:lang w:val="en-US"/>
              </w:rPr>
            </w:pPr>
            <w:r>
              <w:rPr>
                <w:rFonts w:hint="eastAsia" w:ascii="宋体" w:hAnsi="宋体" w:eastAsia="宋体" w:cs="宋体"/>
                <w:i w:val="0"/>
                <w:iCs w:val="0"/>
                <w:color w:val="000000"/>
                <w:kern w:val="0"/>
                <w:sz w:val="22"/>
                <w:szCs w:val="22"/>
                <w:u w:val="none"/>
                <w:lang w:val="en-US" w:eastAsia="zh-CN" w:bidi="ar"/>
              </w:rPr>
              <w:t>1,123.21</w:t>
            </w:r>
          </w:p>
        </w:tc>
        <w:tc>
          <w:tcPr>
            <w:tcW w:w="1255" w:type="dxa"/>
            <w:gridSpan w:val="2"/>
            <w:tcBorders>
              <w:top w:val="nil"/>
              <w:left w:val="nil"/>
              <w:bottom w:val="single" w:color="000000" w:sz="4" w:space="0"/>
              <w:right w:val="single" w:color="000000" w:sz="4" w:space="0"/>
            </w:tcBorders>
            <w:shd w:val="clear" w:color="FFFFFF" w:fill="auto"/>
            <w:noWrap/>
            <w:vAlign w:val="center"/>
          </w:tcPr>
          <w:p w14:paraId="05581183">
            <w:pPr>
              <w:keepNext w:val="0"/>
              <w:keepLines w:val="0"/>
              <w:widowControl/>
              <w:suppressLineNumbers w:val="0"/>
              <w:jc w:val="right"/>
              <w:textAlignment w:val="center"/>
              <w:rPr>
                <w:rFonts w:ascii="宋体" w:hAnsi="宋体" w:eastAsia="宋体" w:cs="Arial"/>
                <w:b w:val="0"/>
                <w:bCs w:val="0"/>
                <w:color w:val="000000"/>
                <w:kern w:val="0"/>
                <w:sz w:val="22"/>
              </w:rPr>
            </w:pPr>
            <w:r>
              <w:rPr>
                <w:rFonts w:hint="eastAsia" w:ascii="宋体" w:hAnsi="宋体" w:eastAsia="宋体" w:cs="宋体"/>
                <w:i w:val="0"/>
                <w:iCs w:val="0"/>
                <w:color w:val="000000"/>
                <w:kern w:val="0"/>
                <w:sz w:val="22"/>
                <w:szCs w:val="22"/>
                <w:u w:val="none"/>
                <w:lang w:val="en-US" w:eastAsia="zh-CN" w:bidi="ar"/>
              </w:rPr>
              <w:t>1,123.21</w:t>
            </w:r>
          </w:p>
        </w:tc>
        <w:tc>
          <w:tcPr>
            <w:tcW w:w="1255" w:type="dxa"/>
            <w:gridSpan w:val="2"/>
            <w:tcBorders>
              <w:top w:val="nil"/>
              <w:left w:val="nil"/>
              <w:bottom w:val="single" w:color="000000" w:sz="4" w:space="0"/>
              <w:right w:val="single" w:color="000000" w:sz="4" w:space="0"/>
            </w:tcBorders>
            <w:shd w:val="clear" w:color="FFFFFF" w:fill="auto"/>
            <w:noWrap/>
            <w:vAlign w:val="center"/>
          </w:tcPr>
          <w:p w14:paraId="04AEC8F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p>
        </w:tc>
        <w:tc>
          <w:tcPr>
            <w:tcW w:w="1258" w:type="dxa"/>
            <w:tcBorders>
              <w:top w:val="nil"/>
              <w:left w:val="nil"/>
              <w:bottom w:val="single" w:color="000000" w:sz="4" w:space="0"/>
              <w:right w:val="single" w:color="000000" w:sz="4" w:space="0"/>
            </w:tcBorders>
            <w:shd w:val="clear" w:color="FFFFFF" w:fill="auto"/>
            <w:noWrap/>
            <w:vAlign w:val="center"/>
          </w:tcPr>
          <w:p w14:paraId="1C91F24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p>
        </w:tc>
      </w:tr>
      <w:tr w14:paraId="7172E843">
        <w:tblPrEx>
          <w:tblCellMar>
            <w:top w:w="0" w:type="dxa"/>
            <w:left w:w="108" w:type="dxa"/>
            <w:bottom w:w="0" w:type="dxa"/>
            <w:right w:w="108" w:type="dxa"/>
          </w:tblCellMar>
        </w:tblPrEx>
        <w:trPr>
          <w:trHeight w:val="308" w:hRule="atLeast"/>
          <w:jc w:val="center"/>
        </w:trPr>
        <w:tc>
          <w:tcPr>
            <w:tcW w:w="3147" w:type="dxa"/>
            <w:tcBorders>
              <w:top w:val="nil"/>
              <w:left w:val="single" w:color="000000" w:sz="4" w:space="0"/>
              <w:bottom w:val="single" w:color="000000" w:sz="4" w:space="0"/>
              <w:right w:val="single" w:color="000000" w:sz="4" w:space="0"/>
            </w:tcBorders>
            <w:shd w:val="clear" w:color="FFFFFF" w:fill="auto"/>
            <w:noWrap/>
            <w:vAlign w:val="center"/>
          </w:tcPr>
          <w:p w14:paraId="1FC3247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三、国有资本经营财政拨款</w:t>
            </w:r>
          </w:p>
        </w:tc>
        <w:tc>
          <w:tcPr>
            <w:tcW w:w="697" w:type="dxa"/>
            <w:tcBorders>
              <w:top w:val="nil"/>
              <w:left w:val="nil"/>
              <w:bottom w:val="single" w:color="000000" w:sz="4" w:space="0"/>
              <w:right w:val="single" w:color="000000" w:sz="4" w:space="0"/>
            </w:tcBorders>
            <w:shd w:val="clear" w:color="FFFFFF" w:fill="auto"/>
            <w:noWrap/>
            <w:vAlign w:val="center"/>
          </w:tcPr>
          <w:p w14:paraId="2F62AF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3</w:t>
            </w:r>
          </w:p>
        </w:tc>
        <w:tc>
          <w:tcPr>
            <w:tcW w:w="1285" w:type="dxa"/>
            <w:tcBorders>
              <w:top w:val="nil"/>
              <w:left w:val="nil"/>
              <w:bottom w:val="single" w:color="000000" w:sz="4" w:space="0"/>
              <w:right w:val="single" w:color="000000" w:sz="4" w:space="0"/>
            </w:tcBorders>
            <w:shd w:val="clear" w:color="FFFFFF" w:fill="auto"/>
            <w:noWrap/>
            <w:vAlign w:val="center"/>
          </w:tcPr>
          <w:p w14:paraId="606AEFA9">
            <w:pPr>
              <w:keepNext w:val="0"/>
              <w:keepLines w:val="0"/>
              <w:pageBreakBefore w:val="0"/>
              <w:widowControl/>
              <w:kinsoku/>
              <w:wordWrap/>
              <w:overflowPunct/>
              <w:topLinePunct w:val="0"/>
              <w:autoSpaceDE/>
              <w:autoSpaceDN/>
              <w:bidi w:val="0"/>
              <w:adjustRightInd/>
              <w:snapToGrid/>
              <w:spacing w:line="400" w:lineRule="exact"/>
              <w:jc w:val="right"/>
              <w:textAlignment w:val="auto"/>
              <w:rPr>
                <w:rFonts w:ascii="宋体" w:hAnsi="宋体" w:eastAsia="宋体" w:cs="Arial"/>
                <w:b w:val="0"/>
                <w:bCs w:val="0"/>
                <w:color w:val="000000"/>
                <w:kern w:val="0"/>
                <w:sz w:val="22"/>
              </w:rPr>
            </w:pPr>
          </w:p>
        </w:tc>
        <w:tc>
          <w:tcPr>
            <w:tcW w:w="3000" w:type="dxa"/>
            <w:tcBorders>
              <w:top w:val="nil"/>
              <w:left w:val="nil"/>
              <w:bottom w:val="single" w:color="000000" w:sz="4" w:space="0"/>
              <w:right w:val="single" w:color="000000" w:sz="4" w:space="0"/>
            </w:tcBorders>
            <w:shd w:val="clear" w:color="FFFFFF" w:fill="auto"/>
            <w:noWrap/>
            <w:vAlign w:val="center"/>
          </w:tcPr>
          <w:p w14:paraId="7F358EE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三、卫生健康支出</w:t>
            </w:r>
          </w:p>
        </w:tc>
        <w:tc>
          <w:tcPr>
            <w:tcW w:w="806" w:type="dxa"/>
            <w:tcBorders>
              <w:top w:val="nil"/>
              <w:left w:val="nil"/>
              <w:bottom w:val="single" w:color="000000" w:sz="4" w:space="0"/>
              <w:right w:val="single" w:color="000000" w:sz="4" w:space="0"/>
            </w:tcBorders>
            <w:shd w:val="clear" w:color="FFFFFF" w:fill="auto"/>
            <w:noWrap/>
            <w:vAlign w:val="center"/>
          </w:tcPr>
          <w:p w14:paraId="61CBBB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13</w:t>
            </w:r>
          </w:p>
        </w:tc>
        <w:tc>
          <w:tcPr>
            <w:tcW w:w="1255" w:type="dxa"/>
            <w:gridSpan w:val="2"/>
            <w:tcBorders>
              <w:top w:val="nil"/>
              <w:left w:val="nil"/>
              <w:bottom w:val="single" w:color="000000" w:sz="4" w:space="0"/>
              <w:right w:val="single" w:color="000000" w:sz="4" w:space="0"/>
            </w:tcBorders>
            <w:shd w:val="clear" w:color="FFFFFF" w:fill="auto"/>
            <w:noWrap/>
            <w:vAlign w:val="center"/>
          </w:tcPr>
          <w:p w14:paraId="1FEA3D4E">
            <w:pPr>
              <w:keepNext w:val="0"/>
              <w:keepLines w:val="0"/>
              <w:widowControl/>
              <w:suppressLineNumbers w:val="0"/>
              <w:jc w:val="right"/>
              <w:textAlignment w:val="center"/>
              <w:rPr>
                <w:rFonts w:hint="default" w:ascii="宋体" w:hAnsi="宋体" w:eastAsia="宋体" w:cs="Arial"/>
                <w:b w:val="0"/>
                <w:bCs w:val="0"/>
                <w:color w:val="000000"/>
                <w:kern w:val="0"/>
                <w:sz w:val="22"/>
                <w:lang w:val="en-US"/>
              </w:rPr>
            </w:pPr>
            <w:r>
              <w:rPr>
                <w:rFonts w:hint="eastAsia" w:ascii="宋体" w:hAnsi="宋体" w:eastAsia="宋体" w:cs="宋体"/>
                <w:i w:val="0"/>
                <w:iCs w:val="0"/>
                <w:color w:val="000000"/>
                <w:kern w:val="0"/>
                <w:sz w:val="22"/>
                <w:szCs w:val="22"/>
                <w:u w:val="none"/>
                <w:lang w:val="en-US" w:eastAsia="zh-CN" w:bidi="ar"/>
              </w:rPr>
              <w:t>434.73</w:t>
            </w:r>
          </w:p>
        </w:tc>
        <w:tc>
          <w:tcPr>
            <w:tcW w:w="1255" w:type="dxa"/>
            <w:gridSpan w:val="2"/>
            <w:tcBorders>
              <w:top w:val="nil"/>
              <w:left w:val="nil"/>
              <w:bottom w:val="single" w:color="000000" w:sz="4" w:space="0"/>
              <w:right w:val="single" w:color="000000" w:sz="4" w:space="0"/>
            </w:tcBorders>
            <w:shd w:val="clear" w:color="FFFFFF" w:fill="auto"/>
            <w:noWrap/>
            <w:vAlign w:val="center"/>
          </w:tcPr>
          <w:p w14:paraId="089E58F0">
            <w:pPr>
              <w:keepNext w:val="0"/>
              <w:keepLines w:val="0"/>
              <w:widowControl/>
              <w:suppressLineNumbers w:val="0"/>
              <w:jc w:val="right"/>
              <w:textAlignment w:val="center"/>
              <w:rPr>
                <w:rFonts w:hint="default" w:ascii="宋体" w:hAnsi="宋体" w:eastAsia="宋体" w:cs="Arial"/>
                <w:b w:val="0"/>
                <w:bCs w:val="0"/>
                <w:color w:val="000000"/>
                <w:kern w:val="0"/>
                <w:sz w:val="22"/>
                <w:lang w:val="en-US"/>
              </w:rPr>
            </w:pPr>
            <w:r>
              <w:rPr>
                <w:rFonts w:hint="eastAsia" w:ascii="宋体" w:hAnsi="宋体" w:eastAsia="宋体" w:cs="宋体"/>
                <w:i w:val="0"/>
                <w:iCs w:val="0"/>
                <w:color w:val="000000"/>
                <w:kern w:val="0"/>
                <w:sz w:val="22"/>
                <w:szCs w:val="22"/>
                <w:u w:val="none"/>
                <w:lang w:val="en-US" w:eastAsia="zh-CN" w:bidi="ar"/>
              </w:rPr>
              <w:t>434.73</w:t>
            </w:r>
          </w:p>
        </w:tc>
        <w:tc>
          <w:tcPr>
            <w:tcW w:w="1255" w:type="dxa"/>
            <w:gridSpan w:val="2"/>
            <w:tcBorders>
              <w:top w:val="nil"/>
              <w:left w:val="nil"/>
              <w:bottom w:val="single" w:color="000000" w:sz="4" w:space="0"/>
              <w:right w:val="single" w:color="000000" w:sz="4" w:space="0"/>
            </w:tcBorders>
            <w:shd w:val="clear" w:color="FFFFFF" w:fill="auto"/>
            <w:noWrap/>
            <w:vAlign w:val="center"/>
          </w:tcPr>
          <w:p w14:paraId="0FCC108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p>
        </w:tc>
        <w:tc>
          <w:tcPr>
            <w:tcW w:w="1258" w:type="dxa"/>
            <w:tcBorders>
              <w:top w:val="nil"/>
              <w:left w:val="nil"/>
              <w:bottom w:val="single" w:color="000000" w:sz="4" w:space="0"/>
              <w:right w:val="single" w:color="000000" w:sz="4" w:space="0"/>
            </w:tcBorders>
            <w:shd w:val="clear" w:color="FFFFFF" w:fill="auto"/>
            <w:noWrap/>
            <w:vAlign w:val="center"/>
          </w:tcPr>
          <w:p w14:paraId="65F24A4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p>
        </w:tc>
      </w:tr>
      <w:tr w14:paraId="709E8620">
        <w:tblPrEx>
          <w:tblCellMar>
            <w:top w:w="0" w:type="dxa"/>
            <w:left w:w="108" w:type="dxa"/>
            <w:bottom w:w="0" w:type="dxa"/>
            <w:right w:w="108" w:type="dxa"/>
          </w:tblCellMar>
        </w:tblPrEx>
        <w:trPr>
          <w:trHeight w:val="308" w:hRule="atLeast"/>
          <w:jc w:val="center"/>
        </w:trPr>
        <w:tc>
          <w:tcPr>
            <w:tcW w:w="3147" w:type="dxa"/>
            <w:tcBorders>
              <w:top w:val="nil"/>
              <w:left w:val="single" w:color="000000" w:sz="4" w:space="0"/>
              <w:bottom w:val="single" w:color="000000" w:sz="4" w:space="0"/>
              <w:right w:val="single" w:color="000000" w:sz="4" w:space="0"/>
            </w:tcBorders>
            <w:shd w:val="clear" w:color="FFFFFF" w:fill="auto"/>
            <w:noWrap/>
            <w:vAlign w:val="center"/>
          </w:tcPr>
          <w:p w14:paraId="6BEA68A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p>
        </w:tc>
        <w:tc>
          <w:tcPr>
            <w:tcW w:w="697" w:type="dxa"/>
            <w:tcBorders>
              <w:top w:val="nil"/>
              <w:left w:val="nil"/>
              <w:bottom w:val="single" w:color="000000" w:sz="4" w:space="0"/>
              <w:right w:val="single" w:color="000000" w:sz="4" w:space="0"/>
            </w:tcBorders>
            <w:shd w:val="clear" w:color="FFFFFF" w:fill="auto"/>
            <w:noWrap/>
            <w:vAlign w:val="center"/>
          </w:tcPr>
          <w:p w14:paraId="5BB8BB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4</w:t>
            </w:r>
          </w:p>
        </w:tc>
        <w:tc>
          <w:tcPr>
            <w:tcW w:w="1285" w:type="dxa"/>
            <w:tcBorders>
              <w:top w:val="nil"/>
              <w:left w:val="nil"/>
              <w:bottom w:val="single" w:color="000000" w:sz="4" w:space="0"/>
              <w:right w:val="single" w:color="000000" w:sz="4" w:space="0"/>
            </w:tcBorders>
            <w:shd w:val="clear" w:color="FFFFFF" w:fill="auto"/>
            <w:noWrap/>
            <w:vAlign w:val="center"/>
          </w:tcPr>
          <w:p w14:paraId="4DB78195">
            <w:pPr>
              <w:keepNext w:val="0"/>
              <w:keepLines w:val="0"/>
              <w:pageBreakBefore w:val="0"/>
              <w:widowControl/>
              <w:kinsoku/>
              <w:wordWrap/>
              <w:overflowPunct/>
              <w:topLinePunct w:val="0"/>
              <w:autoSpaceDE/>
              <w:autoSpaceDN/>
              <w:bidi w:val="0"/>
              <w:adjustRightInd/>
              <w:snapToGrid/>
              <w:spacing w:line="400" w:lineRule="exact"/>
              <w:jc w:val="right"/>
              <w:textAlignment w:val="auto"/>
              <w:rPr>
                <w:rFonts w:ascii="宋体" w:hAnsi="宋体" w:eastAsia="宋体" w:cs="Arial"/>
                <w:b w:val="0"/>
                <w:bCs w:val="0"/>
                <w:color w:val="000000"/>
                <w:kern w:val="0"/>
                <w:sz w:val="22"/>
              </w:rPr>
            </w:pPr>
          </w:p>
        </w:tc>
        <w:tc>
          <w:tcPr>
            <w:tcW w:w="3000" w:type="dxa"/>
            <w:tcBorders>
              <w:top w:val="nil"/>
              <w:left w:val="nil"/>
              <w:bottom w:val="single" w:color="000000" w:sz="4" w:space="0"/>
              <w:right w:val="single" w:color="000000" w:sz="4" w:space="0"/>
            </w:tcBorders>
            <w:shd w:val="clear" w:color="FFFFFF" w:fill="auto"/>
            <w:noWrap/>
            <w:vAlign w:val="center"/>
          </w:tcPr>
          <w:p w14:paraId="6FD905B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四、住房保障支出</w:t>
            </w:r>
          </w:p>
        </w:tc>
        <w:tc>
          <w:tcPr>
            <w:tcW w:w="806" w:type="dxa"/>
            <w:tcBorders>
              <w:top w:val="nil"/>
              <w:left w:val="nil"/>
              <w:bottom w:val="single" w:color="000000" w:sz="4" w:space="0"/>
              <w:right w:val="single" w:color="000000" w:sz="4" w:space="0"/>
            </w:tcBorders>
            <w:shd w:val="clear" w:color="FFFFFF" w:fill="auto"/>
            <w:noWrap/>
            <w:vAlign w:val="center"/>
          </w:tcPr>
          <w:p w14:paraId="155B8B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14</w:t>
            </w:r>
          </w:p>
        </w:tc>
        <w:tc>
          <w:tcPr>
            <w:tcW w:w="1255" w:type="dxa"/>
            <w:gridSpan w:val="2"/>
            <w:tcBorders>
              <w:top w:val="nil"/>
              <w:left w:val="nil"/>
              <w:bottom w:val="single" w:color="000000" w:sz="4" w:space="0"/>
              <w:right w:val="single" w:color="000000" w:sz="4" w:space="0"/>
            </w:tcBorders>
            <w:shd w:val="clear" w:color="FFFFFF" w:fill="auto"/>
            <w:noWrap/>
            <w:vAlign w:val="center"/>
          </w:tcPr>
          <w:p w14:paraId="079D91A8">
            <w:pPr>
              <w:keepNext w:val="0"/>
              <w:keepLines w:val="0"/>
              <w:widowControl/>
              <w:suppressLineNumbers w:val="0"/>
              <w:jc w:val="right"/>
              <w:textAlignment w:val="center"/>
              <w:rPr>
                <w:rFonts w:hint="default" w:ascii="宋体" w:hAnsi="宋体" w:eastAsia="宋体" w:cs="Arial"/>
                <w:b w:val="0"/>
                <w:bCs w:val="0"/>
                <w:color w:val="000000"/>
                <w:kern w:val="0"/>
                <w:sz w:val="22"/>
                <w:lang w:val="en-US" w:eastAsia="zh-CN"/>
              </w:rPr>
            </w:pPr>
            <w:r>
              <w:rPr>
                <w:rFonts w:hint="eastAsia" w:ascii="宋体" w:hAnsi="宋体" w:eastAsia="宋体" w:cs="宋体"/>
                <w:i w:val="0"/>
                <w:iCs w:val="0"/>
                <w:color w:val="000000"/>
                <w:kern w:val="0"/>
                <w:sz w:val="22"/>
                <w:szCs w:val="22"/>
                <w:u w:val="none"/>
                <w:lang w:val="en-US" w:eastAsia="zh-CN" w:bidi="ar"/>
              </w:rPr>
              <w:t>662.59</w:t>
            </w:r>
          </w:p>
        </w:tc>
        <w:tc>
          <w:tcPr>
            <w:tcW w:w="1255" w:type="dxa"/>
            <w:gridSpan w:val="2"/>
            <w:tcBorders>
              <w:top w:val="nil"/>
              <w:left w:val="nil"/>
              <w:bottom w:val="single" w:color="000000" w:sz="4" w:space="0"/>
              <w:right w:val="single" w:color="000000" w:sz="4" w:space="0"/>
            </w:tcBorders>
            <w:shd w:val="clear" w:color="FFFFFF" w:fill="auto"/>
            <w:noWrap/>
            <w:vAlign w:val="center"/>
          </w:tcPr>
          <w:p w14:paraId="50851546">
            <w:pPr>
              <w:keepNext w:val="0"/>
              <w:keepLines w:val="0"/>
              <w:widowControl/>
              <w:suppressLineNumbers w:val="0"/>
              <w:jc w:val="right"/>
              <w:textAlignment w:val="center"/>
              <w:rPr>
                <w:rFonts w:ascii="宋体" w:hAnsi="宋体" w:eastAsia="宋体" w:cs="Arial"/>
                <w:b w:val="0"/>
                <w:bCs w:val="0"/>
                <w:color w:val="000000"/>
                <w:kern w:val="0"/>
                <w:sz w:val="22"/>
              </w:rPr>
            </w:pPr>
            <w:r>
              <w:rPr>
                <w:rFonts w:hint="eastAsia" w:ascii="宋体" w:hAnsi="宋体" w:eastAsia="宋体" w:cs="宋体"/>
                <w:i w:val="0"/>
                <w:iCs w:val="0"/>
                <w:color w:val="000000"/>
                <w:kern w:val="0"/>
                <w:sz w:val="22"/>
                <w:szCs w:val="22"/>
                <w:u w:val="none"/>
                <w:lang w:val="en-US" w:eastAsia="zh-CN" w:bidi="ar"/>
              </w:rPr>
              <w:t>662.59</w:t>
            </w:r>
          </w:p>
        </w:tc>
        <w:tc>
          <w:tcPr>
            <w:tcW w:w="1255" w:type="dxa"/>
            <w:gridSpan w:val="2"/>
            <w:tcBorders>
              <w:top w:val="nil"/>
              <w:left w:val="nil"/>
              <w:bottom w:val="single" w:color="000000" w:sz="4" w:space="0"/>
              <w:right w:val="single" w:color="000000" w:sz="4" w:space="0"/>
            </w:tcBorders>
            <w:shd w:val="clear" w:color="FFFFFF" w:fill="auto"/>
            <w:noWrap/>
            <w:vAlign w:val="center"/>
          </w:tcPr>
          <w:p w14:paraId="5CEBC5D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p>
        </w:tc>
        <w:tc>
          <w:tcPr>
            <w:tcW w:w="1258" w:type="dxa"/>
            <w:tcBorders>
              <w:top w:val="nil"/>
              <w:left w:val="nil"/>
              <w:bottom w:val="single" w:color="000000" w:sz="4" w:space="0"/>
              <w:right w:val="single" w:color="000000" w:sz="4" w:space="0"/>
            </w:tcBorders>
            <w:shd w:val="clear" w:color="FFFFFF" w:fill="auto"/>
            <w:noWrap/>
            <w:vAlign w:val="center"/>
          </w:tcPr>
          <w:p w14:paraId="7B71010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p>
        </w:tc>
      </w:tr>
      <w:tr w14:paraId="1E6753C6">
        <w:tblPrEx>
          <w:tblCellMar>
            <w:top w:w="0" w:type="dxa"/>
            <w:left w:w="108" w:type="dxa"/>
            <w:bottom w:w="0" w:type="dxa"/>
            <w:right w:w="108" w:type="dxa"/>
          </w:tblCellMar>
        </w:tblPrEx>
        <w:trPr>
          <w:trHeight w:val="308" w:hRule="atLeast"/>
          <w:jc w:val="center"/>
        </w:trPr>
        <w:tc>
          <w:tcPr>
            <w:tcW w:w="3147" w:type="dxa"/>
            <w:tcBorders>
              <w:top w:val="nil"/>
              <w:left w:val="single" w:color="000000" w:sz="4" w:space="0"/>
              <w:bottom w:val="single" w:color="000000" w:sz="4" w:space="0"/>
              <w:right w:val="single" w:color="000000" w:sz="4" w:space="0"/>
            </w:tcBorders>
            <w:shd w:val="clear" w:color="FFFFFF" w:fill="auto"/>
            <w:noWrap/>
            <w:vAlign w:val="center"/>
          </w:tcPr>
          <w:p w14:paraId="3D49A4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本年收入合计</w:t>
            </w:r>
          </w:p>
        </w:tc>
        <w:tc>
          <w:tcPr>
            <w:tcW w:w="697" w:type="dxa"/>
            <w:tcBorders>
              <w:top w:val="nil"/>
              <w:left w:val="nil"/>
              <w:bottom w:val="single" w:color="000000" w:sz="4" w:space="0"/>
              <w:right w:val="single" w:color="000000" w:sz="4" w:space="0"/>
            </w:tcBorders>
            <w:shd w:val="clear" w:color="FFFFFF" w:fill="auto"/>
            <w:noWrap/>
            <w:vAlign w:val="center"/>
          </w:tcPr>
          <w:p w14:paraId="6F78C1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5</w:t>
            </w:r>
          </w:p>
        </w:tc>
        <w:tc>
          <w:tcPr>
            <w:tcW w:w="1285" w:type="dxa"/>
            <w:tcBorders>
              <w:top w:val="nil"/>
              <w:left w:val="nil"/>
              <w:bottom w:val="single" w:color="000000" w:sz="4" w:space="0"/>
              <w:right w:val="single" w:color="000000" w:sz="4" w:space="0"/>
            </w:tcBorders>
            <w:shd w:val="clear" w:color="FFFFFF" w:fill="auto"/>
            <w:noWrap/>
            <w:vAlign w:val="center"/>
          </w:tcPr>
          <w:p w14:paraId="71D60358">
            <w:pPr>
              <w:keepNext w:val="0"/>
              <w:keepLines w:val="0"/>
              <w:widowControl/>
              <w:suppressLineNumbers w:val="0"/>
              <w:jc w:val="right"/>
              <w:textAlignment w:val="center"/>
              <w:rPr>
                <w:rFonts w:ascii="宋体" w:hAnsi="宋体" w:eastAsia="宋体" w:cs="Arial"/>
                <w:b w:val="0"/>
                <w:bCs w:val="0"/>
                <w:color w:val="000000"/>
                <w:kern w:val="0"/>
                <w:sz w:val="22"/>
              </w:rPr>
            </w:pPr>
            <w:r>
              <w:rPr>
                <w:rFonts w:hint="eastAsia" w:ascii="宋体" w:hAnsi="宋体" w:eastAsia="宋体" w:cs="宋体"/>
                <w:i w:val="0"/>
                <w:iCs w:val="0"/>
                <w:color w:val="000000"/>
                <w:kern w:val="0"/>
                <w:sz w:val="22"/>
                <w:szCs w:val="22"/>
                <w:u w:val="none"/>
                <w:lang w:val="en-US" w:eastAsia="zh-CN" w:bidi="ar"/>
              </w:rPr>
              <w:t>11,542.91</w:t>
            </w:r>
          </w:p>
        </w:tc>
        <w:tc>
          <w:tcPr>
            <w:tcW w:w="3000" w:type="dxa"/>
            <w:tcBorders>
              <w:top w:val="nil"/>
              <w:left w:val="nil"/>
              <w:bottom w:val="single" w:color="000000" w:sz="4" w:space="0"/>
              <w:right w:val="single" w:color="000000" w:sz="4" w:space="0"/>
            </w:tcBorders>
            <w:shd w:val="clear" w:color="FFFFFF" w:fill="auto"/>
            <w:noWrap/>
            <w:vAlign w:val="center"/>
          </w:tcPr>
          <w:p w14:paraId="2BC7BE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本年支出合计</w:t>
            </w:r>
          </w:p>
        </w:tc>
        <w:tc>
          <w:tcPr>
            <w:tcW w:w="806" w:type="dxa"/>
            <w:tcBorders>
              <w:top w:val="nil"/>
              <w:left w:val="nil"/>
              <w:bottom w:val="single" w:color="000000" w:sz="4" w:space="0"/>
              <w:right w:val="single" w:color="000000" w:sz="4" w:space="0"/>
            </w:tcBorders>
            <w:shd w:val="clear" w:color="FFFFFF" w:fill="auto"/>
            <w:noWrap/>
            <w:vAlign w:val="center"/>
          </w:tcPr>
          <w:p w14:paraId="1B147F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15</w:t>
            </w:r>
          </w:p>
        </w:tc>
        <w:tc>
          <w:tcPr>
            <w:tcW w:w="1255" w:type="dxa"/>
            <w:gridSpan w:val="2"/>
            <w:tcBorders>
              <w:top w:val="nil"/>
              <w:left w:val="nil"/>
              <w:bottom w:val="single" w:color="000000" w:sz="4" w:space="0"/>
              <w:right w:val="single" w:color="000000" w:sz="4" w:space="0"/>
            </w:tcBorders>
            <w:shd w:val="clear" w:color="FFFFFF" w:fill="auto"/>
            <w:noWrap/>
            <w:vAlign w:val="center"/>
          </w:tcPr>
          <w:p w14:paraId="21BF7C67">
            <w:pPr>
              <w:keepNext w:val="0"/>
              <w:keepLines w:val="0"/>
              <w:widowControl/>
              <w:suppressLineNumbers w:val="0"/>
              <w:jc w:val="right"/>
              <w:textAlignment w:val="center"/>
              <w:rPr>
                <w:rFonts w:hint="default" w:ascii="宋体" w:hAnsi="宋体" w:eastAsia="宋体" w:cs="Arial"/>
                <w:b w:val="0"/>
                <w:bCs w:val="0"/>
                <w:color w:val="000000"/>
                <w:kern w:val="0"/>
                <w:sz w:val="22"/>
                <w:lang w:val="en-US"/>
              </w:rPr>
            </w:pPr>
            <w:r>
              <w:rPr>
                <w:rFonts w:hint="eastAsia" w:ascii="宋体" w:hAnsi="宋体" w:eastAsia="宋体" w:cs="宋体"/>
                <w:i w:val="0"/>
                <w:iCs w:val="0"/>
                <w:color w:val="000000"/>
                <w:kern w:val="0"/>
                <w:sz w:val="22"/>
                <w:szCs w:val="22"/>
                <w:u w:val="none"/>
                <w:lang w:val="en-US" w:eastAsia="zh-CN" w:bidi="ar"/>
              </w:rPr>
              <w:t>11,361.34</w:t>
            </w:r>
          </w:p>
        </w:tc>
        <w:tc>
          <w:tcPr>
            <w:tcW w:w="1255" w:type="dxa"/>
            <w:gridSpan w:val="2"/>
            <w:tcBorders>
              <w:top w:val="nil"/>
              <w:left w:val="nil"/>
              <w:bottom w:val="single" w:color="000000" w:sz="4" w:space="0"/>
              <w:right w:val="single" w:color="000000" w:sz="4" w:space="0"/>
            </w:tcBorders>
            <w:shd w:val="clear" w:color="FFFFFF" w:fill="auto"/>
            <w:noWrap/>
            <w:vAlign w:val="center"/>
          </w:tcPr>
          <w:p w14:paraId="28EF7B8B">
            <w:pPr>
              <w:keepNext w:val="0"/>
              <w:keepLines w:val="0"/>
              <w:widowControl/>
              <w:suppressLineNumbers w:val="0"/>
              <w:jc w:val="right"/>
              <w:textAlignment w:val="center"/>
              <w:rPr>
                <w:rFonts w:ascii="宋体" w:hAnsi="宋体" w:eastAsia="宋体" w:cs="Arial"/>
                <w:b w:val="0"/>
                <w:bCs w:val="0"/>
                <w:color w:val="000000"/>
                <w:kern w:val="0"/>
                <w:sz w:val="22"/>
              </w:rPr>
            </w:pPr>
            <w:r>
              <w:rPr>
                <w:rFonts w:hint="eastAsia" w:ascii="宋体" w:hAnsi="宋体" w:eastAsia="宋体" w:cs="宋体"/>
                <w:i w:val="0"/>
                <w:iCs w:val="0"/>
                <w:color w:val="000000"/>
                <w:kern w:val="0"/>
                <w:sz w:val="22"/>
                <w:szCs w:val="22"/>
                <w:u w:val="none"/>
                <w:lang w:val="en-US" w:eastAsia="zh-CN" w:bidi="ar"/>
              </w:rPr>
              <w:t>11,361.34</w:t>
            </w:r>
          </w:p>
        </w:tc>
        <w:tc>
          <w:tcPr>
            <w:tcW w:w="1255" w:type="dxa"/>
            <w:gridSpan w:val="2"/>
            <w:tcBorders>
              <w:top w:val="nil"/>
              <w:left w:val="nil"/>
              <w:bottom w:val="single" w:color="000000" w:sz="4" w:space="0"/>
              <w:right w:val="single" w:color="000000" w:sz="4" w:space="0"/>
            </w:tcBorders>
            <w:shd w:val="clear" w:color="FFFFFF" w:fill="auto"/>
            <w:noWrap/>
            <w:vAlign w:val="center"/>
          </w:tcPr>
          <w:p w14:paraId="3EE5EDD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p>
        </w:tc>
        <w:tc>
          <w:tcPr>
            <w:tcW w:w="1258" w:type="dxa"/>
            <w:tcBorders>
              <w:top w:val="nil"/>
              <w:left w:val="nil"/>
              <w:bottom w:val="single" w:color="000000" w:sz="4" w:space="0"/>
              <w:right w:val="single" w:color="000000" w:sz="4" w:space="0"/>
            </w:tcBorders>
            <w:shd w:val="clear" w:color="FFFFFF" w:fill="auto"/>
            <w:noWrap/>
            <w:vAlign w:val="center"/>
          </w:tcPr>
          <w:p w14:paraId="15162AC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p>
        </w:tc>
      </w:tr>
      <w:tr w14:paraId="0E9B279B">
        <w:tblPrEx>
          <w:tblCellMar>
            <w:top w:w="0" w:type="dxa"/>
            <w:left w:w="108" w:type="dxa"/>
            <w:bottom w:w="0" w:type="dxa"/>
            <w:right w:w="108" w:type="dxa"/>
          </w:tblCellMar>
        </w:tblPrEx>
        <w:trPr>
          <w:trHeight w:val="308" w:hRule="atLeast"/>
          <w:jc w:val="center"/>
        </w:trPr>
        <w:tc>
          <w:tcPr>
            <w:tcW w:w="3147" w:type="dxa"/>
            <w:tcBorders>
              <w:top w:val="nil"/>
              <w:left w:val="single" w:color="000000" w:sz="4" w:space="0"/>
              <w:bottom w:val="single" w:color="000000" w:sz="4" w:space="0"/>
              <w:right w:val="single" w:color="000000" w:sz="4" w:space="0"/>
            </w:tcBorders>
            <w:shd w:val="clear" w:color="FFFFFF" w:fill="auto"/>
            <w:noWrap/>
            <w:vAlign w:val="center"/>
          </w:tcPr>
          <w:p w14:paraId="05F5943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年初财政拨款结转和结余</w:t>
            </w:r>
          </w:p>
        </w:tc>
        <w:tc>
          <w:tcPr>
            <w:tcW w:w="697" w:type="dxa"/>
            <w:tcBorders>
              <w:top w:val="nil"/>
              <w:left w:val="nil"/>
              <w:bottom w:val="single" w:color="000000" w:sz="4" w:space="0"/>
              <w:right w:val="single" w:color="000000" w:sz="4" w:space="0"/>
            </w:tcBorders>
            <w:shd w:val="clear" w:color="FFFFFF" w:fill="auto"/>
            <w:noWrap/>
            <w:vAlign w:val="center"/>
          </w:tcPr>
          <w:p w14:paraId="404C57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6</w:t>
            </w:r>
          </w:p>
        </w:tc>
        <w:tc>
          <w:tcPr>
            <w:tcW w:w="1285" w:type="dxa"/>
            <w:tcBorders>
              <w:top w:val="nil"/>
              <w:left w:val="nil"/>
              <w:bottom w:val="single" w:color="000000" w:sz="4" w:space="0"/>
              <w:right w:val="single" w:color="000000" w:sz="4" w:space="0"/>
            </w:tcBorders>
            <w:shd w:val="clear" w:color="FFFFFF" w:fill="auto"/>
            <w:noWrap/>
            <w:vAlign w:val="center"/>
          </w:tcPr>
          <w:p w14:paraId="38ECF2F4">
            <w:pPr>
              <w:keepNext w:val="0"/>
              <w:keepLines w:val="0"/>
              <w:widowControl/>
              <w:suppressLineNumbers w:val="0"/>
              <w:jc w:val="right"/>
              <w:textAlignment w:val="center"/>
              <w:rPr>
                <w:rFonts w:hint="default" w:ascii="宋体" w:hAnsi="宋体" w:eastAsia="宋体" w:cs="Arial"/>
                <w:b w:val="0"/>
                <w:bCs w:val="0"/>
                <w:color w:val="000000"/>
                <w:kern w:val="0"/>
                <w:sz w:val="22"/>
                <w:lang w:val="en-US"/>
              </w:rPr>
            </w:pPr>
            <w:r>
              <w:rPr>
                <w:rFonts w:hint="eastAsia" w:ascii="宋体" w:hAnsi="宋体" w:eastAsia="宋体" w:cs="宋体"/>
                <w:i w:val="0"/>
                <w:iCs w:val="0"/>
                <w:color w:val="000000"/>
                <w:kern w:val="0"/>
                <w:sz w:val="22"/>
                <w:szCs w:val="22"/>
                <w:u w:val="none"/>
                <w:lang w:val="en-US" w:eastAsia="zh-CN" w:bidi="ar"/>
              </w:rPr>
              <w:t>1,061.44</w:t>
            </w:r>
          </w:p>
        </w:tc>
        <w:tc>
          <w:tcPr>
            <w:tcW w:w="3000" w:type="dxa"/>
            <w:tcBorders>
              <w:top w:val="nil"/>
              <w:left w:val="nil"/>
              <w:bottom w:val="single" w:color="000000" w:sz="4" w:space="0"/>
              <w:right w:val="single" w:color="000000" w:sz="4" w:space="0"/>
            </w:tcBorders>
            <w:shd w:val="clear" w:color="FFFFFF" w:fill="auto"/>
            <w:noWrap/>
            <w:vAlign w:val="center"/>
          </w:tcPr>
          <w:p w14:paraId="5F74BA5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年末财政拨款结转和结余</w:t>
            </w:r>
          </w:p>
        </w:tc>
        <w:tc>
          <w:tcPr>
            <w:tcW w:w="806" w:type="dxa"/>
            <w:tcBorders>
              <w:top w:val="nil"/>
              <w:left w:val="nil"/>
              <w:bottom w:val="single" w:color="000000" w:sz="4" w:space="0"/>
              <w:right w:val="single" w:color="000000" w:sz="4" w:space="0"/>
            </w:tcBorders>
            <w:shd w:val="clear" w:color="FFFFFF" w:fill="auto"/>
            <w:noWrap/>
            <w:vAlign w:val="center"/>
          </w:tcPr>
          <w:p w14:paraId="62639C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16</w:t>
            </w:r>
          </w:p>
        </w:tc>
        <w:tc>
          <w:tcPr>
            <w:tcW w:w="1255" w:type="dxa"/>
            <w:gridSpan w:val="2"/>
            <w:tcBorders>
              <w:top w:val="nil"/>
              <w:left w:val="nil"/>
              <w:bottom w:val="single" w:color="000000" w:sz="4" w:space="0"/>
              <w:right w:val="single" w:color="000000" w:sz="4" w:space="0"/>
            </w:tcBorders>
            <w:shd w:val="clear" w:color="FFFFFF" w:fill="auto"/>
            <w:noWrap/>
            <w:vAlign w:val="center"/>
          </w:tcPr>
          <w:p w14:paraId="59CDE39A">
            <w:pPr>
              <w:keepNext w:val="0"/>
              <w:keepLines w:val="0"/>
              <w:widowControl/>
              <w:suppressLineNumbers w:val="0"/>
              <w:jc w:val="right"/>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1,243.01</w:t>
            </w:r>
          </w:p>
        </w:tc>
        <w:tc>
          <w:tcPr>
            <w:tcW w:w="1255" w:type="dxa"/>
            <w:gridSpan w:val="2"/>
            <w:tcBorders>
              <w:top w:val="nil"/>
              <w:left w:val="nil"/>
              <w:bottom w:val="single" w:color="000000" w:sz="4" w:space="0"/>
              <w:right w:val="single" w:color="000000" w:sz="4" w:space="0"/>
            </w:tcBorders>
            <w:shd w:val="clear" w:color="FFFFFF" w:fill="auto"/>
            <w:noWrap/>
            <w:vAlign w:val="center"/>
          </w:tcPr>
          <w:p w14:paraId="45B88238">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1,243.01</w:t>
            </w:r>
          </w:p>
        </w:tc>
        <w:tc>
          <w:tcPr>
            <w:tcW w:w="1255" w:type="dxa"/>
            <w:gridSpan w:val="2"/>
            <w:tcBorders>
              <w:top w:val="nil"/>
              <w:left w:val="nil"/>
              <w:bottom w:val="single" w:color="000000" w:sz="4" w:space="0"/>
              <w:right w:val="single" w:color="000000" w:sz="4" w:space="0"/>
            </w:tcBorders>
            <w:shd w:val="clear" w:color="FFFFFF" w:fill="auto"/>
            <w:noWrap/>
            <w:vAlign w:val="center"/>
          </w:tcPr>
          <w:p w14:paraId="59B1A0A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p>
        </w:tc>
        <w:tc>
          <w:tcPr>
            <w:tcW w:w="1258" w:type="dxa"/>
            <w:tcBorders>
              <w:top w:val="nil"/>
              <w:left w:val="nil"/>
              <w:bottom w:val="single" w:color="000000" w:sz="4" w:space="0"/>
              <w:right w:val="single" w:color="000000" w:sz="4" w:space="0"/>
            </w:tcBorders>
            <w:shd w:val="clear" w:color="FFFFFF" w:fill="auto"/>
            <w:noWrap/>
            <w:vAlign w:val="center"/>
          </w:tcPr>
          <w:p w14:paraId="0AB64E6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p>
        </w:tc>
      </w:tr>
      <w:tr w14:paraId="44BBF6BD">
        <w:tblPrEx>
          <w:tblCellMar>
            <w:top w:w="0" w:type="dxa"/>
            <w:left w:w="108" w:type="dxa"/>
            <w:bottom w:w="0" w:type="dxa"/>
            <w:right w:w="108" w:type="dxa"/>
          </w:tblCellMar>
        </w:tblPrEx>
        <w:trPr>
          <w:trHeight w:val="308" w:hRule="atLeast"/>
          <w:jc w:val="center"/>
        </w:trPr>
        <w:tc>
          <w:tcPr>
            <w:tcW w:w="3147" w:type="dxa"/>
            <w:tcBorders>
              <w:top w:val="nil"/>
              <w:left w:val="single" w:color="000000" w:sz="4" w:space="0"/>
              <w:bottom w:val="single" w:color="000000" w:sz="4" w:space="0"/>
              <w:right w:val="single" w:color="000000" w:sz="4" w:space="0"/>
            </w:tcBorders>
            <w:shd w:val="clear" w:color="FFFFFF" w:fill="auto"/>
            <w:noWrap/>
            <w:vAlign w:val="center"/>
          </w:tcPr>
          <w:p w14:paraId="7ED48CB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 xml:space="preserve">  一般公共预算财政拨款</w:t>
            </w:r>
          </w:p>
        </w:tc>
        <w:tc>
          <w:tcPr>
            <w:tcW w:w="697" w:type="dxa"/>
            <w:tcBorders>
              <w:top w:val="nil"/>
              <w:left w:val="nil"/>
              <w:bottom w:val="single" w:color="000000" w:sz="4" w:space="0"/>
              <w:right w:val="single" w:color="000000" w:sz="4" w:space="0"/>
            </w:tcBorders>
            <w:shd w:val="clear" w:color="FFFFFF" w:fill="auto"/>
            <w:noWrap/>
            <w:vAlign w:val="center"/>
          </w:tcPr>
          <w:p w14:paraId="57BF5A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7</w:t>
            </w:r>
          </w:p>
        </w:tc>
        <w:tc>
          <w:tcPr>
            <w:tcW w:w="1285" w:type="dxa"/>
            <w:tcBorders>
              <w:top w:val="nil"/>
              <w:left w:val="nil"/>
              <w:bottom w:val="single" w:color="000000" w:sz="4" w:space="0"/>
              <w:right w:val="single" w:color="000000" w:sz="4" w:space="0"/>
            </w:tcBorders>
            <w:shd w:val="clear" w:color="FFFFFF" w:fill="auto"/>
            <w:noWrap/>
            <w:vAlign w:val="center"/>
          </w:tcPr>
          <w:p w14:paraId="634F0AA3">
            <w:pPr>
              <w:keepNext w:val="0"/>
              <w:keepLines w:val="0"/>
              <w:widowControl/>
              <w:suppressLineNumbers w:val="0"/>
              <w:jc w:val="right"/>
              <w:textAlignment w:val="center"/>
              <w:rPr>
                <w:rFonts w:ascii="宋体" w:hAnsi="宋体" w:eastAsia="宋体" w:cs="Arial"/>
                <w:b w:val="0"/>
                <w:bCs w:val="0"/>
                <w:color w:val="000000"/>
                <w:kern w:val="0"/>
                <w:sz w:val="22"/>
              </w:rPr>
            </w:pPr>
            <w:r>
              <w:rPr>
                <w:rFonts w:hint="eastAsia" w:ascii="宋体" w:hAnsi="宋体" w:eastAsia="宋体" w:cs="宋体"/>
                <w:i w:val="0"/>
                <w:iCs w:val="0"/>
                <w:color w:val="000000"/>
                <w:kern w:val="0"/>
                <w:sz w:val="22"/>
                <w:szCs w:val="22"/>
                <w:u w:val="none"/>
                <w:lang w:val="en-US" w:eastAsia="zh-CN" w:bidi="ar"/>
              </w:rPr>
              <w:t>1,061.44</w:t>
            </w:r>
          </w:p>
        </w:tc>
        <w:tc>
          <w:tcPr>
            <w:tcW w:w="3000" w:type="dxa"/>
            <w:tcBorders>
              <w:top w:val="nil"/>
              <w:left w:val="nil"/>
              <w:bottom w:val="single" w:color="000000" w:sz="4" w:space="0"/>
              <w:right w:val="single" w:color="000000" w:sz="4" w:space="0"/>
            </w:tcBorders>
            <w:shd w:val="clear" w:color="FFFFFF" w:fill="auto"/>
            <w:noWrap/>
            <w:vAlign w:val="center"/>
          </w:tcPr>
          <w:p w14:paraId="42E13D0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p>
        </w:tc>
        <w:tc>
          <w:tcPr>
            <w:tcW w:w="806" w:type="dxa"/>
            <w:tcBorders>
              <w:top w:val="nil"/>
              <w:left w:val="nil"/>
              <w:bottom w:val="single" w:color="000000" w:sz="4" w:space="0"/>
              <w:right w:val="single" w:color="000000" w:sz="4" w:space="0"/>
            </w:tcBorders>
            <w:shd w:val="clear" w:color="FFFFFF" w:fill="auto"/>
            <w:noWrap/>
            <w:vAlign w:val="center"/>
          </w:tcPr>
          <w:p w14:paraId="03154E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17</w:t>
            </w:r>
          </w:p>
        </w:tc>
        <w:tc>
          <w:tcPr>
            <w:tcW w:w="1255" w:type="dxa"/>
            <w:gridSpan w:val="2"/>
            <w:tcBorders>
              <w:top w:val="nil"/>
              <w:left w:val="nil"/>
              <w:bottom w:val="single" w:color="000000" w:sz="4" w:space="0"/>
              <w:right w:val="single" w:color="000000" w:sz="4" w:space="0"/>
            </w:tcBorders>
            <w:shd w:val="clear" w:color="FFFFFF" w:fill="auto"/>
            <w:noWrap/>
            <w:vAlign w:val="center"/>
          </w:tcPr>
          <w:p w14:paraId="797BF61D">
            <w:pPr>
              <w:keepNext w:val="0"/>
              <w:keepLines w:val="0"/>
              <w:pageBreakBefore w:val="0"/>
              <w:widowControl/>
              <w:kinsoku/>
              <w:wordWrap/>
              <w:overflowPunct/>
              <w:topLinePunct w:val="0"/>
              <w:autoSpaceDE/>
              <w:autoSpaceDN/>
              <w:bidi w:val="0"/>
              <w:adjustRightInd/>
              <w:snapToGrid/>
              <w:spacing w:line="400" w:lineRule="exact"/>
              <w:jc w:val="right"/>
              <w:textAlignment w:val="auto"/>
              <w:rPr>
                <w:rFonts w:ascii="宋体" w:hAnsi="宋体" w:eastAsia="宋体" w:cs="Arial"/>
                <w:b w:val="0"/>
                <w:bCs w:val="0"/>
                <w:color w:val="000000"/>
                <w:kern w:val="0"/>
                <w:sz w:val="22"/>
              </w:rPr>
            </w:pPr>
          </w:p>
        </w:tc>
        <w:tc>
          <w:tcPr>
            <w:tcW w:w="1255" w:type="dxa"/>
            <w:gridSpan w:val="2"/>
            <w:tcBorders>
              <w:top w:val="nil"/>
              <w:left w:val="nil"/>
              <w:bottom w:val="single" w:color="000000" w:sz="4" w:space="0"/>
              <w:right w:val="single" w:color="000000" w:sz="4" w:space="0"/>
            </w:tcBorders>
            <w:shd w:val="clear" w:color="FFFFFF" w:fill="auto"/>
            <w:noWrap/>
            <w:vAlign w:val="center"/>
          </w:tcPr>
          <w:p w14:paraId="2194DB2D">
            <w:pPr>
              <w:keepNext w:val="0"/>
              <w:keepLines w:val="0"/>
              <w:pageBreakBefore w:val="0"/>
              <w:widowControl/>
              <w:kinsoku/>
              <w:wordWrap/>
              <w:overflowPunct/>
              <w:topLinePunct w:val="0"/>
              <w:autoSpaceDE/>
              <w:autoSpaceDN/>
              <w:bidi w:val="0"/>
              <w:adjustRightInd/>
              <w:snapToGrid/>
              <w:spacing w:line="400" w:lineRule="exact"/>
              <w:jc w:val="right"/>
              <w:textAlignment w:val="auto"/>
              <w:rPr>
                <w:rFonts w:ascii="宋体" w:hAnsi="宋体" w:eastAsia="宋体" w:cs="Arial"/>
                <w:b w:val="0"/>
                <w:bCs w:val="0"/>
                <w:color w:val="000000"/>
                <w:kern w:val="0"/>
                <w:sz w:val="22"/>
              </w:rPr>
            </w:pPr>
          </w:p>
        </w:tc>
        <w:tc>
          <w:tcPr>
            <w:tcW w:w="1255" w:type="dxa"/>
            <w:gridSpan w:val="2"/>
            <w:tcBorders>
              <w:top w:val="nil"/>
              <w:left w:val="nil"/>
              <w:bottom w:val="single" w:color="000000" w:sz="4" w:space="0"/>
              <w:right w:val="single" w:color="000000" w:sz="4" w:space="0"/>
            </w:tcBorders>
            <w:shd w:val="clear" w:color="FFFFFF" w:fill="auto"/>
            <w:noWrap/>
            <w:vAlign w:val="center"/>
          </w:tcPr>
          <w:p w14:paraId="5870A07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p>
        </w:tc>
        <w:tc>
          <w:tcPr>
            <w:tcW w:w="1258" w:type="dxa"/>
            <w:tcBorders>
              <w:top w:val="nil"/>
              <w:left w:val="nil"/>
              <w:bottom w:val="single" w:color="000000" w:sz="4" w:space="0"/>
              <w:right w:val="single" w:color="000000" w:sz="4" w:space="0"/>
            </w:tcBorders>
            <w:shd w:val="clear" w:color="FFFFFF" w:fill="auto"/>
            <w:noWrap/>
            <w:vAlign w:val="center"/>
          </w:tcPr>
          <w:p w14:paraId="458B33E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p>
        </w:tc>
      </w:tr>
      <w:tr w14:paraId="74F456D0">
        <w:tblPrEx>
          <w:tblCellMar>
            <w:top w:w="0" w:type="dxa"/>
            <w:left w:w="108" w:type="dxa"/>
            <w:bottom w:w="0" w:type="dxa"/>
            <w:right w:w="108" w:type="dxa"/>
          </w:tblCellMar>
        </w:tblPrEx>
        <w:trPr>
          <w:trHeight w:val="308" w:hRule="atLeast"/>
          <w:jc w:val="center"/>
        </w:trPr>
        <w:tc>
          <w:tcPr>
            <w:tcW w:w="3147" w:type="dxa"/>
            <w:tcBorders>
              <w:top w:val="nil"/>
              <w:left w:val="single" w:color="000000" w:sz="4" w:space="0"/>
              <w:bottom w:val="single" w:color="000000" w:sz="4" w:space="0"/>
              <w:right w:val="single" w:color="000000" w:sz="4" w:space="0"/>
            </w:tcBorders>
            <w:shd w:val="clear" w:color="FFFFFF" w:fill="auto"/>
            <w:noWrap/>
            <w:vAlign w:val="center"/>
          </w:tcPr>
          <w:p w14:paraId="35437B3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 xml:space="preserve">  政府性基金预算财政拨款</w:t>
            </w:r>
          </w:p>
        </w:tc>
        <w:tc>
          <w:tcPr>
            <w:tcW w:w="697" w:type="dxa"/>
            <w:tcBorders>
              <w:top w:val="nil"/>
              <w:left w:val="nil"/>
              <w:bottom w:val="single" w:color="000000" w:sz="4" w:space="0"/>
              <w:right w:val="single" w:color="000000" w:sz="4" w:space="0"/>
            </w:tcBorders>
            <w:shd w:val="clear" w:color="FFFFFF" w:fill="auto"/>
            <w:noWrap/>
            <w:vAlign w:val="center"/>
          </w:tcPr>
          <w:p w14:paraId="5A0484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8</w:t>
            </w:r>
          </w:p>
        </w:tc>
        <w:tc>
          <w:tcPr>
            <w:tcW w:w="1285" w:type="dxa"/>
            <w:tcBorders>
              <w:top w:val="nil"/>
              <w:left w:val="nil"/>
              <w:bottom w:val="single" w:color="000000" w:sz="4" w:space="0"/>
              <w:right w:val="single" w:color="000000" w:sz="4" w:space="0"/>
            </w:tcBorders>
            <w:shd w:val="clear" w:color="FFFFFF" w:fill="auto"/>
            <w:noWrap/>
            <w:vAlign w:val="center"/>
          </w:tcPr>
          <w:p w14:paraId="3088B0B1">
            <w:pPr>
              <w:keepNext w:val="0"/>
              <w:keepLines w:val="0"/>
              <w:widowControl/>
              <w:suppressLineNumbers w:val="0"/>
              <w:jc w:val="right"/>
              <w:textAlignment w:val="center"/>
              <w:rPr>
                <w:rFonts w:ascii="宋体" w:hAnsi="宋体" w:eastAsia="宋体" w:cs="Arial"/>
                <w:b w:val="0"/>
                <w:bCs w:val="0"/>
                <w:color w:val="000000"/>
                <w:kern w:val="0"/>
                <w:sz w:val="22"/>
              </w:rPr>
            </w:pPr>
          </w:p>
        </w:tc>
        <w:tc>
          <w:tcPr>
            <w:tcW w:w="3000" w:type="dxa"/>
            <w:tcBorders>
              <w:top w:val="nil"/>
              <w:left w:val="nil"/>
              <w:bottom w:val="single" w:color="000000" w:sz="4" w:space="0"/>
              <w:right w:val="single" w:color="000000" w:sz="4" w:space="0"/>
            </w:tcBorders>
            <w:shd w:val="clear" w:color="FFFFFF" w:fill="auto"/>
            <w:noWrap/>
            <w:vAlign w:val="center"/>
          </w:tcPr>
          <w:p w14:paraId="58A253A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p>
        </w:tc>
        <w:tc>
          <w:tcPr>
            <w:tcW w:w="806" w:type="dxa"/>
            <w:tcBorders>
              <w:top w:val="nil"/>
              <w:left w:val="nil"/>
              <w:bottom w:val="single" w:color="000000" w:sz="4" w:space="0"/>
              <w:right w:val="single" w:color="000000" w:sz="4" w:space="0"/>
            </w:tcBorders>
            <w:shd w:val="clear" w:color="FFFFFF" w:fill="auto"/>
            <w:noWrap/>
            <w:vAlign w:val="center"/>
          </w:tcPr>
          <w:p w14:paraId="6F40AE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18</w:t>
            </w:r>
          </w:p>
        </w:tc>
        <w:tc>
          <w:tcPr>
            <w:tcW w:w="1255" w:type="dxa"/>
            <w:gridSpan w:val="2"/>
            <w:tcBorders>
              <w:top w:val="nil"/>
              <w:left w:val="nil"/>
              <w:bottom w:val="single" w:color="000000" w:sz="4" w:space="0"/>
              <w:right w:val="single" w:color="000000" w:sz="4" w:space="0"/>
            </w:tcBorders>
            <w:shd w:val="clear" w:color="FFFFFF" w:fill="auto"/>
            <w:noWrap/>
            <w:vAlign w:val="center"/>
          </w:tcPr>
          <w:p w14:paraId="599BF0B6">
            <w:pPr>
              <w:keepNext w:val="0"/>
              <w:keepLines w:val="0"/>
              <w:pageBreakBefore w:val="0"/>
              <w:widowControl/>
              <w:kinsoku/>
              <w:wordWrap/>
              <w:overflowPunct/>
              <w:topLinePunct w:val="0"/>
              <w:autoSpaceDE/>
              <w:autoSpaceDN/>
              <w:bidi w:val="0"/>
              <w:adjustRightInd/>
              <w:snapToGrid/>
              <w:spacing w:line="400" w:lineRule="exact"/>
              <w:jc w:val="right"/>
              <w:textAlignment w:val="auto"/>
              <w:rPr>
                <w:rFonts w:ascii="宋体" w:hAnsi="宋体" w:eastAsia="宋体" w:cs="Arial"/>
                <w:b w:val="0"/>
                <w:bCs w:val="0"/>
                <w:color w:val="000000"/>
                <w:kern w:val="0"/>
                <w:sz w:val="22"/>
              </w:rPr>
            </w:pPr>
          </w:p>
        </w:tc>
        <w:tc>
          <w:tcPr>
            <w:tcW w:w="1255" w:type="dxa"/>
            <w:gridSpan w:val="2"/>
            <w:tcBorders>
              <w:top w:val="nil"/>
              <w:left w:val="nil"/>
              <w:bottom w:val="single" w:color="000000" w:sz="4" w:space="0"/>
              <w:right w:val="single" w:color="000000" w:sz="4" w:space="0"/>
            </w:tcBorders>
            <w:shd w:val="clear" w:color="FFFFFF" w:fill="auto"/>
            <w:noWrap/>
            <w:vAlign w:val="center"/>
          </w:tcPr>
          <w:p w14:paraId="344497B9">
            <w:pPr>
              <w:keepNext w:val="0"/>
              <w:keepLines w:val="0"/>
              <w:pageBreakBefore w:val="0"/>
              <w:widowControl/>
              <w:kinsoku/>
              <w:wordWrap/>
              <w:overflowPunct/>
              <w:topLinePunct w:val="0"/>
              <w:autoSpaceDE/>
              <w:autoSpaceDN/>
              <w:bidi w:val="0"/>
              <w:adjustRightInd/>
              <w:snapToGrid/>
              <w:spacing w:line="400" w:lineRule="exact"/>
              <w:jc w:val="right"/>
              <w:textAlignment w:val="auto"/>
              <w:rPr>
                <w:rFonts w:ascii="宋体" w:hAnsi="宋体" w:eastAsia="宋体" w:cs="Arial"/>
                <w:b w:val="0"/>
                <w:bCs w:val="0"/>
                <w:color w:val="000000"/>
                <w:kern w:val="0"/>
                <w:sz w:val="22"/>
              </w:rPr>
            </w:pPr>
          </w:p>
        </w:tc>
        <w:tc>
          <w:tcPr>
            <w:tcW w:w="1255" w:type="dxa"/>
            <w:gridSpan w:val="2"/>
            <w:tcBorders>
              <w:top w:val="nil"/>
              <w:left w:val="nil"/>
              <w:bottom w:val="single" w:color="000000" w:sz="4" w:space="0"/>
              <w:right w:val="single" w:color="000000" w:sz="4" w:space="0"/>
            </w:tcBorders>
            <w:shd w:val="clear" w:color="FFFFFF" w:fill="auto"/>
            <w:noWrap/>
            <w:vAlign w:val="center"/>
          </w:tcPr>
          <w:p w14:paraId="4139E7E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p>
        </w:tc>
        <w:tc>
          <w:tcPr>
            <w:tcW w:w="1258" w:type="dxa"/>
            <w:tcBorders>
              <w:top w:val="nil"/>
              <w:left w:val="nil"/>
              <w:bottom w:val="single" w:color="000000" w:sz="4" w:space="0"/>
              <w:right w:val="single" w:color="000000" w:sz="4" w:space="0"/>
            </w:tcBorders>
            <w:shd w:val="clear" w:color="FFFFFF" w:fill="auto"/>
            <w:noWrap/>
            <w:vAlign w:val="center"/>
          </w:tcPr>
          <w:p w14:paraId="003D65A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p>
        </w:tc>
      </w:tr>
      <w:tr w14:paraId="1A838743">
        <w:tblPrEx>
          <w:tblCellMar>
            <w:top w:w="0" w:type="dxa"/>
            <w:left w:w="108" w:type="dxa"/>
            <w:bottom w:w="0" w:type="dxa"/>
            <w:right w:w="108" w:type="dxa"/>
          </w:tblCellMar>
        </w:tblPrEx>
        <w:trPr>
          <w:trHeight w:val="308" w:hRule="atLeast"/>
          <w:jc w:val="center"/>
        </w:trPr>
        <w:tc>
          <w:tcPr>
            <w:tcW w:w="3147" w:type="dxa"/>
            <w:tcBorders>
              <w:top w:val="nil"/>
              <w:left w:val="single" w:color="000000" w:sz="4" w:space="0"/>
              <w:bottom w:val="single" w:color="000000" w:sz="4" w:space="0"/>
              <w:right w:val="single" w:color="000000" w:sz="4" w:space="0"/>
            </w:tcBorders>
            <w:shd w:val="clear" w:color="FFFFFF" w:fill="auto"/>
            <w:noWrap/>
            <w:vAlign w:val="center"/>
          </w:tcPr>
          <w:p w14:paraId="4D0E350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 xml:space="preserve">  国有资本经营预算财政拨款</w:t>
            </w:r>
          </w:p>
        </w:tc>
        <w:tc>
          <w:tcPr>
            <w:tcW w:w="697" w:type="dxa"/>
            <w:tcBorders>
              <w:top w:val="nil"/>
              <w:left w:val="nil"/>
              <w:bottom w:val="single" w:color="000000" w:sz="4" w:space="0"/>
              <w:right w:val="single" w:color="000000" w:sz="4" w:space="0"/>
            </w:tcBorders>
            <w:shd w:val="clear" w:color="FFFFFF" w:fill="auto"/>
            <w:noWrap/>
            <w:vAlign w:val="center"/>
          </w:tcPr>
          <w:p w14:paraId="227C61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9</w:t>
            </w:r>
          </w:p>
        </w:tc>
        <w:tc>
          <w:tcPr>
            <w:tcW w:w="1285" w:type="dxa"/>
            <w:tcBorders>
              <w:top w:val="nil"/>
              <w:left w:val="nil"/>
              <w:bottom w:val="single" w:color="000000" w:sz="4" w:space="0"/>
              <w:right w:val="single" w:color="000000" w:sz="4" w:space="0"/>
            </w:tcBorders>
            <w:shd w:val="clear" w:color="FFFFFF" w:fill="auto"/>
            <w:noWrap/>
            <w:vAlign w:val="center"/>
          </w:tcPr>
          <w:p w14:paraId="037774D0">
            <w:pPr>
              <w:keepNext w:val="0"/>
              <w:keepLines w:val="0"/>
              <w:widowControl/>
              <w:suppressLineNumbers w:val="0"/>
              <w:jc w:val="right"/>
              <w:textAlignment w:val="center"/>
              <w:rPr>
                <w:rFonts w:ascii="宋体" w:hAnsi="宋体" w:eastAsia="宋体" w:cs="Arial"/>
                <w:b w:val="0"/>
                <w:bCs w:val="0"/>
                <w:color w:val="000000"/>
                <w:kern w:val="0"/>
                <w:sz w:val="22"/>
              </w:rPr>
            </w:pPr>
          </w:p>
        </w:tc>
        <w:tc>
          <w:tcPr>
            <w:tcW w:w="3000" w:type="dxa"/>
            <w:tcBorders>
              <w:top w:val="nil"/>
              <w:left w:val="nil"/>
              <w:bottom w:val="single" w:color="000000" w:sz="4" w:space="0"/>
              <w:right w:val="single" w:color="000000" w:sz="4" w:space="0"/>
            </w:tcBorders>
            <w:shd w:val="clear" w:color="FFFFFF" w:fill="auto"/>
            <w:noWrap/>
            <w:vAlign w:val="center"/>
          </w:tcPr>
          <w:p w14:paraId="42CAE88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p>
        </w:tc>
        <w:tc>
          <w:tcPr>
            <w:tcW w:w="806" w:type="dxa"/>
            <w:tcBorders>
              <w:top w:val="nil"/>
              <w:left w:val="nil"/>
              <w:bottom w:val="single" w:color="000000" w:sz="4" w:space="0"/>
              <w:right w:val="single" w:color="000000" w:sz="4" w:space="0"/>
            </w:tcBorders>
            <w:shd w:val="clear" w:color="FFFFFF" w:fill="auto"/>
            <w:noWrap/>
            <w:vAlign w:val="center"/>
          </w:tcPr>
          <w:p w14:paraId="53C148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19</w:t>
            </w:r>
          </w:p>
        </w:tc>
        <w:tc>
          <w:tcPr>
            <w:tcW w:w="1255" w:type="dxa"/>
            <w:gridSpan w:val="2"/>
            <w:tcBorders>
              <w:top w:val="nil"/>
              <w:left w:val="nil"/>
              <w:bottom w:val="single" w:color="000000" w:sz="4" w:space="0"/>
              <w:right w:val="single" w:color="000000" w:sz="4" w:space="0"/>
            </w:tcBorders>
            <w:shd w:val="clear" w:color="FFFFFF" w:fill="auto"/>
            <w:noWrap/>
            <w:vAlign w:val="center"/>
          </w:tcPr>
          <w:p w14:paraId="5A32E5D0">
            <w:pPr>
              <w:keepNext w:val="0"/>
              <w:keepLines w:val="0"/>
              <w:pageBreakBefore w:val="0"/>
              <w:widowControl/>
              <w:kinsoku/>
              <w:wordWrap/>
              <w:overflowPunct/>
              <w:topLinePunct w:val="0"/>
              <w:autoSpaceDE/>
              <w:autoSpaceDN/>
              <w:bidi w:val="0"/>
              <w:adjustRightInd/>
              <w:snapToGrid/>
              <w:spacing w:line="400" w:lineRule="exact"/>
              <w:jc w:val="right"/>
              <w:textAlignment w:val="auto"/>
              <w:rPr>
                <w:rFonts w:ascii="宋体" w:hAnsi="宋体" w:eastAsia="宋体" w:cs="Arial"/>
                <w:b w:val="0"/>
                <w:bCs w:val="0"/>
                <w:color w:val="000000"/>
                <w:kern w:val="0"/>
                <w:sz w:val="22"/>
              </w:rPr>
            </w:pPr>
          </w:p>
        </w:tc>
        <w:tc>
          <w:tcPr>
            <w:tcW w:w="1255" w:type="dxa"/>
            <w:gridSpan w:val="2"/>
            <w:tcBorders>
              <w:top w:val="nil"/>
              <w:left w:val="nil"/>
              <w:bottom w:val="single" w:color="000000" w:sz="4" w:space="0"/>
              <w:right w:val="single" w:color="000000" w:sz="4" w:space="0"/>
            </w:tcBorders>
            <w:shd w:val="clear" w:color="FFFFFF" w:fill="auto"/>
            <w:noWrap/>
            <w:vAlign w:val="center"/>
          </w:tcPr>
          <w:p w14:paraId="2FDB4448">
            <w:pPr>
              <w:keepNext w:val="0"/>
              <w:keepLines w:val="0"/>
              <w:pageBreakBefore w:val="0"/>
              <w:widowControl/>
              <w:kinsoku/>
              <w:wordWrap/>
              <w:overflowPunct/>
              <w:topLinePunct w:val="0"/>
              <w:autoSpaceDE/>
              <w:autoSpaceDN/>
              <w:bidi w:val="0"/>
              <w:adjustRightInd/>
              <w:snapToGrid/>
              <w:spacing w:line="400" w:lineRule="exact"/>
              <w:jc w:val="right"/>
              <w:textAlignment w:val="auto"/>
              <w:rPr>
                <w:rFonts w:ascii="宋体" w:hAnsi="宋体" w:eastAsia="宋体" w:cs="Arial"/>
                <w:b w:val="0"/>
                <w:bCs w:val="0"/>
                <w:color w:val="000000"/>
                <w:kern w:val="0"/>
                <w:sz w:val="22"/>
              </w:rPr>
            </w:pPr>
          </w:p>
        </w:tc>
        <w:tc>
          <w:tcPr>
            <w:tcW w:w="1255" w:type="dxa"/>
            <w:gridSpan w:val="2"/>
            <w:tcBorders>
              <w:top w:val="nil"/>
              <w:left w:val="nil"/>
              <w:bottom w:val="single" w:color="000000" w:sz="4" w:space="0"/>
              <w:right w:val="single" w:color="000000" w:sz="4" w:space="0"/>
            </w:tcBorders>
            <w:shd w:val="clear" w:color="FFFFFF" w:fill="auto"/>
            <w:noWrap/>
            <w:vAlign w:val="center"/>
          </w:tcPr>
          <w:p w14:paraId="1E12586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p>
        </w:tc>
        <w:tc>
          <w:tcPr>
            <w:tcW w:w="1258" w:type="dxa"/>
            <w:tcBorders>
              <w:top w:val="nil"/>
              <w:left w:val="nil"/>
              <w:bottom w:val="single" w:color="000000" w:sz="4" w:space="0"/>
              <w:right w:val="single" w:color="000000" w:sz="4" w:space="0"/>
            </w:tcBorders>
            <w:shd w:val="clear" w:color="FFFFFF" w:fill="auto"/>
            <w:noWrap/>
            <w:vAlign w:val="center"/>
          </w:tcPr>
          <w:p w14:paraId="2C5D51E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p>
        </w:tc>
      </w:tr>
      <w:tr w14:paraId="099EF1B7">
        <w:tblPrEx>
          <w:tblCellMar>
            <w:top w:w="0" w:type="dxa"/>
            <w:left w:w="108" w:type="dxa"/>
            <w:bottom w:w="0" w:type="dxa"/>
            <w:right w:w="108" w:type="dxa"/>
          </w:tblCellMar>
        </w:tblPrEx>
        <w:trPr>
          <w:trHeight w:val="308" w:hRule="atLeast"/>
          <w:jc w:val="center"/>
        </w:trPr>
        <w:tc>
          <w:tcPr>
            <w:tcW w:w="3147" w:type="dxa"/>
            <w:tcBorders>
              <w:top w:val="nil"/>
              <w:left w:val="single" w:color="000000" w:sz="4" w:space="0"/>
              <w:bottom w:val="single" w:color="000000" w:sz="4" w:space="0"/>
              <w:right w:val="single" w:color="000000" w:sz="4" w:space="0"/>
            </w:tcBorders>
            <w:shd w:val="clear" w:color="FFFFFF" w:fill="auto"/>
            <w:noWrap/>
            <w:vAlign w:val="center"/>
          </w:tcPr>
          <w:p w14:paraId="199187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总计</w:t>
            </w:r>
          </w:p>
        </w:tc>
        <w:tc>
          <w:tcPr>
            <w:tcW w:w="697" w:type="dxa"/>
            <w:tcBorders>
              <w:top w:val="nil"/>
              <w:left w:val="nil"/>
              <w:bottom w:val="single" w:color="000000" w:sz="4" w:space="0"/>
              <w:right w:val="single" w:color="000000" w:sz="4" w:space="0"/>
            </w:tcBorders>
            <w:shd w:val="clear" w:color="FFFFFF" w:fill="auto"/>
            <w:noWrap/>
            <w:vAlign w:val="center"/>
          </w:tcPr>
          <w:p w14:paraId="208587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10</w:t>
            </w:r>
          </w:p>
        </w:tc>
        <w:tc>
          <w:tcPr>
            <w:tcW w:w="1285" w:type="dxa"/>
            <w:tcBorders>
              <w:top w:val="nil"/>
              <w:left w:val="nil"/>
              <w:bottom w:val="single" w:color="000000" w:sz="4" w:space="0"/>
              <w:right w:val="single" w:color="000000" w:sz="4" w:space="0"/>
            </w:tcBorders>
            <w:shd w:val="clear" w:color="FFFFFF" w:fill="auto"/>
            <w:noWrap/>
            <w:vAlign w:val="center"/>
          </w:tcPr>
          <w:p w14:paraId="776CDF38">
            <w:pPr>
              <w:keepNext w:val="0"/>
              <w:keepLines w:val="0"/>
              <w:widowControl/>
              <w:suppressLineNumbers w:val="0"/>
              <w:jc w:val="right"/>
              <w:textAlignment w:val="center"/>
              <w:rPr>
                <w:rFonts w:hint="default" w:ascii="宋体" w:hAnsi="宋体" w:eastAsia="宋体" w:cs="Arial"/>
                <w:b w:val="0"/>
                <w:bCs w:val="0"/>
                <w:color w:val="000000"/>
                <w:kern w:val="0"/>
                <w:sz w:val="22"/>
                <w:lang w:val="en-US"/>
              </w:rPr>
            </w:pPr>
            <w:r>
              <w:rPr>
                <w:rFonts w:hint="eastAsia" w:ascii="宋体" w:hAnsi="宋体" w:eastAsia="宋体" w:cs="宋体"/>
                <w:i w:val="0"/>
                <w:iCs w:val="0"/>
                <w:color w:val="000000"/>
                <w:kern w:val="0"/>
                <w:sz w:val="22"/>
                <w:szCs w:val="22"/>
                <w:u w:val="none"/>
                <w:lang w:val="en-US" w:eastAsia="zh-CN" w:bidi="ar"/>
              </w:rPr>
              <w:t>12,604.35</w:t>
            </w:r>
          </w:p>
        </w:tc>
        <w:tc>
          <w:tcPr>
            <w:tcW w:w="3000" w:type="dxa"/>
            <w:tcBorders>
              <w:top w:val="nil"/>
              <w:left w:val="nil"/>
              <w:bottom w:val="single" w:color="000000" w:sz="4" w:space="0"/>
              <w:right w:val="single" w:color="000000" w:sz="4" w:space="0"/>
            </w:tcBorders>
            <w:shd w:val="clear" w:color="FFFFFF" w:fill="auto"/>
            <w:noWrap/>
            <w:vAlign w:val="center"/>
          </w:tcPr>
          <w:p w14:paraId="72A33C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总计</w:t>
            </w:r>
          </w:p>
        </w:tc>
        <w:tc>
          <w:tcPr>
            <w:tcW w:w="806" w:type="dxa"/>
            <w:tcBorders>
              <w:top w:val="nil"/>
              <w:left w:val="nil"/>
              <w:bottom w:val="single" w:color="000000" w:sz="4" w:space="0"/>
              <w:right w:val="single" w:color="000000" w:sz="4" w:space="0"/>
            </w:tcBorders>
            <w:shd w:val="clear" w:color="FFFFFF" w:fill="auto"/>
            <w:noWrap/>
            <w:vAlign w:val="center"/>
          </w:tcPr>
          <w:p w14:paraId="5A0BC3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ascii="宋体" w:hAnsi="宋体" w:eastAsia="宋体" w:cs="Arial"/>
                <w:b w:val="0"/>
                <w:bCs w:val="0"/>
                <w:color w:val="000000"/>
                <w:kern w:val="0"/>
                <w:sz w:val="22"/>
              </w:rPr>
            </w:pPr>
            <w:r>
              <w:rPr>
                <w:rFonts w:hint="eastAsia" w:ascii="宋体" w:hAnsi="宋体" w:eastAsia="宋体" w:cs="宋体"/>
                <w:b w:val="0"/>
                <w:bCs w:val="0"/>
                <w:i w:val="0"/>
                <w:iCs w:val="0"/>
                <w:color w:val="000000"/>
                <w:kern w:val="0"/>
                <w:sz w:val="22"/>
                <w:szCs w:val="22"/>
                <w:u w:val="none"/>
                <w:lang w:val="en-US" w:eastAsia="zh-CN" w:bidi="ar"/>
              </w:rPr>
              <w:t>20</w:t>
            </w:r>
          </w:p>
        </w:tc>
        <w:tc>
          <w:tcPr>
            <w:tcW w:w="1255" w:type="dxa"/>
            <w:gridSpan w:val="2"/>
            <w:tcBorders>
              <w:top w:val="nil"/>
              <w:left w:val="nil"/>
              <w:bottom w:val="single" w:color="000000" w:sz="4" w:space="0"/>
              <w:right w:val="single" w:color="000000" w:sz="4" w:space="0"/>
            </w:tcBorders>
            <w:shd w:val="clear" w:color="FFFFFF" w:fill="auto"/>
            <w:noWrap/>
            <w:vAlign w:val="center"/>
          </w:tcPr>
          <w:p w14:paraId="6172D075">
            <w:pPr>
              <w:keepNext w:val="0"/>
              <w:keepLines w:val="0"/>
              <w:widowControl/>
              <w:suppressLineNumbers w:val="0"/>
              <w:jc w:val="right"/>
              <w:textAlignment w:val="center"/>
              <w:rPr>
                <w:rFonts w:hint="default" w:ascii="宋体" w:hAnsi="宋体" w:eastAsia="宋体" w:cs="Arial"/>
                <w:b w:val="0"/>
                <w:bCs w:val="0"/>
                <w:color w:val="000000"/>
                <w:kern w:val="0"/>
                <w:sz w:val="22"/>
                <w:lang w:val="en-US"/>
              </w:rPr>
            </w:pPr>
            <w:r>
              <w:rPr>
                <w:rFonts w:hint="eastAsia" w:ascii="宋体" w:hAnsi="宋体" w:eastAsia="宋体" w:cs="宋体"/>
                <w:i w:val="0"/>
                <w:iCs w:val="0"/>
                <w:color w:val="000000"/>
                <w:kern w:val="0"/>
                <w:sz w:val="22"/>
                <w:szCs w:val="22"/>
                <w:u w:val="none"/>
                <w:lang w:val="en-US" w:eastAsia="zh-CN" w:bidi="ar"/>
              </w:rPr>
              <w:t>12,604.35</w:t>
            </w:r>
          </w:p>
        </w:tc>
        <w:tc>
          <w:tcPr>
            <w:tcW w:w="1255" w:type="dxa"/>
            <w:gridSpan w:val="2"/>
            <w:tcBorders>
              <w:top w:val="nil"/>
              <w:left w:val="nil"/>
              <w:bottom w:val="single" w:color="000000" w:sz="4" w:space="0"/>
              <w:right w:val="single" w:color="000000" w:sz="4" w:space="0"/>
            </w:tcBorders>
            <w:shd w:val="clear" w:color="FFFFFF" w:fill="auto"/>
            <w:noWrap/>
            <w:vAlign w:val="center"/>
          </w:tcPr>
          <w:p w14:paraId="43463342">
            <w:pPr>
              <w:keepNext w:val="0"/>
              <w:keepLines w:val="0"/>
              <w:widowControl/>
              <w:suppressLineNumbers w:val="0"/>
              <w:jc w:val="right"/>
              <w:textAlignment w:val="center"/>
              <w:rPr>
                <w:rFonts w:ascii="宋体" w:hAnsi="宋体" w:eastAsia="宋体" w:cs="Arial"/>
                <w:b w:val="0"/>
                <w:bCs w:val="0"/>
                <w:color w:val="000000"/>
                <w:kern w:val="0"/>
                <w:sz w:val="22"/>
              </w:rPr>
            </w:pPr>
            <w:r>
              <w:rPr>
                <w:rFonts w:hint="eastAsia" w:ascii="宋体" w:hAnsi="宋体" w:eastAsia="宋体" w:cs="宋体"/>
                <w:i w:val="0"/>
                <w:iCs w:val="0"/>
                <w:color w:val="000000"/>
                <w:kern w:val="0"/>
                <w:sz w:val="22"/>
                <w:szCs w:val="22"/>
                <w:u w:val="none"/>
                <w:lang w:val="en-US" w:eastAsia="zh-CN" w:bidi="ar"/>
              </w:rPr>
              <w:t>12,604.35</w:t>
            </w:r>
          </w:p>
        </w:tc>
        <w:tc>
          <w:tcPr>
            <w:tcW w:w="1255" w:type="dxa"/>
            <w:gridSpan w:val="2"/>
            <w:tcBorders>
              <w:top w:val="nil"/>
              <w:left w:val="nil"/>
              <w:bottom w:val="single" w:color="000000" w:sz="4" w:space="0"/>
              <w:right w:val="single" w:color="000000" w:sz="4" w:space="0"/>
            </w:tcBorders>
            <w:shd w:val="clear" w:color="FFFFFF" w:fill="auto"/>
            <w:noWrap/>
            <w:vAlign w:val="center"/>
          </w:tcPr>
          <w:p w14:paraId="17BA6B4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p>
        </w:tc>
        <w:tc>
          <w:tcPr>
            <w:tcW w:w="1258" w:type="dxa"/>
            <w:tcBorders>
              <w:top w:val="nil"/>
              <w:left w:val="nil"/>
              <w:bottom w:val="single" w:color="000000" w:sz="4" w:space="0"/>
              <w:right w:val="single" w:color="000000" w:sz="4" w:space="0"/>
            </w:tcBorders>
            <w:shd w:val="clear" w:color="FFFFFF" w:fill="auto"/>
            <w:noWrap/>
            <w:vAlign w:val="center"/>
          </w:tcPr>
          <w:p w14:paraId="735E467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b w:val="0"/>
                <w:bCs w:val="0"/>
                <w:color w:val="000000"/>
                <w:kern w:val="0"/>
                <w:sz w:val="22"/>
              </w:rPr>
            </w:pPr>
          </w:p>
        </w:tc>
      </w:tr>
      <w:tr w14:paraId="52F425B1">
        <w:tblPrEx>
          <w:tblCellMar>
            <w:top w:w="0" w:type="dxa"/>
            <w:left w:w="108" w:type="dxa"/>
            <w:bottom w:w="0" w:type="dxa"/>
            <w:right w:w="108" w:type="dxa"/>
          </w:tblCellMar>
        </w:tblPrEx>
        <w:trPr>
          <w:trHeight w:val="308" w:hRule="atLeast"/>
          <w:jc w:val="center"/>
        </w:trPr>
        <w:tc>
          <w:tcPr>
            <w:tcW w:w="13958" w:type="dxa"/>
            <w:gridSpan w:val="12"/>
            <w:tcBorders>
              <w:top w:val="nil"/>
              <w:left w:val="nil"/>
              <w:bottom w:val="nil"/>
              <w:right w:val="nil"/>
            </w:tcBorders>
            <w:shd w:val="clear" w:color="auto" w:fill="auto"/>
            <w:noWrap/>
            <w:vAlign w:val="center"/>
          </w:tcPr>
          <w:p w14:paraId="588A350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eastAsia="宋体" w:cs="Arial"/>
                <w:color w:val="000000"/>
                <w:kern w:val="0"/>
                <w:sz w:val="22"/>
              </w:rPr>
            </w:pPr>
            <w:r>
              <w:rPr>
                <w:rFonts w:hint="eastAsia" w:ascii="宋体" w:hAnsi="宋体" w:eastAsia="宋体" w:cs="Arial"/>
                <w:color w:val="000000"/>
                <w:kern w:val="0"/>
                <w:sz w:val="22"/>
              </w:rPr>
              <w:t>注：本表反映部门本年度一般公共预算财政拨款、政府性基金预算财政拨款和国有资本经营预算财政拨款的总收支和年末结转结余情况。</w:t>
            </w:r>
          </w:p>
        </w:tc>
      </w:tr>
    </w:tbl>
    <w:p w14:paraId="29A98A2F">
      <w:pPr>
        <w:bidi w:val="0"/>
        <w:jc w:val="center"/>
        <w:rPr>
          <w:rFonts w:hint="eastAsia" w:ascii="宋体" w:hAnsi="宋体" w:eastAsia="宋体" w:cs="宋体"/>
          <w:sz w:val="32"/>
          <w:szCs w:val="32"/>
        </w:rPr>
      </w:pPr>
      <w:r>
        <w:rPr>
          <w:rFonts w:hint="eastAsia" w:ascii="宋体" w:hAnsi="宋体" w:eastAsia="宋体" w:cs="宋体"/>
          <w:sz w:val="32"/>
          <w:szCs w:val="32"/>
        </w:rPr>
        <w:t>一般公共预算财政拨款支出决算表</w:t>
      </w:r>
    </w:p>
    <w:tbl>
      <w:tblPr>
        <w:tblStyle w:val="12"/>
        <w:tblW w:w="13920" w:type="dxa"/>
        <w:tblInd w:w="0" w:type="dxa"/>
        <w:tblLayout w:type="fixed"/>
        <w:tblCellMar>
          <w:top w:w="0" w:type="dxa"/>
          <w:left w:w="108" w:type="dxa"/>
          <w:bottom w:w="0" w:type="dxa"/>
          <w:right w:w="108" w:type="dxa"/>
        </w:tblCellMar>
      </w:tblPr>
      <w:tblGrid>
        <w:gridCol w:w="406"/>
        <w:gridCol w:w="316"/>
        <w:gridCol w:w="711"/>
        <w:gridCol w:w="4229"/>
        <w:gridCol w:w="2084"/>
        <w:gridCol w:w="667"/>
        <w:gridCol w:w="2489"/>
        <w:gridCol w:w="262"/>
        <w:gridCol w:w="2756"/>
      </w:tblGrid>
      <w:tr w14:paraId="50017796">
        <w:tblPrEx>
          <w:tblCellMar>
            <w:top w:w="0" w:type="dxa"/>
            <w:left w:w="108" w:type="dxa"/>
            <w:bottom w:w="0" w:type="dxa"/>
            <w:right w:w="108" w:type="dxa"/>
          </w:tblCellMar>
        </w:tblPrEx>
        <w:trPr>
          <w:trHeight w:val="107" w:hRule="atLeast"/>
          <w:tblHeader/>
        </w:trPr>
        <w:tc>
          <w:tcPr>
            <w:tcW w:w="406" w:type="dxa"/>
            <w:tcBorders>
              <w:top w:val="nil"/>
              <w:left w:val="nil"/>
              <w:bottom w:val="nil"/>
              <w:right w:val="nil"/>
            </w:tcBorders>
            <w:shd w:val="clear" w:color="auto" w:fill="auto"/>
            <w:noWrap/>
            <w:vAlign w:val="bottom"/>
          </w:tcPr>
          <w:p w14:paraId="271155F6">
            <w:pPr>
              <w:keepNext w:val="0"/>
              <w:keepLines w:val="0"/>
              <w:pageBreakBefore w:val="0"/>
              <w:widowControl/>
              <w:kinsoku/>
              <w:wordWrap/>
              <w:overflowPunct/>
              <w:topLinePunct w:val="0"/>
              <w:autoSpaceDE/>
              <w:autoSpaceDN/>
              <w:bidi w:val="0"/>
              <w:adjustRightInd/>
              <w:snapToGrid/>
              <w:spacing w:line="400" w:lineRule="exact"/>
              <w:jc w:val="left"/>
              <w:rPr>
                <w:rFonts w:ascii="宋体" w:hAnsi="宋体" w:eastAsia="宋体" w:cs="Arial"/>
                <w:color w:val="000000"/>
                <w:kern w:val="0"/>
                <w:sz w:val="22"/>
                <w:szCs w:val="22"/>
              </w:rPr>
            </w:pPr>
          </w:p>
        </w:tc>
        <w:tc>
          <w:tcPr>
            <w:tcW w:w="316" w:type="dxa"/>
            <w:tcBorders>
              <w:top w:val="nil"/>
              <w:left w:val="nil"/>
              <w:bottom w:val="nil"/>
              <w:right w:val="nil"/>
            </w:tcBorders>
            <w:shd w:val="clear" w:color="auto" w:fill="auto"/>
            <w:noWrap/>
            <w:vAlign w:val="bottom"/>
          </w:tcPr>
          <w:p w14:paraId="4271E44C">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711" w:type="dxa"/>
            <w:tcBorders>
              <w:top w:val="nil"/>
              <w:left w:val="nil"/>
              <w:bottom w:val="nil"/>
              <w:right w:val="nil"/>
            </w:tcBorders>
            <w:shd w:val="clear" w:color="auto" w:fill="auto"/>
            <w:noWrap/>
            <w:vAlign w:val="bottom"/>
          </w:tcPr>
          <w:p w14:paraId="5D32CAAF">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4229" w:type="dxa"/>
            <w:tcBorders>
              <w:top w:val="nil"/>
              <w:left w:val="nil"/>
              <w:bottom w:val="nil"/>
              <w:right w:val="nil"/>
            </w:tcBorders>
            <w:shd w:val="clear" w:color="auto" w:fill="auto"/>
            <w:noWrap/>
            <w:vAlign w:val="bottom"/>
          </w:tcPr>
          <w:p w14:paraId="05CF51DA">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2084" w:type="dxa"/>
            <w:tcBorders>
              <w:top w:val="nil"/>
              <w:left w:val="nil"/>
              <w:bottom w:val="nil"/>
              <w:right w:val="nil"/>
            </w:tcBorders>
            <w:shd w:val="clear" w:color="auto" w:fill="auto"/>
            <w:noWrap/>
            <w:vAlign w:val="bottom"/>
          </w:tcPr>
          <w:p w14:paraId="0659CC04">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3156" w:type="dxa"/>
            <w:gridSpan w:val="2"/>
            <w:tcBorders>
              <w:top w:val="nil"/>
              <w:left w:val="nil"/>
              <w:bottom w:val="nil"/>
              <w:right w:val="nil"/>
            </w:tcBorders>
            <w:shd w:val="clear" w:color="auto" w:fill="auto"/>
            <w:noWrap/>
            <w:vAlign w:val="bottom"/>
          </w:tcPr>
          <w:p w14:paraId="1A6AAADA">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3018" w:type="dxa"/>
            <w:gridSpan w:val="2"/>
            <w:tcBorders>
              <w:top w:val="nil"/>
              <w:left w:val="nil"/>
              <w:bottom w:val="nil"/>
              <w:right w:val="nil"/>
            </w:tcBorders>
            <w:shd w:val="clear" w:color="auto" w:fill="auto"/>
            <w:noWrap/>
            <w:vAlign w:val="bottom"/>
          </w:tcPr>
          <w:p w14:paraId="2CF21218">
            <w:pPr>
              <w:keepNext w:val="0"/>
              <w:keepLines w:val="0"/>
              <w:pageBreakBefore w:val="0"/>
              <w:widowControl/>
              <w:kinsoku/>
              <w:wordWrap/>
              <w:overflowPunct/>
              <w:topLinePunct w:val="0"/>
              <w:autoSpaceDE/>
              <w:autoSpaceDN/>
              <w:bidi w:val="0"/>
              <w:adjustRightInd/>
              <w:snapToGrid/>
              <w:spacing w:line="400" w:lineRule="exact"/>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公开05表</w:t>
            </w:r>
          </w:p>
        </w:tc>
      </w:tr>
      <w:tr w14:paraId="203E074A">
        <w:tblPrEx>
          <w:tblCellMar>
            <w:top w:w="0" w:type="dxa"/>
            <w:left w:w="108" w:type="dxa"/>
            <w:bottom w:w="0" w:type="dxa"/>
            <w:right w:w="108" w:type="dxa"/>
          </w:tblCellMar>
        </w:tblPrEx>
        <w:trPr>
          <w:trHeight w:val="107" w:hRule="atLeast"/>
          <w:tblHeader/>
        </w:trPr>
        <w:tc>
          <w:tcPr>
            <w:tcW w:w="5662" w:type="dxa"/>
            <w:gridSpan w:val="4"/>
            <w:tcBorders>
              <w:top w:val="nil"/>
              <w:left w:val="nil"/>
              <w:bottom w:val="nil"/>
              <w:right w:val="nil"/>
            </w:tcBorders>
            <w:shd w:val="clear" w:color="auto" w:fill="auto"/>
            <w:noWrap/>
            <w:vAlign w:val="bottom"/>
          </w:tcPr>
          <w:p w14:paraId="55228F76">
            <w:pPr>
              <w:keepNext w:val="0"/>
              <w:keepLines w:val="0"/>
              <w:pageBreakBefore w:val="0"/>
              <w:widowControl/>
              <w:kinsoku/>
              <w:wordWrap/>
              <w:overflowPunct/>
              <w:topLinePunct w:val="0"/>
              <w:autoSpaceDE/>
              <w:autoSpaceDN/>
              <w:bidi w:val="0"/>
              <w:adjustRightInd/>
              <w:snapToGrid/>
              <w:spacing w:line="400" w:lineRule="exact"/>
              <w:jc w:val="left"/>
              <w:rPr>
                <w:rFonts w:ascii="宋体" w:hAnsi="宋体" w:eastAsia="宋体" w:cs="Arial"/>
                <w:color w:val="000000"/>
                <w:kern w:val="0"/>
                <w:sz w:val="22"/>
                <w:szCs w:val="22"/>
              </w:rPr>
            </w:pPr>
            <w:r>
              <w:rPr>
                <w:rFonts w:hint="eastAsia" w:ascii="宋体" w:hAnsi="宋体" w:eastAsia="宋体" w:cs="Arial"/>
                <w:color w:val="000000"/>
                <w:kern w:val="0"/>
                <w:sz w:val="22"/>
                <w:szCs w:val="22"/>
              </w:rPr>
              <w:t>部门：国家统计局吉林调查总队</w:t>
            </w:r>
          </w:p>
        </w:tc>
        <w:tc>
          <w:tcPr>
            <w:tcW w:w="2084" w:type="dxa"/>
            <w:tcBorders>
              <w:top w:val="nil"/>
              <w:left w:val="nil"/>
              <w:bottom w:val="nil"/>
              <w:right w:val="nil"/>
            </w:tcBorders>
            <w:shd w:val="clear" w:color="auto" w:fill="auto"/>
            <w:noWrap/>
            <w:vAlign w:val="bottom"/>
          </w:tcPr>
          <w:p w14:paraId="54B202B7">
            <w:pPr>
              <w:keepNext w:val="0"/>
              <w:keepLines w:val="0"/>
              <w:pageBreakBefore w:val="0"/>
              <w:widowControl/>
              <w:kinsoku/>
              <w:wordWrap/>
              <w:overflowPunct/>
              <w:topLinePunct w:val="0"/>
              <w:autoSpaceDE/>
              <w:autoSpaceDN/>
              <w:bidi w:val="0"/>
              <w:adjustRightInd/>
              <w:snapToGrid/>
              <w:spacing w:line="400" w:lineRule="exact"/>
              <w:jc w:val="left"/>
              <w:rPr>
                <w:rFonts w:ascii="宋体" w:hAnsi="宋体" w:eastAsia="宋体" w:cs="Arial"/>
                <w:color w:val="000000"/>
                <w:kern w:val="0"/>
                <w:sz w:val="22"/>
                <w:szCs w:val="22"/>
              </w:rPr>
            </w:pPr>
          </w:p>
        </w:tc>
        <w:tc>
          <w:tcPr>
            <w:tcW w:w="3156" w:type="dxa"/>
            <w:gridSpan w:val="2"/>
            <w:tcBorders>
              <w:top w:val="nil"/>
              <w:left w:val="nil"/>
              <w:bottom w:val="nil"/>
              <w:right w:val="nil"/>
            </w:tcBorders>
            <w:shd w:val="clear" w:color="auto" w:fill="auto"/>
            <w:noWrap/>
            <w:vAlign w:val="bottom"/>
          </w:tcPr>
          <w:p w14:paraId="0327B06E">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3018" w:type="dxa"/>
            <w:gridSpan w:val="2"/>
            <w:tcBorders>
              <w:top w:val="nil"/>
              <w:left w:val="nil"/>
              <w:bottom w:val="nil"/>
              <w:right w:val="nil"/>
            </w:tcBorders>
            <w:shd w:val="clear" w:color="auto" w:fill="auto"/>
            <w:noWrap/>
            <w:vAlign w:val="bottom"/>
          </w:tcPr>
          <w:p w14:paraId="6302EDCF">
            <w:pPr>
              <w:keepNext w:val="0"/>
              <w:keepLines w:val="0"/>
              <w:pageBreakBefore w:val="0"/>
              <w:widowControl/>
              <w:kinsoku/>
              <w:wordWrap/>
              <w:overflowPunct/>
              <w:topLinePunct w:val="0"/>
              <w:autoSpaceDE/>
              <w:autoSpaceDN/>
              <w:bidi w:val="0"/>
              <w:adjustRightInd/>
              <w:snapToGrid/>
              <w:spacing w:line="400" w:lineRule="exact"/>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金额单位：万元</w:t>
            </w:r>
          </w:p>
        </w:tc>
      </w:tr>
      <w:tr w14:paraId="7A25AD3C">
        <w:tblPrEx>
          <w:tblCellMar>
            <w:top w:w="0" w:type="dxa"/>
            <w:left w:w="108" w:type="dxa"/>
            <w:bottom w:w="0" w:type="dxa"/>
            <w:right w:w="108" w:type="dxa"/>
          </w:tblCellMar>
        </w:tblPrEx>
        <w:trPr>
          <w:trHeight w:val="110" w:hRule="atLeast"/>
          <w:tblHeader/>
        </w:trPr>
        <w:tc>
          <w:tcPr>
            <w:tcW w:w="566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D7D8A">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项目</w:t>
            </w:r>
          </w:p>
        </w:tc>
        <w:tc>
          <w:tcPr>
            <w:tcW w:w="8258" w:type="dxa"/>
            <w:gridSpan w:val="5"/>
            <w:tcBorders>
              <w:top w:val="single" w:color="000000" w:sz="4" w:space="0"/>
              <w:left w:val="nil"/>
              <w:bottom w:val="single" w:color="000000" w:sz="4" w:space="0"/>
              <w:right w:val="single" w:color="000000" w:sz="4" w:space="0"/>
            </w:tcBorders>
            <w:shd w:val="clear" w:color="auto" w:fill="auto"/>
            <w:vAlign w:val="center"/>
          </w:tcPr>
          <w:p w14:paraId="6EF6F089">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本年支出</w:t>
            </w:r>
          </w:p>
        </w:tc>
      </w:tr>
      <w:tr w14:paraId="2336D06F">
        <w:tblPrEx>
          <w:tblCellMar>
            <w:top w:w="0" w:type="dxa"/>
            <w:left w:w="108" w:type="dxa"/>
            <w:bottom w:w="0" w:type="dxa"/>
            <w:right w:w="108" w:type="dxa"/>
          </w:tblCellMar>
        </w:tblPrEx>
        <w:trPr>
          <w:trHeight w:val="312" w:hRule="atLeast"/>
          <w:tblHeader/>
        </w:trPr>
        <w:tc>
          <w:tcPr>
            <w:tcW w:w="1433"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5D9074E3">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科目</w:t>
            </w:r>
            <w:r>
              <w:rPr>
                <w:rFonts w:hint="eastAsia" w:ascii="宋体" w:hAnsi="宋体" w:eastAsia="宋体" w:cs="Arial"/>
                <w:b w:val="0"/>
                <w:bCs w:val="0"/>
                <w:color w:val="000000"/>
                <w:kern w:val="0"/>
                <w:sz w:val="22"/>
                <w:lang w:val="en-US" w:eastAsia="zh-CN"/>
              </w:rPr>
              <w:t>代</w:t>
            </w:r>
            <w:r>
              <w:rPr>
                <w:rFonts w:hint="eastAsia" w:ascii="宋体" w:hAnsi="宋体" w:eastAsia="宋体" w:cs="Arial"/>
                <w:b w:val="0"/>
                <w:bCs w:val="0"/>
                <w:color w:val="000000"/>
                <w:kern w:val="0"/>
                <w:sz w:val="22"/>
              </w:rPr>
              <w:t>码</w:t>
            </w:r>
          </w:p>
        </w:tc>
        <w:tc>
          <w:tcPr>
            <w:tcW w:w="4229" w:type="dxa"/>
            <w:vMerge w:val="restart"/>
            <w:tcBorders>
              <w:top w:val="nil"/>
              <w:left w:val="nil"/>
              <w:bottom w:val="single" w:color="000000" w:sz="4" w:space="0"/>
              <w:right w:val="single" w:color="000000" w:sz="4" w:space="0"/>
            </w:tcBorders>
            <w:shd w:val="clear" w:color="auto" w:fill="auto"/>
            <w:noWrap/>
            <w:vAlign w:val="center"/>
          </w:tcPr>
          <w:p w14:paraId="79BDBA3F">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科目名称</w:t>
            </w:r>
          </w:p>
        </w:tc>
        <w:tc>
          <w:tcPr>
            <w:tcW w:w="2751" w:type="dxa"/>
            <w:gridSpan w:val="2"/>
            <w:vMerge w:val="restart"/>
            <w:tcBorders>
              <w:top w:val="nil"/>
              <w:left w:val="nil"/>
              <w:bottom w:val="single" w:color="000000" w:sz="4" w:space="0"/>
              <w:right w:val="single" w:color="000000" w:sz="4" w:space="0"/>
            </w:tcBorders>
            <w:shd w:val="clear" w:color="auto" w:fill="auto"/>
            <w:vAlign w:val="center"/>
          </w:tcPr>
          <w:p w14:paraId="78569682">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小计</w:t>
            </w:r>
          </w:p>
        </w:tc>
        <w:tc>
          <w:tcPr>
            <w:tcW w:w="2751" w:type="dxa"/>
            <w:gridSpan w:val="2"/>
            <w:vMerge w:val="restart"/>
            <w:tcBorders>
              <w:top w:val="nil"/>
              <w:left w:val="nil"/>
              <w:bottom w:val="single" w:color="000000" w:sz="4" w:space="0"/>
              <w:right w:val="single" w:color="000000" w:sz="4" w:space="0"/>
            </w:tcBorders>
            <w:shd w:val="clear" w:color="auto" w:fill="auto"/>
            <w:vAlign w:val="center"/>
          </w:tcPr>
          <w:p w14:paraId="40304799">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基本支出</w:t>
            </w:r>
          </w:p>
        </w:tc>
        <w:tc>
          <w:tcPr>
            <w:tcW w:w="2756" w:type="dxa"/>
            <w:vMerge w:val="restart"/>
            <w:tcBorders>
              <w:top w:val="nil"/>
              <w:left w:val="nil"/>
              <w:bottom w:val="single" w:color="000000" w:sz="4" w:space="0"/>
              <w:right w:val="single" w:color="000000" w:sz="4" w:space="0"/>
            </w:tcBorders>
            <w:shd w:val="clear" w:color="auto" w:fill="auto"/>
            <w:vAlign w:val="center"/>
          </w:tcPr>
          <w:p w14:paraId="375FF88C">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项目支出</w:t>
            </w:r>
          </w:p>
        </w:tc>
      </w:tr>
      <w:tr w14:paraId="6E03A5CF">
        <w:tblPrEx>
          <w:tblCellMar>
            <w:top w:w="0" w:type="dxa"/>
            <w:left w:w="108" w:type="dxa"/>
            <w:bottom w:w="0" w:type="dxa"/>
            <w:right w:w="108" w:type="dxa"/>
          </w:tblCellMar>
        </w:tblPrEx>
        <w:trPr>
          <w:trHeight w:val="312" w:hRule="atLeast"/>
          <w:tblHeader/>
        </w:trPr>
        <w:tc>
          <w:tcPr>
            <w:tcW w:w="1433"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611932CB">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p>
        </w:tc>
        <w:tc>
          <w:tcPr>
            <w:tcW w:w="4229" w:type="dxa"/>
            <w:vMerge w:val="continue"/>
            <w:tcBorders>
              <w:top w:val="nil"/>
              <w:left w:val="nil"/>
              <w:bottom w:val="single" w:color="000000" w:sz="4" w:space="0"/>
              <w:right w:val="single" w:color="000000" w:sz="4" w:space="0"/>
            </w:tcBorders>
            <w:shd w:val="clear" w:color="auto" w:fill="auto"/>
            <w:vAlign w:val="center"/>
          </w:tcPr>
          <w:p w14:paraId="767524C3">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p>
        </w:tc>
        <w:tc>
          <w:tcPr>
            <w:tcW w:w="2751" w:type="dxa"/>
            <w:gridSpan w:val="2"/>
            <w:vMerge w:val="continue"/>
            <w:tcBorders>
              <w:top w:val="nil"/>
              <w:left w:val="nil"/>
              <w:bottom w:val="single" w:color="000000" w:sz="4" w:space="0"/>
              <w:right w:val="single" w:color="000000" w:sz="4" w:space="0"/>
            </w:tcBorders>
            <w:shd w:val="clear" w:color="auto" w:fill="auto"/>
            <w:vAlign w:val="center"/>
          </w:tcPr>
          <w:p w14:paraId="3FD2E3A8">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p>
        </w:tc>
        <w:tc>
          <w:tcPr>
            <w:tcW w:w="2751" w:type="dxa"/>
            <w:gridSpan w:val="2"/>
            <w:vMerge w:val="continue"/>
            <w:tcBorders>
              <w:top w:val="nil"/>
              <w:left w:val="nil"/>
              <w:bottom w:val="single" w:color="000000" w:sz="4" w:space="0"/>
              <w:right w:val="single" w:color="000000" w:sz="4" w:space="0"/>
            </w:tcBorders>
            <w:shd w:val="clear" w:color="auto" w:fill="auto"/>
            <w:vAlign w:val="center"/>
          </w:tcPr>
          <w:p w14:paraId="408EAB41">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p>
        </w:tc>
        <w:tc>
          <w:tcPr>
            <w:tcW w:w="2756" w:type="dxa"/>
            <w:vMerge w:val="continue"/>
            <w:tcBorders>
              <w:top w:val="nil"/>
              <w:left w:val="nil"/>
              <w:bottom w:val="single" w:color="000000" w:sz="4" w:space="0"/>
              <w:right w:val="single" w:color="000000" w:sz="4" w:space="0"/>
            </w:tcBorders>
            <w:shd w:val="clear" w:color="auto" w:fill="auto"/>
            <w:vAlign w:val="center"/>
          </w:tcPr>
          <w:p w14:paraId="08101436">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p>
        </w:tc>
      </w:tr>
      <w:tr w14:paraId="473BF7E7">
        <w:tblPrEx>
          <w:tblCellMar>
            <w:top w:w="0" w:type="dxa"/>
            <w:left w:w="108" w:type="dxa"/>
            <w:bottom w:w="0" w:type="dxa"/>
            <w:right w:w="108" w:type="dxa"/>
          </w:tblCellMar>
        </w:tblPrEx>
        <w:trPr>
          <w:trHeight w:val="312" w:hRule="atLeast"/>
          <w:tblHeader/>
        </w:trPr>
        <w:tc>
          <w:tcPr>
            <w:tcW w:w="1433"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29357BB3">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p>
        </w:tc>
        <w:tc>
          <w:tcPr>
            <w:tcW w:w="4229" w:type="dxa"/>
            <w:vMerge w:val="continue"/>
            <w:tcBorders>
              <w:top w:val="nil"/>
              <w:left w:val="nil"/>
              <w:bottom w:val="single" w:color="000000" w:sz="4" w:space="0"/>
              <w:right w:val="single" w:color="000000" w:sz="4" w:space="0"/>
            </w:tcBorders>
            <w:shd w:val="clear" w:color="auto" w:fill="auto"/>
            <w:vAlign w:val="center"/>
          </w:tcPr>
          <w:p w14:paraId="001664A9">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p>
        </w:tc>
        <w:tc>
          <w:tcPr>
            <w:tcW w:w="2751" w:type="dxa"/>
            <w:gridSpan w:val="2"/>
            <w:vMerge w:val="continue"/>
            <w:tcBorders>
              <w:top w:val="nil"/>
              <w:left w:val="nil"/>
              <w:bottom w:val="single" w:color="000000" w:sz="4" w:space="0"/>
              <w:right w:val="single" w:color="000000" w:sz="4" w:space="0"/>
            </w:tcBorders>
            <w:shd w:val="clear" w:color="auto" w:fill="auto"/>
            <w:vAlign w:val="center"/>
          </w:tcPr>
          <w:p w14:paraId="4B495866">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p>
        </w:tc>
        <w:tc>
          <w:tcPr>
            <w:tcW w:w="2751" w:type="dxa"/>
            <w:gridSpan w:val="2"/>
            <w:vMerge w:val="continue"/>
            <w:tcBorders>
              <w:top w:val="nil"/>
              <w:left w:val="nil"/>
              <w:bottom w:val="single" w:color="000000" w:sz="4" w:space="0"/>
              <w:right w:val="single" w:color="000000" w:sz="4" w:space="0"/>
            </w:tcBorders>
            <w:shd w:val="clear" w:color="auto" w:fill="auto"/>
            <w:vAlign w:val="center"/>
          </w:tcPr>
          <w:p w14:paraId="60EFF220">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p>
        </w:tc>
        <w:tc>
          <w:tcPr>
            <w:tcW w:w="2756" w:type="dxa"/>
            <w:vMerge w:val="continue"/>
            <w:tcBorders>
              <w:top w:val="nil"/>
              <w:left w:val="nil"/>
              <w:bottom w:val="single" w:color="000000" w:sz="4" w:space="0"/>
              <w:right w:val="single" w:color="000000" w:sz="4" w:space="0"/>
            </w:tcBorders>
            <w:shd w:val="clear" w:color="auto" w:fill="auto"/>
            <w:vAlign w:val="center"/>
          </w:tcPr>
          <w:p w14:paraId="7D1E217F">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p>
        </w:tc>
      </w:tr>
      <w:tr w14:paraId="0BC5FB53">
        <w:tblPrEx>
          <w:tblCellMar>
            <w:top w:w="0" w:type="dxa"/>
            <w:left w:w="108" w:type="dxa"/>
            <w:bottom w:w="0" w:type="dxa"/>
            <w:right w:w="108" w:type="dxa"/>
          </w:tblCellMar>
        </w:tblPrEx>
        <w:trPr>
          <w:trHeight w:val="110" w:hRule="atLeast"/>
          <w:tblHeader/>
        </w:trPr>
        <w:tc>
          <w:tcPr>
            <w:tcW w:w="5662" w:type="dxa"/>
            <w:gridSpan w:val="4"/>
            <w:tcBorders>
              <w:top w:val="nil"/>
              <w:left w:val="single" w:color="000000" w:sz="4" w:space="0"/>
              <w:bottom w:val="single" w:color="auto" w:sz="4" w:space="0"/>
              <w:right w:val="single" w:color="000000" w:sz="4" w:space="0"/>
            </w:tcBorders>
            <w:shd w:val="clear" w:color="auto" w:fill="auto"/>
            <w:noWrap/>
            <w:vAlign w:val="center"/>
          </w:tcPr>
          <w:p w14:paraId="69AC38CF">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栏次</w:t>
            </w:r>
          </w:p>
        </w:tc>
        <w:tc>
          <w:tcPr>
            <w:tcW w:w="2751" w:type="dxa"/>
            <w:gridSpan w:val="2"/>
            <w:tcBorders>
              <w:top w:val="nil"/>
              <w:left w:val="nil"/>
              <w:bottom w:val="single" w:color="auto" w:sz="4" w:space="0"/>
              <w:right w:val="single" w:color="000000" w:sz="4" w:space="0"/>
            </w:tcBorders>
            <w:shd w:val="clear" w:color="auto" w:fill="auto"/>
            <w:noWrap/>
            <w:vAlign w:val="center"/>
          </w:tcPr>
          <w:p w14:paraId="3D294D00">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1</w:t>
            </w:r>
          </w:p>
        </w:tc>
        <w:tc>
          <w:tcPr>
            <w:tcW w:w="2751" w:type="dxa"/>
            <w:gridSpan w:val="2"/>
            <w:tcBorders>
              <w:top w:val="nil"/>
              <w:left w:val="nil"/>
              <w:bottom w:val="single" w:color="auto" w:sz="4" w:space="0"/>
              <w:right w:val="single" w:color="000000" w:sz="4" w:space="0"/>
            </w:tcBorders>
            <w:shd w:val="clear" w:color="auto" w:fill="auto"/>
            <w:noWrap/>
            <w:vAlign w:val="center"/>
          </w:tcPr>
          <w:p w14:paraId="0DD898E9">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2</w:t>
            </w:r>
          </w:p>
        </w:tc>
        <w:tc>
          <w:tcPr>
            <w:tcW w:w="2756" w:type="dxa"/>
            <w:tcBorders>
              <w:top w:val="nil"/>
              <w:left w:val="nil"/>
              <w:bottom w:val="single" w:color="auto" w:sz="4" w:space="0"/>
              <w:right w:val="single" w:color="000000" w:sz="4" w:space="0"/>
            </w:tcBorders>
            <w:shd w:val="clear" w:color="auto" w:fill="auto"/>
            <w:noWrap/>
            <w:vAlign w:val="center"/>
          </w:tcPr>
          <w:p w14:paraId="5A83608B">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3</w:t>
            </w:r>
          </w:p>
        </w:tc>
      </w:tr>
      <w:tr w14:paraId="26651494">
        <w:tblPrEx>
          <w:tblCellMar>
            <w:top w:w="0" w:type="dxa"/>
            <w:left w:w="108" w:type="dxa"/>
            <w:bottom w:w="0" w:type="dxa"/>
            <w:right w:w="108" w:type="dxa"/>
          </w:tblCellMar>
        </w:tblPrEx>
        <w:trPr>
          <w:trHeight w:val="108" w:hRule="atLeast"/>
        </w:trPr>
        <w:tc>
          <w:tcPr>
            <w:tcW w:w="566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DF9FB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合计</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E27C274">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11,361.34</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BD58440">
            <w:pPr>
              <w:keepNext w:val="0"/>
              <w:keepLines w:val="0"/>
              <w:widowControl/>
              <w:suppressLineNumbers w:val="0"/>
              <w:jc w:val="right"/>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9,392.02</w:t>
            </w:r>
          </w:p>
        </w:tc>
        <w:tc>
          <w:tcPr>
            <w:tcW w:w="2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E93C3A">
            <w:pPr>
              <w:keepNext w:val="0"/>
              <w:keepLines w:val="0"/>
              <w:widowControl/>
              <w:suppressLineNumbers w:val="0"/>
              <w:jc w:val="right"/>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1,969.32</w:t>
            </w:r>
          </w:p>
        </w:tc>
      </w:tr>
      <w:tr w14:paraId="1F3010D2">
        <w:tblPrEx>
          <w:tblCellMar>
            <w:top w:w="0" w:type="dxa"/>
            <w:left w:w="108" w:type="dxa"/>
            <w:bottom w:w="0" w:type="dxa"/>
            <w:right w:w="108" w:type="dxa"/>
          </w:tblCellMar>
        </w:tblPrEx>
        <w:trPr>
          <w:trHeight w:val="110" w:hRule="atLeast"/>
        </w:trPr>
        <w:tc>
          <w:tcPr>
            <w:tcW w:w="143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0A9DE18">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w:t>
            </w:r>
          </w:p>
        </w:tc>
        <w:tc>
          <w:tcPr>
            <w:tcW w:w="42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7AA64A">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一般公共服务支出</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7135A53">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9,140.81</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8FA6D80">
            <w:pPr>
              <w:keepNext w:val="0"/>
              <w:keepLines w:val="0"/>
              <w:widowControl/>
              <w:suppressLineNumbers w:val="0"/>
              <w:jc w:val="right"/>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7,171.48</w:t>
            </w:r>
          </w:p>
        </w:tc>
        <w:tc>
          <w:tcPr>
            <w:tcW w:w="2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BA63E7">
            <w:pPr>
              <w:keepNext w:val="0"/>
              <w:keepLines w:val="0"/>
              <w:widowControl/>
              <w:suppressLineNumbers w:val="0"/>
              <w:jc w:val="right"/>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1,969.32</w:t>
            </w:r>
          </w:p>
        </w:tc>
      </w:tr>
      <w:tr w14:paraId="6815CFDD">
        <w:tblPrEx>
          <w:tblCellMar>
            <w:top w:w="0" w:type="dxa"/>
            <w:left w:w="108" w:type="dxa"/>
            <w:bottom w:w="0" w:type="dxa"/>
            <w:right w:w="108" w:type="dxa"/>
          </w:tblCellMar>
        </w:tblPrEx>
        <w:trPr>
          <w:trHeight w:val="110" w:hRule="atLeast"/>
        </w:trPr>
        <w:tc>
          <w:tcPr>
            <w:tcW w:w="143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9D95764">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20105</w:t>
            </w:r>
          </w:p>
        </w:tc>
        <w:tc>
          <w:tcPr>
            <w:tcW w:w="42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4921B2">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统计信息事务</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335DCE5">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9,140.81</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BAC9757">
            <w:pPr>
              <w:keepNext w:val="0"/>
              <w:keepLines w:val="0"/>
              <w:widowControl/>
              <w:suppressLineNumbers w:val="0"/>
              <w:jc w:val="right"/>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7,171.48</w:t>
            </w:r>
          </w:p>
        </w:tc>
        <w:tc>
          <w:tcPr>
            <w:tcW w:w="2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814CBA">
            <w:pPr>
              <w:keepNext w:val="0"/>
              <w:keepLines w:val="0"/>
              <w:widowControl/>
              <w:suppressLineNumbers w:val="0"/>
              <w:jc w:val="right"/>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1,969.32</w:t>
            </w:r>
          </w:p>
        </w:tc>
      </w:tr>
      <w:tr w14:paraId="388ACB12">
        <w:tblPrEx>
          <w:tblCellMar>
            <w:top w:w="0" w:type="dxa"/>
            <w:left w:w="108" w:type="dxa"/>
            <w:bottom w:w="0" w:type="dxa"/>
            <w:right w:w="108" w:type="dxa"/>
          </w:tblCellMar>
        </w:tblPrEx>
        <w:trPr>
          <w:trHeight w:val="110" w:hRule="atLeast"/>
        </w:trPr>
        <w:tc>
          <w:tcPr>
            <w:tcW w:w="143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BD920C1">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2010501</w:t>
            </w:r>
          </w:p>
        </w:tc>
        <w:tc>
          <w:tcPr>
            <w:tcW w:w="42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EEB58A">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ACB8AAF">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7,171.48</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DF71C1E">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7,171.48</w:t>
            </w:r>
          </w:p>
        </w:tc>
        <w:tc>
          <w:tcPr>
            <w:tcW w:w="2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D1FD1A">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r>
      <w:tr w14:paraId="2497BC71">
        <w:tblPrEx>
          <w:tblCellMar>
            <w:top w:w="0" w:type="dxa"/>
            <w:left w:w="108" w:type="dxa"/>
            <w:bottom w:w="0" w:type="dxa"/>
            <w:right w:w="108" w:type="dxa"/>
          </w:tblCellMar>
        </w:tblPrEx>
        <w:trPr>
          <w:trHeight w:val="110" w:hRule="atLeast"/>
        </w:trPr>
        <w:tc>
          <w:tcPr>
            <w:tcW w:w="143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ACA0DD6">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2010502</w:t>
            </w:r>
          </w:p>
        </w:tc>
        <w:tc>
          <w:tcPr>
            <w:tcW w:w="42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4FA829">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2550EA2">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38.49</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405D341">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c>
          <w:tcPr>
            <w:tcW w:w="2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FE1C5D">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38.49</w:t>
            </w:r>
          </w:p>
        </w:tc>
      </w:tr>
      <w:tr w14:paraId="26756433">
        <w:tblPrEx>
          <w:tblCellMar>
            <w:top w:w="0" w:type="dxa"/>
            <w:left w:w="108" w:type="dxa"/>
            <w:bottom w:w="0" w:type="dxa"/>
            <w:right w:w="108" w:type="dxa"/>
          </w:tblCellMar>
        </w:tblPrEx>
        <w:trPr>
          <w:trHeight w:val="110" w:hRule="atLeast"/>
        </w:trPr>
        <w:tc>
          <w:tcPr>
            <w:tcW w:w="143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D11CD84">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2010505</w:t>
            </w:r>
          </w:p>
        </w:tc>
        <w:tc>
          <w:tcPr>
            <w:tcW w:w="42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B5102B">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专项统计业务</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F7681EA">
            <w:pPr>
              <w:keepNext w:val="0"/>
              <w:keepLines w:val="0"/>
              <w:widowControl/>
              <w:suppressLineNumbers w:val="0"/>
              <w:jc w:val="right"/>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370.16</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F26E920">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c>
          <w:tcPr>
            <w:tcW w:w="2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DDACBE">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370.16</w:t>
            </w:r>
          </w:p>
        </w:tc>
      </w:tr>
      <w:tr w14:paraId="652DFA91">
        <w:tblPrEx>
          <w:tblCellMar>
            <w:top w:w="0" w:type="dxa"/>
            <w:left w:w="108" w:type="dxa"/>
            <w:bottom w:w="0" w:type="dxa"/>
            <w:right w:w="108" w:type="dxa"/>
          </w:tblCellMar>
        </w:tblPrEx>
        <w:trPr>
          <w:trHeight w:val="110" w:hRule="atLeast"/>
        </w:trPr>
        <w:tc>
          <w:tcPr>
            <w:tcW w:w="143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C07B7E7">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2010506</w:t>
            </w:r>
          </w:p>
        </w:tc>
        <w:tc>
          <w:tcPr>
            <w:tcW w:w="42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2F767C">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统计管理</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413FB27">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127.00</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FEF70D2">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c>
          <w:tcPr>
            <w:tcW w:w="2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A07220">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127.00</w:t>
            </w:r>
          </w:p>
        </w:tc>
      </w:tr>
      <w:tr w14:paraId="512697DE">
        <w:tblPrEx>
          <w:tblCellMar>
            <w:top w:w="0" w:type="dxa"/>
            <w:left w:w="108" w:type="dxa"/>
            <w:bottom w:w="0" w:type="dxa"/>
            <w:right w:w="108" w:type="dxa"/>
          </w:tblCellMar>
        </w:tblPrEx>
        <w:trPr>
          <w:trHeight w:val="110" w:hRule="atLeast"/>
        </w:trPr>
        <w:tc>
          <w:tcPr>
            <w:tcW w:w="143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C24C987">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2010507</w:t>
            </w:r>
          </w:p>
        </w:tc>
        <w:tc>
          <w:tcPr>
            <w:tcW w:w="42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0A252B">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C95D85D">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1.18</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F78B495">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c>
          <w:tcPr>
            <w:tcW w:w="2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AFDCA8">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1.18</w:t>
            </w:r>
          </w:p>
        </w:tc>
      </w:tr>
      <w:tr w14:paraId="504EE7D0">
        <w:tblPrEx>
          <w:tblCellMar>
            <w:top w:w="0" w:type="dxa"/>
            <w:left w:w="108" w:type="dxa"/>
            <w:bottom w:w="0" w:type="dxa"/>
            <w:right w:w="108" w:type="dxa"/>
          </w:tblCellMar>
        </w:tblPrEx>
        <w:trPr>
          <w:trHeight w:val="110" w:hRule="atLeast"/>
        </w:trPr>
        <w:tc>
          <w:tcPr>
            <w:tcW w:w="143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60041F7">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2010508</w:t>
            </w:r>
          </w:p>
        </w:tc>
        <w:tc>
          <w:tcPr>
            <w:tcW w:w="42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15628B">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统计抽样调查</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37C8BB9">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1,432.49</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151B8DF">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c>
          <w:tcPr>
            <w:tcW w:w="2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C37264">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1,432.49</w:t>
            </w:r>
          </w:p>
        </w:tc>
      </w:tr>
      <w:tr w14:paraId="34B1D186">
        <w:tblPrEx>
          <w:tblCellMar>
            <w:top w:w="0" w:type="dxa"/>
            <w:left w:w="108" w:type="dxa"/>
            <w:bottom w:w="0" w:type="dxa"/>
            <w:right w:w="108" w:type="dxa"/>
          </w:tblCellMar>
        </w:tblPrEx>
        <w:trPr>
          <w:trHeight w:val="110" w:hRule="atLeast"/>
        </w:trPr>
        <w:tc>
          <w:tcPr>
            <w:tcW w:w="143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F883539">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w:t>
            </w:r>
          </w:p>
        </w:tc>
        <w:tc>
          <w:tcPr>
            <w:tcW w:w="42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AD5778">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9368005">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1,123.21</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A2B981A">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1,123.21</w:t>
            </w:r>
          </w:p>
        </w:tc>
        <w:tc>
          <w:tcPr>
            <w:tcW w:w="2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98134D">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r>
      <w:tr w14:paraId="7E30D85F">
        <w:tblPrEx>
          <w:tblCellMar>
            <w:top w:w="0" w:type="dxa"/>
            <w:left w:w="108" w:type="dxa"/>
            <w:bottom w:w="0" w:type="dxa"/>
            <w:right w:w="108" w:type="dxa"/>
          </w:tblCellMar>
        </w:tblPrEx>
        <w:trPr>
          <w:trHeight w:val="110" w:hRule="atLeast"/>
        </w:trPr>
        <w:tc>
          <w:tcPr>
            <w:tcW w:w="143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2D696A9">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w:t>
            </w:r>
          </w:p>
        </w:tc>
        <w:tc>
          <w:tcPr>
            <w:tcW w:w="42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81AE60">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223DBAF">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1,123.21</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9CD1D6E">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1,123.21</w:t>
            </w:r>
          </w:p>
        </w:tc>
        <w:tc>
          <w:tcPr>
            <w:tcW w:w="2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645F99">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r>
      <w:tr w14:paraId="13C2E5DD">
        <w:tblPrEx>
          <w:tblCellMar>
            <w:top w:w="0" w:type="dxa"/>
            <w:left w:w="108" w:type="dxa"/>
            <w:bottom w:w="0" w:type="dxa"/>
            <w:right w:w="108" w:type="dxa"/>
          </w:tblCellMar>
        </w:tblPrEx>
        <w:trPr>
          <w:trHeight w:val="110" w:hRule="atLeast"/>
        </w:trPr>
        <w:tc>
          <w:tcPr>
            <w:tcW w:w="143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A9ABB1E">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2080505</w:t>
            </w:r>
          </w:p>
        </w:tc>
        <w:tc>
          <w:tcPr>
            <w:tcW w:w="42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B20895">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836EDBF">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711.09</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1744043">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711.09</w:t>
            </w:r>
          </w:p>
        </w:tc>
        <w:tc>
          <w:tcPr>
            <w:tcW w:w="2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067592">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r>
      <w:tr w14:paraId="2B3B4B7F">
        <w:tblPrEx>
          <w:tblCellMar>
            <w:top w:w="0" w:type="dxa"/>
            <w:left w:w="108" w:type="dxa"/>
            <w:bottom w:w="0" w:type="dxa"/>
            <w:right w:w="108" w:type="dxa"/>
          </w:tblCellMar>
        </w:tblPrEx>
        <w:trPr>
          <w:trHeight w:val="110" w:hRule="atLeast"/>
        </w:trPr>
        <w:tc>
          <w:tcPr>
            <w:tcW w:w="143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823BBF0">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2080506</w:t>
            </w:r>
          </w:p>
        </w:tc>
        <w:tc>
          <w:tcPr>
            <w:tcW w:w="42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ADE527">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机关事业单位职业年金缴费支出</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9ED52BB">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412.12</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7E71E6D">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412.12</w:t>
            </w:r>
          </w:p>
        </w:tc>
        <w:tc>
          <w:tcPr>
            <w:tcW w:w="2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560A03">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r>
      <w:tr w14:paraId="77E87E80">
        <w:tblPrEx>
          <w:tblCellMar>
            <w:top w:w="0" w:type="dxa"/>
            <w:left w:w="108" w:type="dxa"/>
            <w:bottom w:w="0" w:type="dxa"/>
            <w:right w:w="108" w:type="dxa"/>
          </w:tblCellMar>
        </w:tblPrEx>
        <w:trPr>
          <w:trHeight w:val="110" w:hRule="atLeast"/>
        </w:trPr>
        <w:tc>
          <w:tcPr>
            <w:tcW w:w="143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342C599">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42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26B5EC">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卫生健康支出</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AFB5C90">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434.73</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0D06695">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434.73</w:t>
            </w:r>
          </w:p>
        </w:tc>
        <w:tc>
          <w:tcPr>
            <w:tcW w:w="2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6FAAFD">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r>
      <w:tr w14:paraId="7034491B">
        <w:tblPrEx>
          <w:tblCellMar>
            <w:top w:w="0" w:type="dxa"/>
            <w:left w:w="108" w:type="dxa"/>
            <w:bottom w:w="0" w:type="dxa"/>
            <w:right w:w="108" w:type="dxa"/>
          </w:tblCellMar>
        </w:tblPrEx>
        <w:trPr>
          <w:trHeight w:val="110" w:hRule="atLeast"/>
        </w:trPr>
        <w:tc>
          <w:tcPr>
            <w:tcW w:w="143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8669B1B">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w:t>
            </w:r>
          </w:p>
        </w:tc>
        <w:tc>
          <w:tcPr>
            <w:tcW w:w="42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5EFB41">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行政事业单位医疗</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B555063">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434.73</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91EC306">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434.73</w:t>
            </w:r>
          </w:p>
        </w:tc>
        <w:tc>
          <w:tcPr>
            <w:tcW w:w="2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484B34">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r>
      <w:tr w14:paraId="394C8C25">
        <w:tblPrEx>
          <w:tblCellMar>
            <w:top w:w="0" w:type="dxa"/>
            <w:left w:w="108" w:type="dxa"/>
            <w:bottom w:w="0" w:type="dxa"/>
            <w:right w:w="108" w:type="dxa"/>
          </w:tblCellMar>
        </w:tblPrEx>
        <w:trPr>
          <w:trHeight w:val="110" w:hRule="atLeast"/>
        </w:trPr>
        <w:tc>
          <w:tcPr>
            <w:tcW w:w="143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6090DB4">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2101101</w:t>
            </w:r>
          </w:p>
        </w:tc>
        <w:tc>
          <w:tcPr>
            <w:tcW w:w="42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73362E">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1A97002">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426.29</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AF7CEE5">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426.29</w:t>
            </w:r>
          </w:p>
        </w:tc>
        <w:tc>
          <w:tcPr>
            <w:tcW w:w="2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891DC6">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r>
      <w:tr w14:paraId="62AFDD75">
        <w:tblPrEx>
          <w:tblCellMar>
            <w:top w:w="0" w:type="dxa"/>
            <w:left w:w="108" w:type="dxa"/>
            <w:bottom w:w="0" w:type="dxa"/>
            <w:right w:w="108" w:type="dxa"/>
          </w:tblCellMar>
        </w:tblPrEx>
        <w:trPr>
          <w:trHeight w:val="110" w:hRule="atLeast"/>
        </w:trPr>
        <w:tc>
          <w:tcPr>
            <w:tcW w:w="143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ED217C2">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2101199</w:t>
            </w:r>
          </w:p>
        </w:tc>
        <w:tc>
          <w:tcPr>
            <w:tcW w:w="42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90D6D8">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其他行政事业单位医疗支出</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0AD6EFE">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8.44</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735B5A6">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8.44</w:t>
            </w:r>
          </w:p>
        </w:tc>
        <w:tc>
          <w:tcPr>
            <w:tcW w:w="2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F10899">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r>
      <w:tr w14:paraId="5800CB2C">
        <w:tblPrEx>
          <w:tblCellMar>
            <w:top w:w="0" w:type="dxa"/>
            <w:left w:w="108" w:type="dxa"/>
            <w:bottom w:w="0" w:type="dxa"/>
            <w:right w:w="108" w:type="dxa"/>
          </w:tblCellMar>
        </w:tblPrEx>
        <w:trPr>
          <w:trHeight w:val="110" w:hRule="atLeast"/>
        </w:trPr>
        <w:tc>
          <w:tcPr>
            <w:tcW w:w="143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E03BA4E">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w:t>
            </w:r>
          </w:p>
        </w:tc>
        <w:tc>
          <w:tcPr>
            <w:tcW w:w="42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18F321">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住房保障支出</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5780954">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662.59</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77BC7C8">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662.59</w:t>
            </w:r>
          </w:p>
        </w:tc>
        <w:tc>
          <w:tcPr>
            <w:tcW w:w="2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7F7009">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r>
      <w:tr w14:paraId="0CC83E8E">
        <w:tblPrEx>
          <w:tblCellMar>
            <w:top w:w="0" w:type="dxa"/>
            <w:left w:w="108" w:type="dxa"/>
            <w:bottom w:w="0" w:type="dxa"/>
            <w:right w:w="108" w:type="dxa"/>
          </w:tblCellMar>
        </w:tblPrEx>
        <w:trPr>
          <w:trHeight w:val="110" w:hRule="atLeast"/>
        </w:trPr>
        <w:tc>
          <w:tcPr>
            <w:tcW w:w="143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4A30DA9">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w:t>
            </w:r>
          </w:p>
        </w:tc>
        <w:tc>
          <w:tcPr>
            <w:tcW w:w="42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C4A487">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住房改革支出</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5E788C5">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662.59</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38C0393">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662.59</w:t>
            </w:r>
          </w:p>
        </w:tc>
        <w:tc>
          <w:tcPr>
            <w:tcW w:w="2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63EE68">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r>
      <w:tr w14:paraId="21D88328">
        <w:tblPrEx>
          <w:tblCellMar>
            <w:top w:w="0" w:type="dxa"/>
            <w:left w:w="108" w:type="dxa"/>
            <w:bottom w:w="0" w:type="dxa"/>
            <w:right w:w="108" w:type="dxa"/>
          </w:tblCellMar>
        </w:tblPrEx>
        <w:trPr>
          <w:trHeight w:val="110" w:hRule="atLeast"/>
        </w:trPr>
        <w:tc>
          <w:tcPr>
            <w:tcW w:w="143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E98C8C6">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2210201</w:t>
            </w:r>
          </w:p>
        </w:tc>
        <w:tc>
          <w:tcPr>
            <w:tcW w:w="42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4FEBE5">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14CCD14">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657.90</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C25B752">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657.90</w:t>
            </w:r>
          </w:p>
        </w:tc>
        <w:tc>
          <w:tcPr>
            <w:tcW w:w="2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D45067">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r>
      <w:tr w14:paraId="10879CD2">
        <w:tblPrEx>
          <w:tblCellMar>
            <w:top w:w="0" w:type="dxa"/>
            <w:left w:w="108" w:type="dxa"/>
            <w:bottom w:w="0" w:type="dxa"/>
            <w:right w:w="108" w:type="dxa"/>
          </w:tblCellMar>
        </w:tblPrEx>
        <w:trPr>
          <w:trHeight w:val="110" w:hRule="atLeast"/>
        </w:trPr>
        <w:tc>
          <w:tcPr>
            <w:tcW w:w="143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999CD14">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2210203</w:t>
            </w:r>
          </w:p>
        </w:tc>
        <w:tc>
          <w:tcPr>
            <w:tcW w:w="42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D57FF4">
            <w:pPr>
              <w:keepNext w:val="0"/>
              <w:keepLines w:val="0"/>
              <w:widowControl/>
              <w:suppressLineNumbers w:val="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购房补贴</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2861E8C">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4.69</w:t>
            </w:r>
          </w:p>
        </w:tc>
        <w:tc>
          <w:tcPr>
            <w:tcW w:w="27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DD921C8">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4.69</w:t>
            </w:r>
          </w:p>
        </w:tc>
        <w:tc>
          <w:tcPr>
            <w:tcW w:w="2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3FE003">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宋体" w:hAnsi="宋体" w:eastAsia="宋体" w:cs="宋体"/>
                <w:b w:val="0"/>
                <w:bCs w:val="0"/>
                <w:i w:val="0"/>
                <w:iCs w:val="0"/>
                <w:color w:val="000000"/>
                <w:kern w:val="0"/>
                <w:sz w:val="22"/>
                <w:szCs w:val="22"/>
                <w:u w:val="none"/>
                <w:lang w:val="en-US" w:eastAsia="zh-CN" w:bidi="ar"/>
              </w:rPr>
            </w:pPr>
          </w:p>
        </w:tc>
      </w:tr>
      <w:tr w14:paraId="1E54BEA2">
        <w:tblPrEx>
          <w:tblCellMar>
            <w:top w:w="0" w:type="dxa"/>
            <w:left w:w="108" w:type="dxa"/>
            <w:bottom w:w="0" w:type="dxa"/>
            <w:right w:w="108" w:type="dxa"/>
          </w:tblCellMar>
        </w:tblPrEx>
        <w:trPr>
          <w:trHeight w:val="110" w:hRule="atLeast"/>
        </w:trPr>
        <w:tc>
          <w:tcPr>
            <w:tcW w:w="13920" w:type="dxa"/>
            <w:gridSpan w:val="9"/>
            <w:tcBorders>
              <w:top w:val="single" w:color="auto" w:sz="4" w:space="0"/>
              <w:left w:val="nil"/>
              <w:bottom w:val="nil"/>
              <w:right w:val="nil"/>
            </w:tcBorders>
            <w:shd w:val="clear" w:color="auto" w:fill="auto"/>
            <w:noWrap/>
            <w:vAlign w:val="center"/>
          </w:tcPr>
          <w:p w14:paraId="694EF93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注：本表反映部门本年度一般公共预算财政拨款支出情况。</w:t>
            </w:r>
          </w:p>
        </w:tc>
      </w:tr>
    </w:tbl>
    <w:p w14:paraId="67657DE6">
      <w:pPr>
        <w:jc w:val="center"/>
        <w:rPr>
          <w:rFonts w:hint="eastAsia" w:ascii="宋体" w:hAnsi="宋体" w:eastAsia="宋体" w:cs="Arial"/>
          <w:color w:val="000000"/>
          <w:kern w:val="0"/>
          <w:sz w:val="30"/>
          <w:szCs w:val="30"/>
        </w:rPr>
      </w:pPr>
    </w:p>
    <w:p w14:paraId="243D8D50">
      <w:pPr>
        <w:jc w:val="center"/>
        <w:rPr>
          <w:rFonts w:hint="eastAsia" w:ascii="宋体" w:hAnsi="宋体" w:eastAsia="宋体" w:cs="Arial"/>
          <w:color w:val="000000"/>
          <w:kern w:val="0"/>
          <w:sz w:val="30"/>
          <w:szCs w:val="30"/>
        </w:rPr>
      </w:pPr>
    </w:p>
    <w:p w14:paraId="0A229EC9">
      <w:pPr>
        <w:jc w:val="center"/>
        <w:rPr>
          <w:rFonts w:hint="eastAsia" w:ascii="宋体" w:hAnsi="宋体" w:eastAsia="宋体" w:cs="Arial"/>
          <w:color w:val="000000"/>
          <w:kern w:val="0"/>
          <w:sz w:val="30"/>
          <w:szCs w:val="30"/>
        </w:rPr>
      </w:pPr>
    </w:p>
    <w:p w14:paraId="7276C6DA">
      <w:pPr>
        <w:jc w:val="center"/>
        <w:rPr>
          <w:rFonts w:hint="eastAsia" w:ascii="宋体" w:hAnsi="宋体" w:eastAsia="宋体" w:cs="Arial"/>
          <w:color w:val="000000"/>
          <w:kern w:val="0"/>
          <w:sz w:val="30"/>
          <w:szCs w:val="30"/>
        </w:rPr>
      </w:pPr>
    </w:p>
    <w:p w14:paraId="691A40C1">
      <w:pPr>
        <w:jc w:val="both"/>
        <w:rPr>
          <w:rFonts w:hint="eastAsia" w:ascii="宋体" w:hAnsi="宋体" w:eastAsia="宋体" w:cs="Arial"/>
          <w:color w:val="000000"/>
          <w:kern w:val="0"/>
          <w:sz w:val="30"/>
          <w:szCs w:val="30"/>
        </w:rPr>
      </w:pPr>
    </w:p>
    <w:p w14:paraId="5C3FF398">
      <w:pPr>
        <w:bidi w:val="0"/>
        <w:jc w:val="center"/>
        <w:rPr>
          <w:rFonts w:hint="eastAsia" w:ascii="宋体" w:hAnsi="宋体" w:eastAsia="宋体" w:cs="宋体"/>
          <w:sz w:val="32"/>
          <w:szCs w:val="32"/>
        </w:rPr>
      </w:pPr>
      <w:r>
        <w:rPr>
          <w:rFonts w:hint="eastAsia" w:ascii="宋体" w:hAnsi="宋体" w:eastAsia="宋体" w:cs="宋体"/>
          <w:sz w:val="32"/>
          <w:szCs w:val="32"/>
        </w:rPr>
        <w:t>一般公共预算财政拨款基本支出决算</w:t>
      </w:r>
      <w:r>
        <w:rPr>
          <w:rFonts w:hint="eastAsia" w:ascii="宋体" w:hAnsi="宋体" w:eastAsia="宋体" w:cs="宋体"/>
          <w:sz w:val="32"/>
          <w:szCs w:val="32"/>
          <w:lang w:val="en-US" w:eastAsia="zh-CN"/>
        </w:rPr>
        <w:t>明细</w:t>
      </w:r>
      <w:r>
        <w:rPr>
          <w:rFonts w:hint="eastAsia" w:ascii="宋体" w:hAnsi="宋体" w:eastAsia="宋体" w:cs="宋体"/>
          <w:sz w:val="32"/>
          <w:szCs w:val="32"/>
        </w:rPr>
        <w:t>表</w:t>
      </w:r>
    </w:p>
    <w:tbl>
      <w:tblPr>
        <w:tblStyle w:val="12"/>
        <w:tblW w:w="14034" w:type="dxa"/>
        <w:jc w:val="center"/>
        <w:tblLayout w:type="autofit"/>
        <w:tblCellMar>
          <w:top w:w="0" w:type="dxa"/>
          <w:left w:w="108" w:type="dxa"/>
          <w:bottom w:w="0" w:type="dxa"/>
          <w:right w:w="108" w:type="dxa"/>
        </w:tblCellMar>
      </w:tblPr>
      <w:tblGrid>
        <w:gridCol w:w="766"/>
        <w:gridCol w:w="2920"/>
        <w:gridCol w:w="1276"/>
        <w:gridCol w:w="850"/>
        <w:gridCol w:w="1843"/>
        <w:gridCol w:w="1276"/>
        <w:gridCol w:w="850"/>
        <w:gridCol w:w="2977"/>
        <w:gridCol w:w="1276"/>
      </w:tblGrid>
      <w:tr w14:paraId="34B7CCD3">
        <w:tblPrEx>
          <w:tblCellMar>
            <w:top w:w="0" w:type="dxa"/>
            <w:left w:w="108" w:type="dxa"/>
            <w:bottom w:w="0" w:type="dxa"/>
            <w:right w:w="108" w:type="dxa"/>
          </w:tblCellMar>
        </w:tblPrEx>
        <w:trPr>
          <w:trHeight w:val="255" w:hRule="atLeast"/>
          <w:tblHeader/>
          <w:jc w:val="center"/>
        </w:trPr>
        <w:tc>
          <w:tcPr>
            <w:tcW w:w="766" w:type="dxa"/>
            <w:tcBorders>
              <w:top w:val="nil"/>
              <w:left w:val="nil"/>
              <w:bottom w:val="nil"/>
              <w:right w:val="nil"/>
            </w:tcBorders>
            <w:shd w:val="clear" w:color="auto" w:fill="auto"/>
            <w:noWrap/>
            <w:vAlign w:val="bottom"/>
          </w:tcPr>
          <w:p w14:paraId="156DD872">
            <w:pPr>
              <w:keepNext w:val="0"/>
              <w:keepLines w:val="0"/>
              <w:pageBreakBefore w:val="0"/>
              <w:widowControl/>
              <w:kinsoku/>
              <w:wordWrap/>
              <w:overflowPunct/>
              <w:topLinePunct w:val="0"/>
              <w:autoSpaceDE/>
              <w:autoSpaceDN/>
              <w:bidi w:val="0"/>
              <w:adjustRightInd/>
              <w:snapToGrid/>
              <w:spacing w:line="400" w:lineRule="exact"/>
              <w:jc w:val="left"/>
              <w:rPr>
                <w:rFonts w:ascii="宋体" w:hAnsi="宋体" w:eastAsia="宋体" w:cs="Arial"/>
                <w:color w:val="000000"/>
                <w:kern w:val="0"/>
                <w:sz w:val="22"/>
                <w:szCs w:val="22"/>
              </w:rPr>
            </w:pPr>
          </w:p>
        </w:tc>
        <w:tc>
          <w:tcPr>
            <w:tcW w:w="2920" w:type="dxa"/>
            <w:tcBorders>
              <w:top w:val="nil"/>
              <w:left w:val="nil"/>
              <w:bottom w:val="nil"/>
              <w:right w:val="nil"/>
            </w:tcBorders>
            <w:shd w:val="clear" w:color="auto" w:fill="auto"/>
            <w:noWrap/>
            <w:vAlign w:val="bottom"/>
          </w:tcPr>
          <w:p w14:paraId="3391D2D1">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1276" w:type="dxa"/>
            <w:tcBorders>
              <w:top w:val="nil"/>
              <w:left w:val="nil"/>
              <w:bottom w:val="nil"/>
              <w:right w:val="nil"/>
            </w:tcBorders>
            <w:shd w:val="clear" w:color="auto" w:fill="auto"/>
            <w:noWrap/>
            <w:vAlign w:val="bottom"/>
          </w:tcPr>
          <w:p w14:paraId="009DAA67">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850" w:type="dxa"/>
            <w:tcBorders>
              <w:top w:val="nil"/>
              <w:left w:val="nil"/>
              <w:bottom w:val="nil"/>
              <w:right w:val="nil"/>
            </w:tcBorders>
            <w:shd w:val="clear" w:color="auto" w:fill="auto"/>
            <w:noWrap/>
            <w:vAlign w:val="bottom"/>
          </w:tcPr>
          <w:p w14:paraId="5B535EDD">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1843" w:type="dxa"/>
            <w:tcBorders>
              <w:top w:val="nil"/>
              <w:left w:val="nil"/>
              <w:bottom w:val="nil"/>
              <w:right w:val="nil"/>
            </w:tcBorders>
            <w:shd w:val="clear" w:color="auto" w:fill="auto"/>
            <w:noWrap/>
            <w:vAlign w:val="bottom"/>
          </w:tcPr>
          <w:p w14:paraId="0FC68E62">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1276" w:type="dxa"/>
            <w:tcBorders>
              <w:top w:val="nil"/>
              <w:left w:val="nil"/>
              <w:bottom w:val="nil"/>
              <w:right w:val="nil"/>
            </w:tcBorders>
            <w:shd w:val="clear" w:color="auto" w:fill="auto"/>
            <w:noWrap/>
            <w:vAlign w:val="bottom"/>
          </w:tcPr>
          <w:p w14:paraId="09A96C09">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850" w:type="dxa"/>
            <w:tcBorders>
              <w:top w:val="nil"/>
              <w:left w:val="nil"/>
              <w:bottom w:val="nil"/>
              <w:right w:val="nil"/>
            </w:tcBorders>
            <w:shd w:val="clear" w:color="auto" w:fill="auto"/>
            <w:noWrap/>
            <w:vAlign w:val="bottom"/>
          </w:tcPr>
          <w:p w14:paraId="2B807076">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2977" w:type="dxa"/>
            <w:tcBorders>
              <w:top w:val="nil"/>
              <w:left w:val="nil"/>
              <w:bottom w:val="nil"/>
              <w:right w:val="nil"/>
            </w:tcBorders>
            <w:shd w:val="clear" w:color="auto" w:fill="auto"/>
            <w:noWrap/>
            <w:vAlign w:val="bottom"/>
          </w:tcPr>
          <w:p w14:paraId="1172BB59">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1276" w:type="dxa"/>
            <w:tcBorders>
              <w:top w:val="nil"/>
              <w:left w:val="nil"/>
              <w:bottom w:val="nil"/>
              <w:right w:val="nil"/>
            </w:tcBorders>
            <w:shd w:val="clear" w:color="auto" w:fill="auto"/>
            <w:noWrap/>
            <w:vAlign w:val="bottom"/>
          </w:tcPr>
          <w:p w14:paraId="3569DD42">
            <w:pPr>
              <w:keepNext w:val="0"/>
              <w:keepLines w:val="0"/>
              <w:pageBreakBefore w:val="0"/>
              <w:widowControl/>
              <w:kinsoku/>
              <w:wordWrap/>
              <w:overflowPunct/>
              <w:topLinePunct w:val="0"/>
              <w:autoSpaceDE/>
              <w:autoSpaceDN/>
              <w:bidi w:val="0"/>
              <w:adjustRightInd/>
              <w:snapToGrid/>
              <w:spacing w:line="400" w:lineRule="exact"/>
              <w:jc w:val="left"/>
              <w:rPr>
                <w:rFonts w:ascii="宋体" w:hAnsi="宋体" w:eastAsia="宋体" w:cs="Arial"/>
                <w:color w:val="000000"/>
                <w:kern w:val="0"/>
                <w:sz w:val="22"/>
                <w:szCs w:val="22"/>
              </w:rPr>
            </w:pPr>
            <w:r>
              <w:rPr>
                <w:rFonts w:hint="eastAsia" w:ascii="宋体" w:hAnsi="宋体" w:eastAsia="宋体" w:cs="Arial"/>
                <w:color w:val="000000"/>
                <w:kern w:val="0"/>
                <w:sz w:val="22"/>
                <w:szCs w:val="22"/>
              </w:rPr>
              <w:t>公开06表</w:t>
            </w:r>
          </w:p>
        </w:tc>
      </w:tr>
      <w:tr w14:paraId="5BC4168F">
        <w:tblPrEx>
          <w:tblCellMar>
            <w:top w:w="0" w:type="dxa"/>
            <w:left w:w="108" w:type="dxa"/>
            <w:bottom w:w="0" w:type="dxa"/>
            <w:right w:w="108" w:type="dxa"/>
          </w:tblCellMar>
        </w:tblPrEx>
        <w:trPr>
          <w:trHeight w:val="255" w:hRule="atLeast"/>
          <w:tblHeader/>
          <w:jc w:val="center"/>
        </w:trPr>
        <w:tc>
          <w:tcPr>
            <w:tcW w:w="3686" w:type="dxa"/>
            <w:gridSpan w:val="2"/>
            <w:tcBorders>
              <w:top w:val="nil"/>
              <w:left w:val="nil"/>
              <w:bottom w:val="single" w:color="auto" w:sz="4" w:space="0"/>
              <w:right w:val="nil"/>
            </w:tcBorders>
            <w:shd w:val="clear" w:color="auto" w:fill="auto"/>
            <w:noWrap/>
            <w:vAlign w:val="bottom"/>
          </w:tcPr>
          <w:p w14:paraId="418A766A">
            <w:pPr>
              <w:keepNext w:val="0"/>
              <w:keepLines w:val="0"/>
              <w:pageBreakBefore w:val="0"/>
              <w:widowControl/>
              <w:kinsoku/>
              <w:wordWrap/>
              <w:overflowPunct/>
              <w:topLinePunct w:val="0"/>
              <w:autoSpaceDE/>
              <w:autoSpaceDN/>
              <w:bidi w:val="0"/>
              <w:adjustRightInd/>
              <w:snapToGrid/>
              <w:spacing w:line="400" w:lineRule="exact"/>
              <w:jc w:val="left"/>
              <w:rPr>
                <w:rFonts w:ascii="宋体" w:hAnsi="宋体" w:eastAsia="宋体" w:cs="Arial"/>
                <w:color w:val="000000"/>
                <w:kern w:val="0"/>
                <w:sz w:val="22"/>
                <w:szCs w:val="22"/>
              </w:rPr>
            </w:pPr>
            <w:r>
              <w:rPr>
                <w:rFonts w:hint="eastAsia" w:ascii="宋体" w:hAnsi="宋体" w:eastAsia="宋体" w:cs="Arial"/>
                <w:color w:val="000000"/>
                <w:kern w:val="0"/>
                <w:sz w:val="22"/>
                <w:szCs w:val="22"/>
              </w:rPr>
              <w:t>部门：国家统计局吉林调查总队</w:t>
            </w:r>
          </w:p>
        </w:tc>
        <w:tc>
          <w:tcPr>
            <w:tcW w:w="1276" w:type="dxa"/>
            <w:tcBorders>
              <w:top w:val="nil"/>
              <w:left w:val="nil"/>
              <w:bottom w:val="single" w:color="auto" w:sz="4" w:space="0"/>
              <w:right w:val="nil"/>
            </w:tcBorders>
            <w:shd w:val="clear" w:color="auto" w:fill="auto"/>
            <w:noWrap/>
            <w:vAlign w:val="bottom"/>
          </w:tcPr>
          <w:p w14:paraId="651B9B37">
            <w:pPr>
              <w:keepNext w:val="0"/>
              <w:keepLines w:val="0"/>
              <w:pageBreakBefore w:val="0"/>
              <w:widowControl/>
              <w:kinsoku/>
              <w:wordWrap/>
              <w:overflowPunct/>
              <w:topLinePunct w:val="0"/>
              <w:autoSpaceDE/>
              <w:autoSpaceDN/>
              <w:bidi w:val="0"/>
              <w:adjustRightInd/>
              <w:snapToGrid/>
              <w:spacing w:line="400" w:lineRule="exact"/>
              <w:jc w:val="left"/>
              <w:rPr>
                <w:rFonts w:ascii="宋体" w:hAnsi="宋体" w:eastAsia="宋体" w:cs="Arial"/>
                <w:color w:val="000000"/>
                <w:kern w:val="0"/>
                <w:sz w:val="22"/>
                <w:szCs w:val="22"/>
              </w:rPr>
            </w:pPr>
          </w:p>
        </w:tc>
        <w:tc>
          <w:tcPr>
            <w:tcW w:w="850" w:type="dxa"/>
            <w:tcBorders>
              <w:top w:val="nil"/>
              <w:left w:val="nil"/>
              <w:bottom w:val="single" w:color="auto" w:sz="4" w:space="0"/>
              <w:right w:val="nil"/>
            </w:tcBorders>
            <w:shd w:val="clear" w:color="auto" w:fill="auto"/>
            <w:noWrap/>
            <w:vAlign w:val="bottom"/>
          </w:tcPr>
          <w:p w14:paraId="6A398A7E">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1843" w:type="dxa"/>
            <w:tcBorders>
              <w:top w:val="nil"/>
              <w:left w:val="nil"/>
              <w:bottom w:val="single" w:color="auto" w:sz="4" w:space="0"/>
              <w:right w:val="nil"/>
            </w:tcBorders>
            <w:shd w:val="clear" w:color="auto" w:fill="auto"/>
            <w:noWrap/>
            <w:vAlign w:val="bottom"/>
          </w:tcPr>
          <w:p w14:paraId="345F4364">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1276" w:type="dxa"/>
            <w:tcBorders>
              <w:top w:val="nil"/>
              <w:left w:val="nil"/>
              <w:bottom w:val="single" w:color="auto" w:sz="4" w:space="0"/>
              <w:right w:val="nil"/>
            </w:tcBorders>
            <w:shd w:val="clear" w:color="auto" w:fill="auto"/>
            <w:noWrap/>
            <w:vAlign w:val="bottom"/>
          </w:tcPr>
          <w:p w14:paraId="5A089D01">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850" w:type="dxa"/>
            <w:tcBorders>
              <w:top w:val="nil"/>
              <w:left w:val="nil"/>
              <w:bottom w:val="single" w:color="auto" w:sz="4" w:space="0"/>
              <w:right w:val="nil"/>
            </w:tcBorders>
            <w:shd w:val="clear" w:color="auto" w:fill="auto"/>
            <w:noWrap/>
            <w:vAlign w:val="bottom"/>
          </w:tcPr>
          <w:p w14:paraId="03F60FF4">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4253" w:type="dxa"/>
            <w:gridSpan w:val="2"/>
            <w:tcBorders>
              <w:top w:val="nil"/>
              <w:left w:val="nil"/>
              <w:bottom w:val="single" w:color="auto" w:sz="4" w:space="0"/>
              <w:right w:val="nil"/>
            </w:tcBorders>
            <w:shd w:val="clear" w:color="auto" w:fill="auto"/>
            <w:noWrap/>
            <w:vAlign w:val="bottom"/>
          </w:tcPr>
          <w:p w14:paraId="3DC7E6C9">
            <w:pPr>
              <w:keepNext w:val="0"/>
              <w:keepLines w:val="0"/>
              <w:pageBreakBefore w:val="0"/>
              <w:widowControl/>
              <w:kinsoku/>
              <w:wordWrap/>
              <w:overflowPunct/>
              <w:topLinePunct w:val="0"/>
              <w:autoSpaceDE/>
              <w:autoSpaceDN/>
              <w:bidi w:val="0"/>
              <w:adjustRightInd/>
              <w:snapToGrid/>
              <w:spacing w:line="400" w:lineRule="exact"/>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金额单位：万元</w:t>
            </w:r>
          </w:p>
        </w:tc>
      </w:tr>
      <w:tr w14:paraId="4C30E253">
        <w:tblPrEx>
          <w:tblCellMar>
            <w:top w:w="0" w:type="dxa"/>
            <w:left w:w="108" w:type="dxa"/>
            <w:bottom w:w="0" w:type="dxa"/>
            <w:right w:w="108" w:type="dxa"/>
          </w:tblCellMar>
        </w:tblPrEx>
        <w:trPr>
          <w:trHeight w:val="308" w:hRule="atLeast"/>
          <w:tblHeader/>
          <w:jc w:val="center"/>
        </w:trPr>
        <w:tc>
          <w:tcPr>
            <w:tcW w:w="4962" w:type="dxa"/>
            <w:gridSpan w:val="3"/>
            <w:tcBorders>
              <w:top w:val="single" w:color="auto" w:sz="4" w:space="0"/>
              <w:left w:val="single" w:color="auto" w:sz="4" w:space="0"/>
              <w:bottom w:val="single" w:color="auto" w:sz="4" w:space="0"/>
              <w:right w:val="single" w:color="auto" w:sz="4" w:space="0"/>
            </w:tcBorders>
            <w:shd w:val="clear" w:color="FFFFFF" w:fill="auto"/>
            <w:noWrap/>
            <w:vAlign w:val="center"/>
          </w:tcPr>
          <w:p w14:paraId="0B76F409">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color w:val="000000"/>
                <w:kern w:val="0"/>
                <w:sz w:val="22"/>
              </w:rPr>
            </w:pPr>
            <w:r>
              <w:rPr>
                <w:rFonts w:hint="eastAsia" w:ascii="宋体" w:hAnsi="宋体" w:eastAsia="宋体" w:cs="Arial"/>
                <w:color w:val="000000"/>
                <w:kern w:val="0"/>
                <w:sz w:val="22"/>
              </w:rPr>
              <w:t>人员经费</w:t>
            </w:r>
          </w:p>
        </w:tc>
        <w:tc>
          <w:tcPr>
            <w:tcW w:w="9072" w:type="dxa"/>
            <w:gridSpan w:val="6"/>
            <w:tcBorders>
              <w:top w:val="single" w:color="auto" w:sz="4" w:space="0"/>
              <w:left w:val="single" w:color="auto" w:sz="4" w:space="0"/>
              <w:bottom w:val="single" w:color="auto" w:sz="4" w:space="0"/>
              <w:right w:val="single" w:color="auto" w:sz="4" w:space="0"/>
            </w:tcBorders>
            <w:shd w:val="clear" w:color="FFFFFF" w:fill="auto"/>
            <w:noWrap/>
            <w:vAlign w:val="center"/>
          </w:tcPr>
          <w:p w14:paraId="47E9E144">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color w:val="000000"/>
                <w:kern w:val="0"/>
                <w:sz w:val="22"/>
              </w:rPr>
            </w:pPr>
            <w:r>
              <w:rPr>
                <w:rFonts w:hint="eastAsia" w:ascii="宋体" w:hAnsi="宋体" w:eastAsia="宋体" w:cs="Arial"/>
                <w:color w:val="000000"/>
                <w:kern w:val="0"/>
                <w:sz w:val="22"/>
              </w:rPr>
              <w:t>公用经费</w:t>
            </w:r>
          </w:p>
        </w:tc>
      </w:tr>
      <w:tr w14:paraId="4B8E0D66">
        <w:tblPrEx>
          <w:tblCellMar>
            <w:top w:w="0" w:type="dxa"/>
            <w:left w:w="108" w:type="dxa"/>
            <w:bottom w:w="0" w:type="dxa"/>
            <w:right w:w="108" w:type="dxa"/>
          </w:tblCellMar>
        </w:tblPrEx>
        <w:trPr>
          <w:trHeight w:val="312" w:hRule="atLeast"/>
          <w:tblHeader/>
          <w:jc w:val="center"/>
        </w:trPr>
        <w:tc>
          <w:tcPr>
            <w:tcW w:w="766" w:type="dxa"/>
            <w:vMerge w:val="restart"/>
            <w:tcBorders>
              <w:top w:val="single" w:color="auto" w:sz="4" w:space="0"/>
              <w:left w:val="single" w:color="auto" w:sz="4" w:space="0"/>
              <w:bottom w:val="single" w:color="auto" w:sz="4" w:space="0"/>
              <w:right w:val="single" w:color="auto" w:sz="4" w:space="0"/>
            </w:tcBorders>
            <w:shd w:val="clear" w:color="FFFFFF" w:fill="auto"/>
            <w:vAlign w:val="center"/>
          </w:tcPr>
          <w:p w14:paraId="60C864DC">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color w:val="000000"/>
                <w:kern w:val="0"/>
                <w:sz w:val="22"/>
              </w:rPr>
            </w:pPr>
            <w:r>
              <w:rPr>
                <w:rFonts w:hint="eastAsia" w:ascii="宋体" w:hAnsi="宋体" w:eastAsia="宋体" w:cs="Arial"/>
                <w:color w:val="000000"/>
                <w:kern w:val="0"/>
                <w:sz w:val="22"/>
              </w:rPr>
              <w:t>科目</w:t>
            </w:r>
            <w:r>
              <w:rPr>
                <w:rFonts w:hint="eastAsia" w:ascii="宋体" w:hAnsi="宋体" w:eastAsia="宋体" w:cs="Arial"/>
                <w:color w:val="000000"/>
                <w:kern w:val="0"/>
                <w:sz w:val="22"/>
                <w:lang w:val="en-US" w:eastAsia="zh-CN"/>
              </w:rPr>
              <w:t>代</w:t>
            </w:r>
            <w:r>
              <w:rPr>
                <w:rFonts w:hint="eastAsia" w:ascii="宋体" w:hAnsi="宋体" w:eastAsia="宋体" w:cs="Arial"/>
                <w:color w:val="000000"/>
                <w:kern w:val="0"/>
                <w:sz w:val="22"/>
              </w:rPr>
              <w:t>码</w:t>
            </w:r>
          </w:p>
        </w:tc>
        <w:tc>
          <w:tcPr>
            <w:tcW w:w="2920" w:type="dxa"/>
            <w:vMerge w:val="restart"/>
            <w:tcBorders>
              <w:top w:val="single" w:color="auto" w:sz="4" w:space="0"/>
              <w:left w:val="single" w:color="auto" w:sz="4" w:space="0"/>
              <w:bottom w:val="single" w:color="auto" w:sz="4" w:space="0"/>
              <w:right w:val="single" w:color="auto" w:sz="4" w:space="0"/>
            </w:tcBorders>
            <w:shd w:val="clear" w:color="FFFFFF" w:fill="auto"/>
            <w:vAlign w:val="center"/>
          </w:tcPr>
          <w:p w14:paraId="7ACF7A2D">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276" w:type="dxa"/>
            <w:vMerge w:val="restart"/>
            <w:tcBorders>
              <w:top w:val="single" w:color="auto" w:sz="4" w:space="0"/>
              <w:left w:val="single" w:color="auto" w:sz="4" w:space="0"/>
              <w:bottom w:val="single" w:color="auto" w:sz="4" w:space="0"/>
              <w:right w:val="single" w:color="auto" w:sz="4" w:space="0"/>
            </w:tcBorders>
            <w:shd w:val="clear" w:color="FFFFFF" w:fill="auto"/>
            <w:vAlign w:val="center"/>
          </w:tcPr>
          <w:p w14:paraId="6962E2E1">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c>
          <w:tcPr>
            <w:tcW w:w="850" w:type="dxa"/>
            <w:vMerge w:val="restart"/>
            <w:tcBorders>
              <w:top w:val="single" w:color="auto" w:sz="4" w:space="0"/>
              <w:left w:val="single" w:color="auto" w:sz="4" w:space="0"/>
              <w:bottom w:val="single" w:color="auto" w:sz="4" w:space="0"/>
              <w:right w:val="single" w:color="auto" w:sz="4" w:space="0"/>
            </w:tcBorders>
            <w:shd w:val="clear" w:color="FFFFFF" w:fill="auto"/>
            <w:vAlign w:val="center"/>
          </w:tcPr>
          <w:p w14:paraId="2325DAE9">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color w:val="000000"/>
                <w:kern w:val="0"/>
                <w:sz w:val="22"/>
              </w:rPr>
            </w:pPr>
            <w:r>
              <w:rPr>
                <w:rFonts w:hint="eastAsia" w:ascii="宋体" w:hAnsi="宋体" w:eastAsia="宋体" w:cs="Arial"/>
                <w:color w:val="000000"/>
                <w:kern w:val="0"/>
                <w:sz w:val="22"/>
              </w:rPr>
              <w:t>科目</w:t>
            </w:r>
            <w:r>
              <w:rPr>
                <w:rFonts w:hint="eastAsia" w:ascii="宋体" w:hAnsi="宋体" w:eastAsia="宋体" w:cs="Arial"/>
                <w:color w:val="000000"/>
                <w:kern w:val="0"/>
                <w:sz w:val="22"/>
                <w:lang w:val="en-US" w:eastAsia="zh-CN"/>
              </w:rPr>
              <w:t>代</w:t>
            </w:r>
            <w:r>
              <w:rPr>
                <w:rFonts w:hint="eastAsia" w:ascii="宋体" w:hAnsi="宋体" w:eastAsia="宋体" w:cs="Arial"/>
                <w:color w:val="000000"/>
                <w:kern w:val="0"/>
                <w:sz w:val="22"/>
              </w:rPr>
              <w:t>码</w:t>
            </w:r>
          </w:p>
        </w:tc>
        <w:tc>
          <w:tcPr>
            <w:tcW w:w="1843" w:type="dxa"/>
            <w:vMerge w:val="restart"/>
            <w:tcBorders>
              <w:top w:val="single" w:color="auto" w:sz="4" w:space="0"/>
              <w:left w:val="single" w:color="auto" w:sz="4" w:space="0"/>
              <w:bottom w:val="single" w:color="auto" w:sz="4" w:space="0"/>
              <w:right w:val="single" w:color="auto" w:sz="4" w:space="0"/>
            </w:tcBorders>
            <w:shd w:val="clear" w:color="FFFFFF" w:fill="auto"/>
            <w:vAlign w:val="center"/>
          </w:tcPr>
          <w:p w14:paraId="72B11805">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276" w:type="dxa"/>
            <w:vMerge w:val="restart"/>
            <w:tcBorders>
              <w:top w:val="single" w:color="auto" w:sz="4" w:space="0"/>
              <w:left w:val="single" w:color="auto" w:sz="4" w:space="0"/>
              <w:bottom w:val="single" w:color="auto" w:sz="4" w:space="0"/>
              <w:right w:val="single" w:color="auto" w:sz="4" w:space="0"/>
            </w:tcBorders>
            <w:shd w:val="clear" w:color="FFFFFF" w:fill="auto"/>
            <w:vAlign w:val="center"/>
          </w:tcPr>
          <w:p w14:paraId="72EA5339">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c>
          <w:tcPr>
            <w:tcW w:w="850" w:type="dxa"/>
            <w:vMerge w:val="restart"/>
            <w:tcBorders>
              <w:top w:val="single" w:color="auto" w:sz="4" w:space="0"/>
              <w:left w:val="single" w:color="auto" w:sz="4" w:space="0"/>
              <w:bottom w:val="single" w:color="auto" w:sz="4" w:space="0"/>
              <w:right w:val="single" w:color="auto" w:sz="4" w:space="0"/>
            </w:tcBorders>
            <w:shd w:val="clear" w:color="FFFFFF" w:fill="auto"/>
            <w:vAlign w:val="center"/>
          </w:tcPr>
          <w:p w14:paraId="000F3976">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color w:val="000000"/>
                <w:kern w:val="0"/>
                <w:sz w:val="22"/>
              </w:rPr>
            </w:pPr>
            <w:r>
              <w:rPr>
                <w:rFonts w:hint="eastAsia" w:ascii="宋体" w:hAnsi="宋体" w:eastAsia="宋体" w:cs="Arial"/>
                <w:color w:val="000000"/>
                <w:kern w:val="0"/>
                <w:sz w:val="22"/>
              </w:rPr>
              <w:t>科目</w:t>
            </w:r>
            <w:r>
              <w:rPr>
                <w:rFonts w:hint="eastAsia" w:ascii="宋体" w:hAnsi="宋体" w:eastAsia="宋体" w:cs="Arial"/>
                <w:color w:val="000000"/>
                <w:kern w:val="0"/>
                <w:sz w:val="22"/>
                <w:lang w:val="en-US" w:eastAsia="zh-CN"/>
              </w:rPr>
              <w:t>代</w:t>
            </w:r>
            <w:r>
              <w:rPr>
                <w:rFonts w:hint="eastAsia" w:ascii="宋体" w:hAnsi="宋体" w:eastAsia="宋体" w:cs="Arial"/>
                <w:color w:val="000000"/>
                <w:kern w:val="0"/>
                <w:sz w:val="22"/>
              </w:rPr>
              <w:t>码</w:t>
            </w:r>
          </w:p>
        </w:tc>
        <w:tc>
          <w:tcPr>
            <w:tcW w:w="2977" w:type="dxa"/>
            <w:vMerge w:val="restart"/>
            <w:tcBorders>
              <w:top w:val="single" w:color="auto" w:sz="4" w:space="0"/>
              <w:left w:val="single" w:color="auto" w:sz="4" w:space="0"/>
              <w:bottom w:val="single" w:color="auto" w:sz="4" w:space="0"/>
              <w:right w:val="single" w:color="auto" w:sz="4" w:space="0"/>
            </w:tcBorders>
            <w:shd w:val="clear" w:color="FFFFFF" w:fill="auto"/>
            <w:vAlign w:val="center"/>
          </w:tcPr>
          <w:p w14:paraId="6F45A93E">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276" w:type="dxa"/>
            <w:vMerge w:val="restart"/>
            <w:tcBorders>
              <w:top w:val="single" w:color="auto" w:sz="4" w:space="0"/>
              <w:left w:val="single" w:color="auto" w:sz="4" w:space="0"/>
              <w:bottom w:val="single" w:color="auto" w:sz="4" w:space="0"/>
              <w:right w:val="single" w:color="auto" w:sz="4" w:space="0"/>
            </w:tcBorders>
            <w:shd w:val="clear" w:color="FFFFFF" w:fill="auto"/>
            <w:vAlign w:val="center"/>
          </w:tcPr>
          <w:p w14:paraId="4DC81359">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r>
      <w:tr w14:paraId="0F6E92E5">
        <w:tblPrEx>
          <w:tblCellMar>
            <w:top w:w="0" w:type="dxa"/>
            <w:left w:w="108" w:type="dxa"/>
            <w:bottom w:w="0" w:type="dxa"/>
            <w:right w:w="108" w:type="dxa"/>
          </w:tblCellMar>
        </w:tblPrEx>
        <w:trPr>
          <w:trHeight w:val="312" w:hRule="atLeast"/>
          <w:jc w:val="center"/>
        </w:trPr>
        <w:tc>
          <w:tcPr>
            <w:tcW w:w="766" w:type="dxa"/>
            <w:vMerge w:val="continue"/>
            <w:tcBorders>
              <w:top w:val="single" w:color="auto" w:sz="4" w:space="0"/>
              <w:left w:val="single" w:color="auto" w:sz="4" w:space="0"/>
              <w:bottom w:val="single" w:color="auto" w:sz="4" w:space="0"/>
              <w:right w:val="single" w:color="auto" w:sz="4" w:space="0"/>
            </w:tcBorders>
            <w:shd w:val="clear" w:color="FFFFFF" w:fill="auto"/>
            <w:vAlign w:val="center"/>
          </w:tcPr>
          <w:p w14:paraId="4224B841">
            <w:pPr>
              <w:keepNext w:val="0"/>
              <w:keepLines w:val="0"/>
              <w:pageBreakBefore w:val="0"/>
              <w:widowControl/>
              <w:kinsoku/>
              <w:wordWrap/>
              <w:overflowPunct/>
              <w:topLinePunct w:val="0"/>
              <w:autoSpaceDE/>
              <w:autoSpaceDN/>
              <w:bidi w:val="0"/>
              <w:adjustRightInd/>
              <w:snapToGrid/>
              <w:spacing w:line="400" w:lineRule="exact"/>
              <w:jc w:val="left"/>
              <w:rPr>
                <w:rFonts w:ascii="宋体" w:hAnsi="宋体" w:eastAsia="宋体" w:cs="Arial"/>
                <w:color w:val="000000"/>
                <w:kern w:val="0"/>
                <w:sz w:val="22"/>
              </w:rPr>
            </w:pPr>
          </w:p>
        </w:tc>
        <w:tc>
          <w:tcPr>
            <w:tcW w:w="2920" w:type="dxa"/>
            <w:vMerge w:val="continue"/>
            <w:tcBorders>
              <w:top w:val="single" w:color="auto" w:sz="4" w:space="0"/>
              <w:left w:val="single" w:color="auto" w:sz="4" w:space="0"/>
              <w:bottom w:val="single" w:color="auto" w:sz="4" w:space="0"/>
              <w:right w:val="single" w:color="auto" w:sz="4" w:space="0"/>
            </w:tcBorders>
            <w:shd w:val="clear" w:color="FFFFFF" w:fill="auto"/>
            <w:vAlign w:val="center"/>
          </w:tcPr>
          <w:p w14:paraId="7881289A">
            <w:pPr>
              <w:keepNext w:val="0"/>
              <w:keepLines w:val="0"/>
              <w:pageBreakBefore w:val="0"/>
              <w:widowControl/>
              <w:kinsoku/>
              <w:wordWrap/>
              <w:overflowPunct/>
              <w:topLinePunct w:val="0"/>
              <w:autoSpaceDE/>
              <w:autoSpaceDN/>
              <w:bidi w:val="0"/>
              <w:adjustRightInd/>
              <w:snapToGrid/>
              <w:spacing w:line="400" w:lineRule="exact"/>
              <w:jc w:val="left"/>
              <w:rPr>
                <w:rFonts w:ascii="宋体" w:hAnsi="宋体" w:eastAsia="宋体" w:cs="Arial"/>
                <w:color w:val="000000"/>
                <w:kern w:val="0"/>
                <w:sz w:val="22"/>
              </w:rPr>
            </w:pPr>
          </w:p>
        </w:tc>
        <w:tc>
          <w:tcPr>
            <w:tcW w:w="1276" w:type="dxa"/>
            <w:vMerge w:val="continue"/>
            <w:tcBorders>
              <w:top w:val="single" w:color="auto" w:sz="4" w:space="0"/>
              <w:left w:val="single" w:color="auto" w:sz="4" w:space="0"/>
              <w:bottom w:val="single" w:color="auto" w:sz="4" w:space="0"/>
              <w:right w:val="single" w:color="auto" w:sz="4" w:space="0"/>
            </w:tcBorders>
            <w:shd w:val="clear" w:color="FFFFFF" w:fill="auto"/>
            <w:vAlign w:val="center"/>
          </w:tcPr>
          <w:p w14:paraId="479B025D">
            <w:pPr>
              <w:keepNext w:val="0"/>
              <w:keepLines w:val="0"/>
              <w:pageBreakBefore w:val="0"/>
              <w:widowControl/>
              <w:kinsoku/>
              <w:wordWrap/>
              <w:overflowPunct/>
              <w:topLinePunct w:val="0"/>
              <w:autoSpaceDE/>
              <w:autoSpaceDN/>
              <w:bidi w:val="0"/>
              <w:adjustRightInd/>
              <w:snapToGrid/>
              <w:spacing w:line="400" w:lineRule="exact"/>
              <w:jc w:val="left"/>
              <w:rPr>
                <w:rFonts w:ascii="宋体" w:hAnsi="宋体" w:eastAsia="宋体" w:cs="Arial"/>
                <w:color w:val="000000"/>
                <w:kern w:val="0"/>
                <w:sz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FFFFFF" w:fill="auto"/>
            <w:vAlign w:val="center"/>
          </w:tcPr>
          <w:p w14:paraId="3727E790">
            <w:pPr>
              <w:keepNext w:val="0"/>
              <w:keepLines w:val="0"/>
              <w:pageBreakBefore w:val="0"/>
              <w:widowControl/>
              <w:kinsoku/>
              <w:wordWrap/>
              <w:overflowPunct/>
              <w:topLinePunct w:val="0"/>
              <w:autoSpaceDE/>
              <w:autoSpaceDN/>
              <w:bidi w:val="0"/>
              <w:adjustRightInd/>
              <w:snapToGrid/>
              <w:spacing w:line="400" w:lineRule="exact"/>
              <w:jc w:val="left"/>
              <w:rPr>
                <w:rFonts w:ascii="宋体" w:hAnsi="宋体" w:eastAsia="宋体" w:cs="Arial"/>
                <w:color w:val="000000"/>
                <w:kern w:val="0"/>
                <w:sz w:val="22"/>
              </w:rPr>
            </w:pPr>
          </w:p>
        </w:tc>
        <w:tc>
          <w:tcPr>
            <w:tcW w:w="1843" w:type="dxa"/>
            <w:vMerge w:val="continue"/>
            <w:tcBorders>
              <w:top w:val="single" w:color="auto" w:sz="4" w:space="0"/>
              <w:left w:val="single" w:color="auto" w:sz="4" w:space="0"/>
              <w:bottom w:val="single" w:color="auto" w:sz="4" w:space="0"/>
              <w:right w:val="single" w:color="auto" w:sz="4" w:space="0"/>
            </w:tcBorders>
            <w:shd w:val="clear" w:color="FFFFFF" w:fill="auto"/>
            <w:vAlign w:val="center"/>
          </w:tcPr>
          <w:p w14:paraId="51EE18A3">
            <w:pPr>
              <w:keepNext w:val="0"/>
              <w:keepLines w:val="0"/>
              <w:pageBreakBefore w:val="0"/>
              <w:widowControl/>
              <w:kinsoku/>
              <w:wordWrap/>
              <w:overflowPunct/>
              <w:topLinePunct w:val="0"/>
              <w:autoSpaceDE/>
              <w:autoSpaceDN/>
              <w:bidi w:val="0"/>
              <w:adjustRightInd/>
              <w:snapToGrid/>
              <w:spacing w:line="400" w:lineRule="exact"/>
              <w:jc w:val="left"/>
              <w:rPr>
                <w:rFonts w:ascii="宋体" w:hAnsi="宋体" w:eastAsia="宋体" w:cs="Arial"/>
                <w:color w:val="000000"/>
                <w:kern w:val="0"/>
                <w:sz w:val="22"/>
              </w:rPr>
            </w:pPr>
          </w:p>
        </w:tc>
        <w:tc>
          <w:tcPr>
            <w:tcW w:w="1276" w:type="dxa"/>
            <w:vMerge w:val="continue"/>
            <w:tcBorders>
              <w:top w:val="single" w:color="auto" w:sz="4" w:space="0"/>
              <w:left w:val="single" w:color="auto" w:sz="4" w:space="0"/>
              <w:bottom w:val="single" w:color="auto" w:sz="4" w:space="0"/>
              <w:right w:val="single" w:color="auto" w:sz="4" w:space="0"/>
            </w:tcBorders>
            <w:shd w:val="clear" w:color="FFFFFF" w:fill="auto"/>
            <w:vAlign w:val="center"/>
          </w:tcPr>
          <w:p w14:paraId="7EA7CBC7">
            <w:pPr>
              <w:keepNext w:val="0"/>
              <w:keepLines w:val="0"/>
              <w:pageBreakBefore w:val="0"/>
              <w:widowControl/>
              <w:kinsoku/>
              <w:wordWrap/>
              <w:overflowPunct/>
              <w:topLinePunct w:val="0"/>
              <w:autoSpaceDE/>
              <w:autoSpaceDN/>
              <w:bidi w:val="0"/>
              <w:adjustRightInd/>
              <w:snapToGrid/>
              <w:spacing w:line="400" w:lineRule="exact"/>
              <w:jc w:val="left"/>
              <w:rPr>
                <w:rFonts w:ascii="宋体" w:hAnsi="宋体" w:eastAsia="宋体" w:cs="Arial"/>
                <w:color w:val="000000"/>
                <w:kern w:val="0"/>
                <w:sz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FFFFFF" w:fill="auto"/>
            <w:vAlign w:val="center"/>
          </w:tcPr>
          <w:p w14:paraId="15C95999">
            <w:pPr>
              <w:keepNext w:val="0"/>
              <w:keepLines w:val="0"/>
              <w:pageBreakBefore w:val="0"/>
              <w:widowControl/>
              <w:kinsoku/>
              <w:wordWrap/>
              <w:overflowPunct/>
              <w:topLinePunct w:val="0"/>
              <w:autoSpaceDE/>
              <w:autoSpaceDN/>
              <w:bidi w:val="0"/>
              <w:adjustRightInd/>
              <w:snapToGrid/>
              <w:spacing w:line="400" w:lineRule="exact"/>
              <w:jc w:val="left"/>
              <w:rPr>
                <w:rFonts w:ascii="宋体" w:hAnsi="宋体" w:eastAsia="宋体" w:cs="Arial"/>
                <w:color w:val="000000"/>
                <w:kern w:val="0"/>
                <w:sz w:val="22"/>
              </w:rPr>
            </w:pPr>
          </w:p>
        </w:tc>
        <w:tc>
          <w:tcPr>
            <w:tcW w:w="2977" w:type="dxa"/>
            <w:vMerge w:val="continue"/>
            <w:tcBorders>
              <w:top w:val="single" w:color="auto" w:sz="4" w:space="0"/>
              <w:left w:val="single" w:color="auto" w:sz="4" w:space="0"/>
              <w:bottom w:val="single" w:color="auto" w:sz="4" w:space="0"/>
              <w:right w:val="single" w:color="auto" w:sz="4" w:space="0"/>
            </w:tcBorders>
            <w:shd w:val="clear" w:color="FFFFFF" w:fill="auto"/>
            <w:vAlign w:val="center"/>
          </w:tcPr>
          <w:p w14:paraId="557BAD30">
            <w:pPr>
              <w:keepNext w:val="0"/>
              <w:keepLines w:val="0"/>
              <w:pageBreakBefore w:val="0"/>
              <w:widowControl/>
              <w:kinsoku/>
              <w:wordWrap/>
              <w:overflowPunct/>
              <w:topLinePunct w:val="0"/>
              <w:autoSpaceDE/>
              <w:autoSpaceDN/>
              <w:bidi w:val="0"/>
              <w:adjustRightInd/>
              <w:snapToGrid/>
              <w:spacing w:line="400" w:lineRule="exact"/>
              <w:jc w:val="left"/>
              <w:rPr>
                <w:rFonts w:ascii="宋体" w:hAnsi="宋体" w:eastAsia="宋体" w:cs="Arial"/>
                <w:color w:val="000000"/>
                <w:kern w:val="0"/>
                <w:sz w:val="22"/>
              </w:rPr>
            </w:pPr>
          </w:p>
        </w:tc>
        <w:tc>
          <w:tcPr>
            <w:tcW w:w="1276" w:type="dxa"/>
            <w:vMerge w:val="continue"/>
            <w:tcBorders>
              <w:top w:val="single" w:color="auto" w:sz="4" w:space="0"/>
              <w:left w:val="single" w:color="auto" w:sz="4" w:space="0"/>
              <w:bottom w:val="single" w:color="auto" w:sz="4" w:space="0"/>
              <w:right w:val="single" w:color="auto" w:sz="4" w:space="0"/>
            </w:tcBorders>
            <w:shd w:val="clear" w:color="FFFFFF" w:fill="auto"/>
            <w:vAlign w:val="center"/>
          </w:tcPr>
          <w:p w14:paraId="0600F99F">
            <w:pPr>
              <w:keepNext w:val="0"/>
              <w:keepLines w:val="0"/>
              <w:pageBreakBefore w:val="0"/>
              <w:widowControl/>
              <w:kinsoku/>
              <w:wordWrap/>
              <w:overflowPunct/>
              <w:topLinePunct w:val="0"/>
              <w:autoSpaceDE/>
              <w:autoSpaceDN/>
              <w:bidi w:val="0"/>
              <w:adjustRightInd/>
              <w:snapToGrid/>
              <w:spacing w:line="400" w:lineRule="exact"/>
              <w:jc w:val="left"/>
              <w:rPr>
                <w:rFonts w:ascii="宋体" w:hAnsi="宋体" w:eastAsia="宋体" w:cs="Arial"/>
                <w:color w:val="000000"/>
                <w:kern w:val="0"/>
                <w:sz w:val="22"/>
              </w:rPr>
            </w:pPr>
          </w:p>
        </w:tc>
      </w:tr>
      <w:tr w14:paraId="4B420F50">
        <w:tblPrEx>
          <w:tblCellMar>
            <w:top w:w="0" w:type="dxa"/>
            <w:left w:w="108" w:type="dxa"/>
            <w:bottom w:w="0" w:type="dxa"/>
            <w:right w:w="108" w:type="dxa"/>
          </w:tblCellMar>
        </w:tblPrEx>
        <w:trPr>
          <w:trHeight w:val="308" w:hRule="atLeast"/>
          <w:jc w:val="center"/>
        </w:trPr>
        <w:tc>
          <w:tcPr>
            <w:tcW w:w="76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314D1C7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292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239DFE9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工资福利支出</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6A9ABE6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6,971.88</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375956F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1843"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665D8E9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商品和服务支出</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493549D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1,814.31</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58DEFCF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30229</w:t>
            </w:r>
          </w:p>
        </w:tc>
        <w:tc>
          <w:tcPr>
            <w:tcW w:w="2977"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781554A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57B5C62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137.04</w:t>
            </w:r>
          </w:p>
        </w:tc>
      </w:tr>
      <w:tr w14:paraId="4461547C">
        <w:tblPrEx>
          <w:tblCellMar>
            <w:top w:w="0" w:type="dxa"/>
            <w:left w:w="108" w:type="dxa"/>
            <w:bottom w:w="0" w:type="dxa"/>
            <w:right w:w="108" w:type="dxa"/>
          </w:tblCellMar>
        </w:tblPrEx>
        <w:trPr>
          <w:trHeight w:val="308" w:hRule="atLeast"/>
          <w:jc w:val="center"/>
        </w:trPr>
        <w:tc>
          <w:tcPr>
            <w:tcW w:w="76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2A8146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30101</w:t>
            </w:r>
          </w:p>
        </w:tc>
        <w:tc>
          <w:tcPr>
            <w:tcW w:w="292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21F113E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3766B96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2,712.21</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1CA637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30201</w:t>
            </w:r>
          </w:p>
        </w:tc>
        <w:tc>
          <w:tcPr>
            <w:tcW w:w="1843"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3665F2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58B68AB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143.35</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291EED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30231</w:t>
            </w:r>
          </w:p>
        </w:tc>
        <w:tc>
          <w:tcPr>
            <w:tcW w:w="2977"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16ED23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49A9575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49.93</w:t>
            </w:r>
          </w:p>
        </w:tc>
      </w:tr>
      <w:tr w14:paraId="7D8CB7E8">
        <w:tblPrEx>
          <w:tblCellMar>
            <w:top w:w="0" w:type="dxa"/>
            <w:left w:w="108" w:type="dxa"/>
            <w:bottom w:w="0" w:type="dxa"/>
            <w:right w:w="108" w:type="dxa"/>
          </w:tblCellMar>
        </w:tblPrEx>
        <w:trPr>
          <w:trHeight w:val="308" w:hRule="atLeast"/>
          <w:jc w:val="center"/>
        </w:trPr>
        <w:tc>
          <w:tcPr>
            <w:tcW w:w="76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33B96FA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30102</w:t>
            </w:r>
          </w:p>
        </w:tc>
        <w:tc>
          <w:tcPr>
            <w:tcW w:w="292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60FDE3C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30E7208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1,650.25</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06F5FE1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30202</w:t>
            </w:r>
          </w:p>
        </w:tc>
        <w:tc>
          <w:tcPr>
            <w:tcW w:w="1843"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3A739D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499F576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17.96</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0654C47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30239</w:t>
            </w:r>
          </w:p>
        </w:tc>
        <w:tc>
          <w:tcPr>
            <w:tcW w:w="2977"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44D1840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74D936C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419.18</w:t>
            </w:r>
          </w:p>
        </w:tc>
      </w:tr>
      <w:tr w14:paraId="54A87A27">
        <w:tblPrEx>
          <w:tblCellMar>
            <w:top w:w="0" w:type="dxa"/>
            <w:left w:w="108" w:type="dxa"/>
            <w:bottom w:w="0" w:type="dxa"/>
            <w:right w:w="108" w:type="dxa"/>
          </w:tblCellMar>
        </w:tblPrEx>
        <w:trPr>
          <w:trHeight w:val="308" w:hRule="atLeast"/>
          <w:jc w:val="center"/>
        </w:trPr>
        <w:tc>
          <w:tcPr>
            <w:tcW w:w="76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099E41F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30103</w:t>
            </w:r>
          </w:p>
        </w:tc>
        <w:tc>
          <w:tcPr>
            <w:tcW w:w="292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1B9B48F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奖金</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48781D6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213.42</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2F7138A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30205</w:t>
            </w:r>
          </w:p>
        </w:tc>
        <w:tc>
          <w:tcPr>
            <w:tcW w:w="1843"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43AE47B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水费</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30A975E1">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4.06</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3BABCC4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30299</w:t>
            </w:r>
          </w:p>
        </w:tc>
        <w:tc>
          <w:tcPr>
            <w:tcW w:w="2977"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3910A09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50715131">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134.77</w:t>
            </w:r>
          </w:p>
        </w:tc>
      </w:tr>
      <w:tr w14:paraId="54BD5981">
        <w:tblPrEx>
          <w:tblCellMar>
            <w:top w:w="0" w:type="dxa"/>
            <w:left w:w="108" w:type="dxa"/>
            <w:bottom w:w="0" w:type="dxa"/>
            <w:right w:w="108" w:type="dxa"/>
          </w:tblCellMar>
        </w:tblPrEx>
        <w:trPr>
          <w:trHeight w:val="308" w:hRule="atLeast"/>
          <w:jc w:val="center"/>
        </w:trPr>
        <w:tc>
          <w:tcPr>
            <w:tcW w:w="76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134568D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30108</w:t>
            </w:r>
          </w:p>
        </w:tc>
        <w:tc>
          <w:tcPr>
            <w:tcW w:w="292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5DCB555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3208101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720.23</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628A96D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30206</w:t>
            </w:r>
          </w:p>
        </w:tc>
        <w:tc>
          <w:tcPr>
            <w:tcW w:w="1843"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358C728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电费</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6BEDF827">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41.41</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41D1B34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w:t>
            </w:r>
          </w:p>
        </w:tc>
        <w:tc>
          <w:tcPr>
            <w:tcW w:w="2977"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31B9E5C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资本性支出</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4729DC3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140.17</w:t>
            </w:r>
          </w:p>
        </w:tc>
      </w:tr>
      <w:tr w14:paraId="346D8039">
        <w:tblPrEx>
          <w:tblCellMar>
            <w:top w:w="0" w:type="dxa"/>
            <w:left w:w="108" w:type="dxa"/>
            <w:bottom w:w="0" w:type="dxa"/>
            <w:right w:w="108" w:type="dxa"/>
          </w:tblCellMar>
        </w:tblPrEx>
        <w:trPr>
          <w:trHeight w:val="308" w:hRule="atLeast"/>
          <w:jc w:val="center"/>
        </w:trPr>
        <w:tc>
          <w:tcPr>
            <w:tcW w:w="76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51377F4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30109</w:t>
            </w:r>
          </w:p>
        </w:tc>
        <w:tc>
          <w:tcPr>
            <w:tcW w:w="292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2B57833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36059BA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412.13</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68C5303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30207</w:t>
            </w:r>
          </w:p>
        </w:tc>
        <w:tc>
          <w:tcPr>
            <w:tcW w:w="1843"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4E987F9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4A3AB56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101.48</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3021BDB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31002</w:t>
            </w:r>
          </w:p>
        </w:tc>
        <w:tc>
          <w:tcPr>
            <w:tcW w:w="2977"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2DE98D5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7E5180F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74.91</w:t>
            </w:r>
          </w:p>
        </w:tc>
      </w:tr>
      <w:tr w14:paraId="73E1DB62">
        <w:tblPrEx>
          <w:tblCellMar>
            <w:top w:w="0" w:type="dxa"/>
            <w:left w:w="108" w:type="dxa"/>
            <w:bottom w:w="0" w:type="dxa"/>
            <w:right w:w="108" w:type="dxa"/>
          </w:tblCellMar>
        </w:tblPrEx>
        <w:trPr>
          <w:trHeight w:val="308" w:hRule="atLeast"/>
          <w:jc w:val="center"/>
        </w:trPr>
        <w:tc>
          <w:tcPr>
            <w:tcW w:w="76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2A646CA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30110</w:t>
            </w:r>
          </w:p>
        </w:tc>
        <w:tc>
          <w:tcPr>
            <w:tcW w:w="292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7DF6A1D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1AB1905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443.09</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43AFAE5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30208</w:t>
            </w:r>
          </w:p>
        </w:tc>
        <w:tc>
          <w:tcPr>
            <w:tcW w:w="1843"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0BEC3F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534C223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24.23</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22B056C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31007</w:t>
            </w:r>
          </w:p>
        </w:tc>
        <w:tc>
          <w:tcPr>
            <w:tcW w:w="2977"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63B20EE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6C9598F5">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14.30</w:t>
            </w:r>
          </w:p>
        </w:tc>
      </w:tr>
      <w:tr w14:paraId="7E7802DA">
        <w:tblPrEx>
          <w:tblCellMar>
            <w:top w:w="0" w:type="dxa"/>
            <w:left w:w="108" w:type="dxa"/>
            <w:bottom w:w="0" w:type="dxa"/>
            <w:right w:w="108" w:type="dxa"/>
          </w:tblCellMar>
        </w:tblPrEx>
        <w:trPr>
          <w:trHeight w:val="308" w:hRule="atLeast"/>
          <w:jc w:val="center"/>
        </w:trPr>
        <w:tc>
          <w:tcPr>
            <w:tcW w:w="76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3C6F2FA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30112</w:t>
            </w:r>
          </w:p>
        </w:tc>
        <w:tc>
          <w:tcPr>
            <w:tcW w:w="292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49620E5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17D8B4F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10.68</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4D2A38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30209</w:t>
            </w:r>
          </w:p>
        </w:tc>
        <w:tc>
          <w:tcPr>
            <w:tcW w:w="1843"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321A77E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386C23E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108.10</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350F752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31013</w:t>
            </w:r>
          </w:p>
        </w:tc>
        <w:tc>
          <w:tcPr>
            <w:tcW w:w="2977"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665927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126B1BE7">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50.97</w:t>
            </w:r>
          </w:p>
        </w:tc>
      </w:tr>
      <w:tr w14:paraId="4539C9DF">
        <w:tblPrEx>
          <w:tblCellMar>
            <w:top w:w="0" w:type="dxa"/>
            <w:left w:w="108" w:type="dxa"/>
            <w:bottom w:w="0" w:type="dxa"/>
            <w:right w:w="108" w:type="dxa"/>
          </w:tblCellMar>
        </w:tblPrEx>
        <w:trPr>
          <w:trHeight w:val="308" w:hRule="atLeast"/>
          <w:jc w:val="center"/>
        </w:trPr>
        <w:tc>
          <w:tcPr>
            <w:tcW w:w="76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2D5DA5C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30113</w:t>
            </w:r>
          </w:p>
        </w:tc>
        <w:tc>
          <w:tcPr>
            <w:tcW w:w="292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3571717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7590F28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681.53</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1DA50DD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30211</w:t>
            </w:r>
          </w:p>
        </w:tc>
        <w:tc>
          <w:tcPr>
            <w:tcW w:w="1843"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202187B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2E4F53D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172.05</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5DCBB7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2977"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6E9CA89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4B0FCBE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p>
        </w:tc>
      </w:tr>
      <w:tr w14:paraId="04B35067">
        <w:tblPrEx>
          <w:tblCellMar>
            <w:top w:w="0" w:type="dxa"/>
            <w:left w:w="108" w:type="dxa"/>
            <w:bottom w:w="0" w:type="dxa"/>
            <w:right w:w="108" w:type="dxa"/>
          </w:tblCellMar>
        </w:tblPrEx>
        <w:trPr>
          <w:trHeight w:val="308" w:hRule="atLeast"/>
          <w:jc w:val="center"/>
        </w:trPr>
        <w:tc>
          <w:tcPr>
            <w:tcW w:w="76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5DB013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30114</w:t>
            </w:r>
          </w:p>
        </w:tc>
        <w:tc>
          <w:tcPr>
            <w:tcW w:w="292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72D4AA2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501B055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121.31</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22AFB2F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30213</w:t>
            </w:r>
          </w:p>
        </w:tc>
        <w:tc>
          <w:tcPr>
            <w:tcW w:w="1843"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64B847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022AC6F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42.30</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74722DE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2977"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23A6582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75482927">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p>
        </w:tc>
      </w:tr>
      <w:tr w14:paraId="69C0B931">
        <w:tblPrEx>
          <w:tblCellMar>
            <w:top w:w="0" w:type="dxa"/>
            <w:left w:w="108" w:type="dxa"/>
            <w:bottom w:w="0" w:type="dxa"/>
            <w:right w:w="108" w:type="dxa"/>
          </w:tblCellMar>
        </w:tblPrEx>
        <w:trPr>
          <w:trHeight w:val="308" w:hRule="atLeast"/>
          <w:jc w:val="center"/>
        </w:trPr>
        <w:tc>
          <w:tcPr>
            <w:tcW w:w="76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520B36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30199</w:t>
            </w:r>
          </w:p>
        </w:tc>
        <w:tc>
          <w:tcPr>
            <w:tcW w:w="292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6860DFB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03C6B35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7.03</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7975848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30214</w:t>
            </w:r>
          </w:p>
        </w:tc>
        <w:tc>
          <w:tcPr>
            <w:tcW w:w="1843"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0A9C13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6A7A0E6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116.81</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14F7006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2977"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7C7EC13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2D1B7901">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p>
        </w:tc>
      </w:tr>
      <w:tr w14:paraId="4F493D47">
        <w:tblPrEx>
          <w:tblCellMar>
            <w:top w:w="0" w:type="dxa"/>
            <w:left w:w="108" w:type="dxa"/>
            <w:bottom w:w="0" w:type="dxa"/>
            <w:right w:w="108" w:type="dxa"/>
          </w:tblCellMar>
        </w:tblPrEx>
        <w:trPr>
          <w:trHeight w:val="308" w:hRule="atLeast"/>
          <w:jc w:val="center"/>
        </w:trPr>
        <w:tc>
          <w:tcPr>
            <w:tcW w:w="76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35CB655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w:t>
            </w:r>
          </w:p>
        </w:tc>
        <w:tc>
          <w:tcPr>
            <w:tcW w:w="292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1CD0557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5F1491A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465.65</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5197C44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30215</w:t>
            </w:r>
          </w:p>
        </w:tc>
        <w:tc>
          <w:tcPr>
            <w:tcW w:w="1843"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0353CC6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62796BC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13.03</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0ACFF53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2977"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39285C7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176C397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14:paraId="73C14B9D">
        <w:tblPrEx>
          <w:tblCellMar>
            <w:top w:w="0" w:type="dxa"/>
            <w:left w:w="108" w:type="dxa"/>
            <w:bottom w:w="0" w:type="dxa"/>
            <w:right w:w="108" w:type="dxa"/>
          </w:tblCellMar>
        </w:tblPrEx>
        <w:trPr>
          <w:trHeight w:val="308" w:hRule="atLeast"/>
          <w:jc w:val="center"/>
        </w:trPr>
        <w:tc>
          <w:tcPr>
            <w:tcW w:w="76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07950C4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30302</w:t>
            </w:r>
          </w:p>
        </w:tc>
        <w:tc>
          <w:tcPr>
            <w:tcW w:w="292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607BA5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243BF2B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305.87</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2300F04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30216</w:t>
            </w:r>
          </w:p>
        </w:tc>
        <w:tc>
          <w:tcPr>
            <w:tcW w:w="1843"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6EEFDEB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2CA1EE4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58.15</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293BC3B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2977"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0C68C1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3816906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14:paraId="4C3C36A7">
        <w:tblPrEx>
          <w:tblCellMar>
            <w:top w:w="0" w:type="dxa"/>
            <w:left w:w="108" w:type="dxa"/>
            <w:bottom w:w="0" w:type="dxa"/>
            <w:right w:w="108" w:type="dxa"/>
          </w:tblCellMar>
        </w:tblPrEx>
        <w:trPr>
          <w:trHeight w:val="308" w:hRule="atLeast"/>
          <w:jc w:val="center"/>
        </w:trPr>
        <w:tc>
          <w:tcPr>
            <w:tcW w:w="76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53EED58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30304</w:t>
            </w:r>
          </w:p>
        </w:tc>
        <w:tc>
          <w:tcPr>
            <w:tcW w:w="292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486F4B5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7EA3B98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154.92</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38CDBE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30217</w:t>
            </w:r>
          </w:p>
        </w:tc>
        <w:tc>
          <w:tcPr>
            <w:tcW w:w="1843"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5178925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29CB67A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0.03</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65E034D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2977"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5871766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57E3860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14:paraId="52B8B18F">
        <w:tblPrEx>
          <w:tblCellMar>
            <w:top w:w="0" w:type="dxa"/>
            <w:left w:w="108" w:type="dxa"/>
            <w:bottom w:w="0" w:type="dxa"/>
            <w:right w:w="108" w:type="dxa"/>
          </w:tblCellMar>
        </w:tblPrEx>
        <w:trPr>
          <w:trHeight w:val="308" w:hRule="atLeast"/>
          <w:jc w:val="center"/>
        </w:trPr>
        <w:tc>
          <w:tcPr>
            <w:tcW w:w="76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3036668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30305</w:t>
            </w:r>
          </w:p>
        </w:tc>
        <w:tc>
          <w:tcPr>
            <w:tcW w:w="292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3A95E43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5F7C8E6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1.42</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1EB64B1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30226</w:t>
            </w:r>
          </w:p>
        </w:tc>
        <w:tc>
          <w:tcPr>
            <w:tcW w:w="1843"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12A618C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154EE76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25.20</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5E8ACD8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2977"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0375A33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5EE20A0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14:paraId="69EDD991">
        <w:tblPrEx>
          <w:tblCellMar>
            <w:top w:w="0" w:type="dxa"/>
            <w:left w:w="108" w:type="dxa"/>
            <w:bottom w:w="0" w:type="dxa"/>
            <w:right w:w="108" w:type="dxa"/>
          </w:tblCellMar>
        </w:tblPrEx>
        <w:trPr>
          <w:trHeight w:val="308" w:hRule="atLeast"/>
          <w:jc w:val="center"/>
        </w:trPr>
        <w:tc>
          <w:tcPr>
            <w:tcW w:w="76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1F374B2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30309</w:t>
            </w:r>
          </w:p>
        </w:tc>
        <w:tc>
          <w:tcPr>
            <w:tcW w:w="292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496508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43A2799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29DB9C3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30227</w:t>
            </w:r>
          </w:p>
        </w:tc>
        <w:tc>
          <w:tcPr>
            <w:tcW w:w="1843"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1C6DF48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39A6A0D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100.07</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06C3608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2977"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2FC8FF5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60EFAD5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14:paraId="320AF453">
        <w:tblPrEx>
          <w:tblCellMar>
            <w:top w:w="0" w:type="dxa"/>
            <w:left w:w="108" w:type="dxa"/>
            <w:bottom w:w="0" w:type="dxa"/>
            <w:right w:w="108" w:type="dxa"/>
          </w:tblCellMar>
        </w:tblPrEx>
        <w:trPr>
          <w:trHeight w:val="308" w:hRule="atLeast"/>
          <w:jc w:val="center"/>
        </w:trPr>
        <w:tc>
          <w:tcPr>
            <w:tcW w:w="76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1D52B52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30399</w:t>
            </w:r>
          </w:p>
        </w:tc>
        <w:tc>
          <w:tcPr>
            <w:tcW w:w="292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6CF6F2C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0C5FD9F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1.44</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7E56D24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30228</w:t>
            </w:r>
          </w:p>
        </w:tc>
        <w:tc>
          <w:tcPr>
            <w:tcW w:w="1843"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2D2D657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25ADAB9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105.16</w:t>
            </w:r>
          </w:p>
        </w:tc>
        <w:tc>
          <w:tcPr>
            <w:tcW w:w="850"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5690D3F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2977"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6528923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5219C08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14:paraId="432C721D">
        <w:tblPrEx>
          <w:tblCellMar>
            <w:top w:w="0" w:type="dxa"/>
            <w:left w:w="108" w:type="dxa"/>
            <w:bottom w:w="0" w:type="dxa"/>
            <w:right w:w="108" w:type="dxa"/>
          </w:tblCellMar>
        </w:tblPrEx>
        <w:trPr>
          <w:trHeight w:val="308" w:hRule="atLeast"/>
          <w:jc w:val="center"/>
        </w:trPr>
        <w:tc>
          <w:tcPr>
            <w:tcW w:w="3686" w:type="dxa"/>
            <w:gridSpan w:val="2"/>
            <w:tcBorders>
              <w:top w:val="single" w:color="auto" w:sz="4" w:space="0"/>
              <w:left w:val="single" w:color="auto" w:sz="4" w:space="0"/>
              <w:bottom w:val="single" w:color="auto" w:sz="4" w:space="0"/>
              <w:right w:val="single" w:color="auto" w:sz="4" w:space="0"/>
            </w:tcBorders>
            <w:shd w:val="clear" w:color="FFFFFF" w:fill="auto"/>
            <w:noWrap/>
            <w:vAlign w:val="center"/>
          </w:tcPr>
          <w:p w14:paraId="1939E65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人员经费合计</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6F46D81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7,437.53</w:t>
            </w:r>
          </w:p>
        </w:tc>
        <w:tc>
          <w:tcPr>
            <w:tcW w:w="7796" w:type="dxa"/>
            <w:gridSpan w:val="5"/>
            <w:tcBorders>
              <w:top w:val="single" w:color="auto" w:sz="4" w:space="0"/>
              <w:left w:val="single" w:color="auto" w:sz="4" w:space="0"/>
              <w:bottom w:val="single" w:color="auto" w:sz="4" w:space="0"/>
              <w:right w:val="single" w:color="auto" w:sz="4" w:space="0"/>
            </w:tcBorders>
            <w:shd w:val="clear" w:color="FFFFFF" w:fill="auto"/>
            <w:noWrap/>
            <w:vAlign w:val="center"/>
          </w:tcPr>
          <w:p w14:paraId="1A790E3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公用经费合计</w:t>
            </w:r>
          </w:p>
        </w:tc>
        <w:tc>
          <w:tcPr>
            <w:tcW w:w="1276" w:type="dxa"/>
            <w:tcBorders>
              <w:top w:val="single" w:color="auto" w:sz="4" w:space="0"/>
              <w:left w:val="single" w:color="auto" w:sz="4" w:space="0"/>
              <w:bottom w:val="single" w:color="auto" w:sz="4" w:space="0"/>
              <w:right w:val="single" w:color="auto" w:sz="4" w:space="0"/>
            </w:tcBorders>
            <w:shd w:val="clear" w:color="FFFFFF" w:fill="auto"/>
            <w:noWrap/>
            <w:vAlign w:val="center"/>
          </w:tcPr>
          <w:p w14:paraId="1E8A508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1,954.48</w:t>
            </w:r>
          </w:p>
        </w:tc>
      </w:tr>
      <w:tr w14:paraId="55A79932">
        <w:tblPrEx>
          <w:tblCellMar>
            <w:top w:w="0" w:type="dxa"/>
            <w:left w:w="108" w:type="dxa"/>
            <w:bottom w:w="0" w:type="dxa"/>
            <w:right w:w="108" w:type="dxa"/>
          </w:tblCellMar>
        </w:tblPrEx>
        <w:trPr>
          <w:trHeight w:val="308" w:hRule="atLeast"/>
          <w:jc w:val="center"/>
        </w:trPr>
        <w:tc>
          <w:tcPr>
            <w:tcW w:w="14034" w:type="dxa"/>
            <w:gridSpan w:val="9"/>
            <w:tcBorders>
              <w:top w:val="single" w:color="auto" w:sz="4" w:space="0"/>
              <w:left w:val="nil"/>
              <w:bottom w:val="nil"/>
              <w:right w:val="nil"/>
            </w:tcBorders>
            <w:shd w:val="clear" w:color="FFFFFF" w:fill="auto"/>
            <w:noWrap/>
            <w:vAlign w:val="center"/>
          </w:tcPr>
          <w:p w14:paraId="58CD2AC1">
            <w:pPr>
              <w:keepNext w:val="0"/>
              <w:keepLines w:val="0"/>
              <w:pageBreakBefore w:val="0"/>
              <w:widowControl/>
              <w:suppressLineNumbers w:val="0"/>
              <w:tabs>
                <w:tab w:val="left" w:pos="1409"/>
              </w:tabs>
              <w:kinsoku/>
              <w:wordWrap/>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r>
              <w:rPr>
                <w:rFonts w:hint="eastAsia" w:ascii="宋体" w:hAnsi="宋体" w:eastAsia="宋体" w:cs="宋体"/>
                <w:i w:val="0"/>
                <w:iCs w:val="0"/>
                <w:color w:val="000000"/>
                <w:kern w:val="0"/>
                <w:sz w:val="22"/>
                <w:szCs w:val="22"/>
                <w:u w:val="none"/>
                <w:lang w:val="en-US" w:eastAsia="zh-CN" w:bidi="ar"/>
              </w:rPr>
              <w:tab/>
            </w:r>
          </w:p>
        </w:tc>
      </w:tr>
    </w:tbl>
    <w:p w14:paraId="2DED8816">
      <w:pPr>
        <w:jc w:val="both"/>
        <w:rPr>
          <w:rFonts w:hint="eastAsia" w:ascii="宋体" w:hAnsi="宋体" w:eastAsia="宋体" w:cs="Arial"/>
          <w:color w:val="000000"/>
          <w:kern w:val="0"/>
          <w:sz w:val="30"/>
          <w:szCs w:val="30"/>
        </w:rPr>
      </w:pPr>
    </w:p>
    <w:p w14:paraId="7965703B">
      <w:pPr>
        <w:jc w:val="both"/>
        <w:rPr>
          <w:rFonts w:hint="eastAsia" w:ascii="宋体" w:hAnsi="宋体" w:eastAsia="宋体" w:cs="Arial"/>
          <w:color w:val="000000"/>
          <w:kern w:val="0"/>
          <w:sz w:val="30"/>
          <w:szCs w:val="30"/>
        </w:rPr>
      </w:pPr>
    </w:p>
    <w:p w14:paraId="4BA88C5D">
      <w:pPr>
        <w:jc w:val="both"/>
        <w:rPr>
          <w:rFonts w:hint="eastAsia" w:ascii="宋体" w:hAnsi="宋体" w:eastAsia="宋体" w:cs="Arial"/>
          <w:color w:val="000000"/>
          <w:kern w:val="0"/>
          <w:sz w:val="30"/>
          <w:szCs w:val="30"/>
        </w:rPr>
      </w:pPr>
    </w:p>
    <w:p w14:paraId="45BB04FB">
      <w:pPr>
        <w:jc w:val="both"/>
        <w:rPr>
          <w:rFonts w:hint="eastAsia" w:ascii="宋体" w:hAnsi="宋体" w:eastAsia="宋体" w:cs="Arial"/>
          <w:color w:val="000000"/>
          <w:kern w:val="0"/>
          <w:sz w:val="30"/>
          <w:szCs w:val="30"/>
        </w:rPr>
      </w:pPr>
    </w:p>
    <w:p w14:paraId="5652F3CD">
      <w:pPr>
        <w:jc w:val="both"/>
        <w:rPr>
          <w:rFonts w:hint="eastAsia" w:ascii="宋体" w:hAnsi="宋体" w:eastAsia="宋体" w:cs="Arial"/>
          <w:color w:val="000000"/>
          <w:kern w:val="0"/>
          <w:sz w:val="30"/>
          <w:szCs w:val="30"/>
        </w:rPr>
      </w:pPr>
    </w:p>
    <w:p w14:paraId="720630A3">
      <w:pPr>
        <w:jc w:val="both"/>
        <w:rPr>
          <w:rFonts w:hint="eastAsia" w:ascii="宋体" w:hAnsi="宋体" w:eastAsia="宋体" w:cs="Arial"/>
          <w:color w:val="000000"/>
          <w:kern w:val="0"/>
          <w:sz w:val="30"/>
          <w:szCs w:val="30"/>
        </w:rPr>
      </w:pPr>
    </w:p>
    <w:p w14:paraId="1E468B9C">
      <w:pPr>
        <w:jc w:val="both"/>
        <w:rPr>
          <w:rFonts w:hint="eastAsia" w:ascii="宋体" w:hAnsi="宋体" w:eastAsia="宋体" w:cs="Arial"/>
          <w:color w:val="000000"/>
          <w:kern w:val="0"/>
          <w:sz w:val="30"/>
          <w:szCs w:val="30"/>
        </w:rPr>
      </w:pPr>
    </w:p>
    <w:p w14:paraId="4321F816">
      <w:pPr>
        <w:jc w:val="both"/>
        <w:rPr>
          <w:rFonts w:hint="eastAsia" w:ascii="宋体" w:hAnsi="宋体" w:eastAsia="宋体" w:cs="Arial"/>
          <w:color w:val="000000"/>
          <w:kern w:val="0"/>
          <w:sz w:val="30"/>
          <w:szCs w:val="30"/>
        </w:rPr>
      </w:pPr>
    </w:p>
    <w:p w14:paraId="2EFCAEEF">
      <w:pPr>
        <w:jc w:val="both"/>
        <w:rPr>
          <w:rFonts w:hint="eastAsia" w:ascii="宋体" w:hAnsi="宋体" w:eastAsia="宋体" w:cs="Arial"/>
          <w:color w:val="000000"/>
          <w:kern w:val="0"/>
          <w:sz w:val="30"/>
          <w:szCs w:val="30"/>
        </w:rPr>
      </w:pPr>
    </w:p>
    <w:p w14:paraId="18D42E74">
      <w:pPr>
        <w:bidi w:val="0"/>
        <w:jc w:val="center"/>
        <w:rPr>
          <w:rFonts w:hint="eastAsia" w:ascii="宋体" w:hAnsi="宋体" w:eastAsia="宋体" w:cs="宋体"/>
          <w:sz w:val="32"/>
          <w:szCs w:val="32"/>
        </w:rPr>
      </w:pPr>
      <w:r>
        <w:rPr>
          <w:rFonts w:hint="eastAsia" w:ascii="宋体" w:hAnsi="宋体" w:eastAsia="宋体" w:cs="宋体"/>
          <w:sz w:val="32"/>
          <w:szCs w:val="32"/>
        </w:rPr>
        <w:t>政府性基金预算财政拨款收入支出决算表</w:t>
      </w:r>
    </w:p>
    <w:tbl>
      <w:tblPr>
        <w:tblStyle w:val="12"/>
        <w:tblpPr w:leftFromText="180" w:rightFromText="180" w:vertAnchor="text" w:horzAnchor="page" w:tblpX="1456" w:tblpY="81"/>
        <w:tblOverlap w:val="never"/>
        <w:tblW w:w="5000" w:type="pct"/>
        <w:tblInd w:w="0" w:type="dxa"/>
        <w:tblLayout w:type="autofit"/>
        <w:tblCellMar>
          <w:top w:w="0" w:type="dxa"/>
          <w:left w:w="108" w:type="dxa"/>
          <w:bottom w:w="0" w:type="dxa"/>
          <w:right w:w="108" w:type="dxa"/>
        </w:tblCellMar>
      </w:tblPr>
      <w:tblGrid>
        <w:gridCol w:w="523"/>
        <w:gridCol w:w="222"/>
        <w:gridCol w:w="535"/>
        <w:gridCol w:w="2225"/>
        <w:gridCol w:w="1772"/>
        <w:gridCol w:w="1772"/>
        <w:gridCol w:w="1772"/>
        <w:gridCol w:w="1772"/>
        <w:gridCol w:w="1772"/>
        <w:gridCol w:w="1809"/>
      </w:tblGrid>
      <w:tr w14:paraId="45AAC352">
        <w:tblPrEx>
          <w:tblCellMar>
            <w:top w:w="0" w:type="dxa"/>
            <w:left w:w="108" w:type="dxa"/>
            <w:bottom w:w="0" w:type="dxa"/>
            <w:right w:w="108" w:type="dxa"/>
          </w:tblCellMar>
        </w:tblPrEx>
        <w:trPr>
          <w:trHeight w:val="255" w:hRule="atLeast"/>
        </w:trPr>
        <w:tc>
          <w:tcPr>
            <w:tcW w:w="185" w:type="pct"/>
            <w:tcBorders>
              <w:top w:val="nil"/>
              <w:left w:val="nil"/>
              <w:bottom w:val="nil"/>
              <w:right w:val="nil"/>
            </w:tcBorders>
            <w:noWrap/>
            <w:vAlign w:val="bottom"/>
          </w:tcPr>
          <w:p w14:paraId="5B6D74A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kern w:val="0"/>
                <w:sz w:val="20"/>
                <w:szCs w:val="20"/>
              </w:rPr>
            </w:pPr>
          </w:p>
        </w:tc>
        <w:tc>
          <w:tcPr>
            <w:tcW w:w="78" w:type="pct"/>
            <w:tcBorders>
              <w:top w:val="nil"/>
              <w:left w:val="nil"/>
              <w:bottom w:val="nil"/>
              <w:right w:val="nil"/>
            </w:tcBorders>
            <w:noWrap/>
            <w:vAlign w:val="bottom"/>
          </w:tcPr>
          <w:p w14:paraId="4153076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kern w:val="0"/>
                <w:sz w:val="20"/>
                <w:szCs w:val="20"/>
              </w:rPr>
            </w:pPr>
          </w:p>
        </w:tc>
        <w:tc>
          <w:tcPr>
            <w:tcW w:w="188" w:type="pct"/>
            <w:tcBorders>
              <w:top w:val="nil"/>
              <w:left w:val="nil"/>
              <w:bottom w:val="nil"/>
              <w:right w:val="nil"/>
            </w:tcBorders>
            <w:noWrap/>
            <w:vAlign w:val="bottom"/>
          </w:tcPr>
          <w:p w14:paraId="5827783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kern w:val="0"/>
                <w:sz w:val="20"/>
                <w:szCs w:val="20"/>
              </w:rPr>
            </w:pPr>
          </w:p>
        </w:tc>
        <w:tc>
          <w:tcPr>
            <w:tcW w:w="784" w:type="pct"/>
            <w:tcBorders>
              <w:top w:val="nil"/>
              <w:left w:val="nil"/>
              <w:bottom w:val="nil"/>
              <w:right w:val="nil"/>
            </w:tcBorders>
            <w:noWrap/>
            <w:vAlign w:val="bottom"/>
          </w:tcPr>
          <w:p w14:paraId="3D6CC20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kern w:val="0"/>
                <w:sz w:val="20"/>
                <w:szCs w:val="20"/>
              </w:rPr>
            </w:pPr>
          </w:p>
        </w:tc>
        <w:tc>
          <w:tcPr>
            <w:tcW w:w="625" w:type="pct"/>
            <w:tcBorders>
              <w:top w:val="nil"/>
              <w:left w:val="nil"/>
              <w:bottom w:val="nil"/>
              <w:right w:val="nil"/>
            </w:tcBorders>
            <w:noWrap/>
            <w:vAlign w:val="bottom"/>
          </w:tcPr>
          <w:p w14:paraId="29FBAA7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kern w:val="0"/>
                <w:sz w:val="20"/>
                <w:szCs w:val="20"/>
              </w:rPr>
            </w:pPr>
          </w:p>
        </w:tc>
        <w:tc>
          <w:tcPr>
            <w:tcW w:w="625" w:type="pct"/>
            <w:tcBorders>
              <w:top w:val="nil"/>
              <w:left w:val="nil"/>
              <w:bottom w:val="nil"/>
              <w:right w:val="nil"/>
            </w:tcBorders>
            <w:noWrap/>
            <w:vAlign w:val="bottom"/>
          </w:tcPr>
          <w:p w14:paraId="767CF87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kern w:val="0"/>
                <w:sz w:val="20"/>
                <w:szCs w:val="20"/>
              </w:rPr>
            </w:pPr>
          </w:p>
        </w:tc>
        <w:tc>
          <w:tcPr>
            <w:tcW w:w="625" w:type="pct"/>
            <w:tcBorders>
              <w:top w:val="nil"/>
              <w:left w:val="nil"/>
              <w:bottom w:val="nil"/>
              <w:right w:val="nil"/>
            </w:tcBorders>
            <w:noWrap/>
            <w:vAlign w:val="bottom"/>
          </w:tcPr>
          <w:p w14:paraId="1FCF8E8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kern w:val="0"/>
                <w:sz w:val="20"/>
                <w:szCs w:val="20"/>
              </w:rPr>
            </w:pPr>
          </w:p>
        </w:tc>
        <w:tc>
          <w:tcPr>
            <w:tcW w:w="625" w:type="pct"/>
            <w:tcBorders>
              <w:top w:val="nil"/>
              <w:left w:val="nil"/>
              <w:bottom w:val="nil"/>
              <w:right w:val="nil"/>
            </w:tcBorders>
            <w:noWrap/>
            <w:vAlign w:val="bottom"/>
          </w:tcPr>
          <w:p w14:paraId="779F7C7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kern w:val="0"/>
                <w:sz w:val="20"/>
                <w:szCs w:val="20"/>
              </w:rPr>
            </w:pPr>
          </w:p>
        </w:tc>
        <w:tc>
          <w:tcPr>
            <w:tcW w:w="625" w:type="pct"/>
            <w:tcBorders>
              <w:top w:val="nil"/>
              <w:left w:val="nil"/>
              <w:bottom w:val="nil"/>
              <w:right w:val="nil"/>
            </w:tcBorders>
            <w:noWrap/>
            <w:vAlign w:val="bottom"/>
          </w:tcPr>
          <w:p w14:paraId="1F0B4A3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kern w:val="0"/>
                <w:sz w:val="20"/>
                <w:szCs w:val="20"/>
              </w:rPr>
            </w:pPr>
          </w:p>
        </w:tc>
        <w:tc>
          <w:tcPr>
            <w:tcW w:w="637" w:type="pct"/>
            <w:tcBorders>
              <w:top w:val="nil"/>
              <w:left w:val="nil"/>
              <w:bottom w:val="nil"/>
              <w:right w:val="nil"/>
            </w:tcBorders>
            <w:noWrap/>
            <w:vAlign w:val="bottom"/>
          </w:tcPr>
          <w:p w14:paraId="54139F43">
            <w:pPr>
              <w:keepNext w:val="0"/>
              <w:keepLines w:val="0"/>
              <w:pageBreakBefore w:val="0"/>
              <w:widowControl/>
              <w:kinsoku/>
              <w:wordWrap/>
              <w:overflowPunct/>
              <w:topLinePunct w:val="0"/>
              <w:autoSpaceDE/>
              <w:autoSpaceDN/>
              <w:bidi w:val="0"/>
              <w:adjustRightInd/>
              <w:snapToGrid/>
              <w:spacing w:line="400" w:lineRule="exact"/>
              <w:jc w:val="right"/>
              <w:textAlignment w:val="auto"/>
              <w:rPr>
                <w:rFonts w:hint="eastAsia" w:ascii="宋体" w:hAnsi="宋体" w:eastAsia="宋体" w:cs="Arial"/>
                <w:color w:val="000000"/>
                <w:kern w:val="0"/>
                <w:sz w:val="22"/>
                <w:szCs w:val="22"/>
              </w:rPr>
            </w:pPr>
            <w:r>
              <w:rPr>
                <w:rFonts w:hint="eastAsia" w:ascii="宋体" w:hAnsi="宋体" w:eastAsia="宋体" w:cs="Arial"/>
                <w:color w:val="000000"/>
                <w:kern w:val="0"/>
                <w:sz w:val="22"/>
                <w:szCs w:val="22"/>
              </w:rPr>
              <w:t>公开0</w:t>
            </w:r>
            <w:r>
              <w:rPr>
                <w:rFonts w:hint="eastAsia" w:ascii="宋体" w:hAnsi="宋体" w:eastAsia="宋体" w:cs="Arial"/>
                <w:color w:val="000000"/>
                <w:kern w:val="0"/>
                <w:sz w:val="22"/>
                <w:szCs w:val="22"/>
                <w:lang w:val="en-US" w:eastAsia="zh-CN"/>
              </w:rPr>
              <w:t>7</w:t>
            </w:r>
            <w:r>
              <w:rPr>
                <w:rFonts w:hint="eastAsia" w:ascii="宋体" w:hAnsi="宋体" w:eastAsia="宋体" w:cs="Arial"/>
                <w:color w:val="000000"/>
                <w:kern w:val="0"/>
                <w:sz w:val="22"/>
                <w:szCs w:val="22"/>
              </w:rPr>
              <w:t>表</w:t>
            </w:r>
          </w:p>
        </w:tc>
      </w:tr>
      <w:tr w14:paraId="6E9166AD">
        <w:tblPrEx>
          <w:tblCellMar>
            <w:top w:w="0" w:type="dxa"/>
            <w:left w:w="108" w:type="dxa"/>
            <w:bottom w:w="0" w:type="dxa"/>
            <w:right w:w="108" w:type="dxa"/>
          </w:tblCellMar>
        </w:tblPrEx>
        <w:trPr>
          <w:trHeight w:val="255" w:hRule="atLeast"/>
        </w:trPr>
        <w:tc>
          <w:tcPr>
            <w:tcW w:w="1237" w:type="pct"/>
            <w:gridSpan w:val="4"/>
            <w:tcBorders>
              <w:top w:val="nil"/>
              <w:left w:val="nil"/>
              <w:bottom w:val="nil"/>
              <w:right w:val="nil"/>
            </w:tcBorders>
            <w:noWrap/>
            <w:vAlign w:val="bottom"/>
          </w:tcPr>
          <w:p w14:paraId="4F672A2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eastAsia="宋体" w:cs="Arial"/>
                <w:color w:val="000000"/>
                <w:kern w:val="0"/>
                <w:sz w:val="22"/>
                <w:szCs w:val="22"/>
              </w:rPr>
              <w:t>部门：国家统计局吉林调查总队</w:t>
            </w:r>
          </w:p>
        </w:tc>
        <w:tc>
          <w:tcPr>
            <w:tcW w:w="625" w:type="pct"/>
            <w:tcBorders>
              <w:top w:val="nil"/>
              <w:left w:val="nil"/>
              <w:bottom w:val="nil"/>
              <w:right w:val="nil"/>
            </w:tcBorders>
            <w:noWrap/>
            <w:vAlign w:val="bottom"/>
          </w:tcPr>
          <w:p w14:paraId="105C3F9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0"/>
                <w:szCs w:val="20"/>
              </w:rPr>
            </w:pPr>
          </w:p>
        </w:tc>
        <w:tc>
          <w:tcPr>
            <w:tcW w:w="625" w:type="pct"/>
            <w:tcBorders>
              <w:top w:val="nil"/>
              <w:left w:val="nil"/>
              <w:bottom w:val="nil"/>
              <w:right w:val="nil"/>
            </w:tcBorders>
            <w:noWrap/>
            <w:vAlign w:val="bottom"/>
          </w:tcPr>
          <w:p w14:paraId="554840B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kern w:val="0"/>
                <w:sz w:val="20"/>
                <w:szCs w:val="20"/>
              </w:rPr>
            </w:pPr>
          </w:p>
        </w:tc>
        <w:tc>
          <w:tcPr>
            <w:tcW w:w="625" w:type="pct"/>
            <w:tcBorders>
              <w:top w:val="nil"/>
              <w:left w:val="nil"/>
              <w:bottom w:val="nil"/>
              <w:right w:val="nil"/>
            </w:tcBorders>
            <w:noWrap/>
            <w:vAlign w:val="bottom"/>
          </w:tcPr>
          <w:p w14:paraId="2FFB789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kern w:val="0"/>
                <w:sz w:val="20"/>
                <w:szCs w:val="20"/>
              </w:rPr>
            </w:pPr>
          </w:p>
        </w:tc>
        <w:tc>
          <w:tcPr>
            <w:tcW w:w="625" w:type="pct"/>
            <w:tcBorders>
              <w:top w:val="nil"/>
              <w:left w:val="nil"/>
              <w:bottom w:val="nil"/>
              <w:right w:val="nil"/>
            </w:tcBorders>
            <w:noWrap/>
            <w:vAlign w:val="bottom"/>
          </w:tcPr>
          <w:p w14:paraId="550EC71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kern w:val="0"/>
                <w:sz w:val="20"/>
                <w:szCs w:val="20"/>
              </w:rPr>
            </w:pPr>
          </w:p>
        </w:tc>
        <w:tc>
          <w:tcPr>
            <w:tcW w:w="625" w:type="pct"/>
            <w:tcBorders>
              <w:top w:val="nil"/>
              <w:left w:val="nil"/>
              <w:bottom w:val="nil"/>
              <w:right w:val="nil"/>
            </w:tcBorders>
            <w:noWrap/>
            <w:vAlign w:val="bottom"/>
          </w:tcPr>
          <w:p w14:paraId="2D8290E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kern w:val="0"/>
                <w:sz w:val="20"/>
                <w:szCs w:val="20"/>
              </w:rPr>
            </w:pPr>
          </w:p>
        </w:tc>
        <w:tc>
          <w:tcPr>
            <w:tcW w:w="637" w:type="pct"/>
            <w:tcBorders>
              <w:top w:val="nil"/>
              <w:left w:val="nil"/>
              <w:bottom w:val="nil"/>
              <w:right w:val="nil"/>
            </w:tcBorders>
            <w:noWrap/>
            <w:vAlign w:val="bottom"/>
          </w:tcPr>
          <w:p w14:paraId="2112B5FB">
            <w:pPr>
              <w:keepNext w:val="0"/>
              <w:keepLines w:val="0"/>
              <w:pageBreakBefore w:val="0"/>
              <w:widowControl/>
              <w:kinsoku/>
              <w:wordWrap/>
              <w:overflowPunct/>
              <w:topLinePunct w:val="0"/>
              <w:autoSpaceDE/>
              <w:autoSpaceDN/>
              <w:bidi w:val="0"/>
              <w:adjustRightInd/>
              <w:snapToGrid/>
              <w:spacing w:line="400" w:lineRule="exact"/>
              <w:jc w:val="right"/>
              <w:textAlignment w:val="auto"/>
              <w:rPr>
                <w:rFonts w:hint="eastAsia" w:ascii="宋体" w:hAnsi="宋体" w:cs="宋体"/>
                <w:color w:val="000000"/>
                <w:kern w:val="0"/>
                <w:sz w:val="22"/>
              </w:rPr>
            </w:pPr>
            <w:r>
              <w:rPr>
                <w:rFonts w:hint="eastAsia" w:ascii="宋体" w:hAnsi="宋体" w:eastAsia="宋体" w:cs="Arial"/>
                <w:color w:val="000000"/>
                <w:kern w:val="0"/>
                <w:sz w:val="22"/>
                <w:szCs w:val="22"/>
              </w:rPr>
              <w:t>金额单位：万元</w:t>
            </w:r>
          </w:p>
        </w:tc>
      </w:tr>
      <w:tr w14:paraId="28B96C20">
        <w:tblPrEx>
          <w:tblCellMar>
            <w:top w:w="0" w:type="dxa"/>
            <w:left w:w="108" w:type="dxa"/>
            <w:bottom w:w="0" w:type="dxa"/>
            <w:right w:w="108" w:type="dxa"/>
          </w:tblCellMar>
        </w:tblPrEx>
        <w:trPr>
          <w:trHeight w:val="308" w:hRule="atLeast"/>
        </w:trPr>
        <w:tc>
          <w:tcPr>
            <w:tcW w:w="1237" w:type="pct"/>
            <w:gridSpan w:val="4"/>
            <w:tcBorders>
              <w:top w:val="single" w:color="000000" w:sz="4" w:space="0"/>
              <w:left w:val="single" w:color="000000" w:sz="4" w:space="0"/>
              <w:bottom w:val="single" w:color="000000" w:sz="4" w:space="0"/>
              <w:right w:val="single" w:color="000000" w:sz="4" w:space="0"/>
            </w:tcBorders>
            <w:noWrap/>
            <w:vAlign w:val="center"/>
          </w:tcPr>
          <w:p w14:paraId="5FADABA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Arial"/>
                <w:color w:val="000000"/>
                <w:kern w:val="0"/>
                <w:sz w:val="22"/>
              </w:rPr>
            </w:pPr>
            <w:r>
              <w:rPr>
                <w:rFonts w:hint="eastAsia" w:ascii="宋体" w:hAnsi="宋体" w:eastAsia="宋体" w:cs="Arial"/>
                <w:color w:val="000000"/>
                <w:kern w:val="0"/>
                <w:sz w:val="22"/>
              </w:rPr>
              <w:t>项目</w:t>
            </w:r>
          </w:p>
        </w:tc>
        <w:tc>
          <w:tcPr>
            <w:tcW w:w="625" w:type="pct"/>
            <w:vMerge w:val="restart"/>
            <w:tcBorders>
              <w:top w:val="single" w:color="000000" w:sz="4" w:space="0"/>
              <w:left w:val="nil"/>
              <w:bottom w:val="single" w:color="000000" w:sz="4" w:space="0"/>
              <w:right w:val="single" w:color="000000" w:sz="4" w:space="0"/>
            </w:tcBorders>
            <w:noWrap w:val="0"/>
            <w:vAlign w:val="center"/>
          </w:tcPr>
          <w:p w14:paraId="46F00AE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Arial"/>
                <w:color w:val="000000"/>
                <w:kern w:val="0"/>
                <w:sz w:val="22"/>
              </w:rPr>
            </w:pPr>
            <w:r>
              <w:rPr>
                <w:rFonts w:hint="eastAsia" w:ascii="宋体" w:hAnsi="宋体" w:eastAsia="宋体" w:cs="Arial"/>
                <w:color w:val="000000"/>
                <w:kern w:val="0"/>
                <w:sz w:val="22"/>
              </w:rPr>
              <w:t>年初结转和结余</w:t>
            </w:r>
          </w:p>
        </w:tc>
        <w:tc>
          <w:tcPr>
            <w:tcW w:w="625" w:type="pct"/>
            <w:vMerge w:val="restart"/>
            <w:tcBorders>
              <w:top w:val="single" w:color="000000" w:sz="4" w:space="0"/>
              <w:left w:val="nil"/>
              <w:bottom w:val="single" w:color="000000" w:sz="4" w:space="0"/>
              <w:right w:val="single" w:color="000000" w:sz="4" w:space="0"/>
            </w:tcBorders>
            <w:noWrap w:val="0"/>
            <w:vAlign w:val="center"/>
          </w:tcPr>
          <w:p w14:paraId="68CE795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Arial"/>
                <w:color w:val="000000"/>
                <w:kern w:val="0"/>
                <w:sz w:val="22"/>
              </w:rPr>
            </w:pPr>
            <w:r>
              <w:rPr>
                <w:rFonts w:hint="eastAsia" w:ascii="宋体" w:hAnsi="宋体" w:eastAsia="宋体" w:cs="Arial"/>
                <w:color w:val="000000"/>
                <w:kern w:val="0"/>
                <w:sz w:val="22"/>
              </w:rPr>
              <w:t>本年收入</w:t>
            </w:r>
          </w:p>
        </w:tc>
        <w:tc>
          <w:tcPr>
            <w:tcW w:w="1875" w:type="pct"/>
            <w:gridSpan w:val="3"/>
            <w:tcBorders>
              <w:top w:val="single" w:color="000000" w:sz="4" w:space="0"/>
              <w:left w:val="nil"/>
              <w:bottom w:val="single" w:color="000000" w:sz="4" w:space="0"/>
              <w:right w:val="single" w:color="000000" w:sz="4" w:space="0"/>
            </w:tcBorders>
            <w:noWrap w:val="0"/>
            <w:vAlign w:val="center"/>
          </w:tcPr>
          <w:p w14:paraId="6750DFA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Arial"/>
                <w:color w:val="000000"/>
                <w:kern w:val="0"/>
                <w:sz w:val="22"/>
              </w:rPr>
            </w:pPr>
            <w:r>
              <w:rPr>
                <w:rFonts w:hint="eastAsia" w:ascii="宋体" w:hAnsi="宋体" w:eastAsia="宋体" w:cs="Arial"/>
                <w:color w:val="000000"/>
                <w:kern w:val="0"/>
                <w:sz w:val="22"/>
              </w:rPr>
              <w:t>本年支出</w:t>
            </w:r>
          </w:p>
        </w:tc>
        <w:tc>
          <w:tcPr>
            <w:tcW w:w="637" w:type="pct"/>
            <w:vMerge w:val="restart"/>
            <w:tcBorders>
              <w:top w:val="single" w:color="000000" w:sz="4" w:space="0"/>
              <w:left w:val="nil"/>
              <w:bottom w:val="single" w:color="000000" w:sz="4" w:space="0"/>
              <w:right w:val="single" w:color="000000" w:sz="4" w:space="0"/>
            </w:tcBorders>
            <w:noWrap w:val="0"/>
            <w:vAlign w:val="center"/>
          </w:tcPr>
          <w:p w14:paraId="2B829E3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Arial"/>
                <w:color w:val="000000"/>
                <w:kern w:val="0"/>
                <w:sz w:val="22"/>
              </w:rPr>
            </w:pPr>
            <w:r>
              <w:rPr>
                <w:rFonts w:hint="eastAsia" w:ascii="宋体" w:hAnsi="宋体" w:eastAsia="宋体" w:cs="Arial"/>
                <w:color w:val="000000"/>
                <w:kern w:val="0"/>
                <w:sz w:val="22"/>
              </w:rPr>
              <w:t>年末结转和结余</w:t>
            </w:r>
          </w:p>
        </w:tc>
      </w:tr>
      <w:tr w14:paraId="176A751A">
        <w:tblPrEx>
          <w:tblCellMar>
            <w:top w:w="0" w:type="dxa"/>
            <w:left w:w="108" w:type="dxa"/>
            <w:bottom w:w="0" w:type="dxa"/>
            <w:right w:w="108" w:type="dxa"/>
          </w:tblCellMar>
        </w:tblPrEx>
        <w:trPr>
          <w:trHeight w:val="308" w:hRule="atLeast"/>
        </w:trPr>
        <w:tc>
          <w:tcPr>
            <w:tcW w:w="452" w:type="pct"/>
            <w:gridSpan w:val="3"/>
            <w:vMerge w:val="restart"/>
            <w:tcBorders>
              <w:top w:val="nil"/>
              <w:left w:val="single" w:color="000000" w:sz="4" w:space="0"/>
              <w:bottom w:val="single" w:color="000000" w:sz="4" w:space="0"/>
              <w:right w:val="single" w:color="000000" w:sz="4" w:space="0"/>
            </w:tcBorders>
            <w:noWrap w:val="0"/>
            <w:vAlign w:val="center"/>
          </w:tcPr>
          <w:p w14:paraId="1829FEF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Arial"/>
                <w:color w:val="000000"/>
                <w:kern w:val="0"/>
                <w:sz w:val="22"/>
                <w:lang w:eastAsia="zh-CN"/>
              </w:rPr>
            </w:pPr>
            <w:r>
              <w:rPr>
                <w:rFonts w:hint="eastAsia" w:ascii="宋体" w:hAnsi="宋体" w:eastAsia="宋体" w:cs="Arial"/>
                <w:color w:val="000000"/>
                <w:kern w:val="0"/>
                <w:sz w:val="22"/>
                <w:lang w:eastAsia="zh-CN"/>
              </w:rPr>
              <w:t>科目代码</w:t>
            </w:r>
          </w:p>
        </w:tc>
        <w:tc>
          <w:tcPr>
            <w:tcW w:w="784" w:type="pct"/>
            <w:vMerge w:val="restart"/>
            <w:tcBorders>
              <w:top w:val="nil"/>
              <w:left w:val="nil"/>
              <w:bottom w:val="single" w:color="000000" w:sz="4" w:space="0"/>
              <w:right w:val="single" w:color="000000" w:sz="4" w:space="0"/>
            </w:tcBorders>
            <w:noWrap/>
            <w:vAlign w:val="center"/>
          </w:tcPr>
          <w:p w14:paraId="150C962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Arial"/>
                <w:color w:val="000000"/>
                <w:kern w:val="0"/>
                <w:sz w:val="22"/>
              </w:rPr>
            </w:pPr>
            <w:r>
              <w:rPr>
                <w:rFonts w:hint="eastAsia" w:ascii="宋体" w:hAnsi="宋体" w:eastAsia="宋体" w:cs="Arial"/>
                <w:color w:val="000000"/>
                <w:kern w:val="0"/>
                <w:sz w:val="22"/>
              </w:rPr>
              <w:t>科目名称</w:t>
            </w:r>
          </w:p>
        </w:tc>
        <w:tc>
          <w:tcPr>
            <w:tcW w:w="625" w:type="pct"/>
            <w:vMerge w:val="continue"/>
            <w:tcBorders>
              <w:top w:val="single" w:color="000000" w:sz="4" w:space="0"/>
              <w:left w:val="nil"/>
              <w:bottom w:val="single" w:color="000000" w:sz="4" w:space="0"/>
              <w:right w:val="single" w:color="000000" w:sz="4" w:space="0"/>
            </w:tcBorders>
            <w:noWrap w:val="0"/>
            <w:vAlign w:val="center"/>
          </w:tcPr>
          <w:p w14:paraId="77925AA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Arial"/>
                <w:color w:val="000000"/>
                <w:kern w:val="0"/>
                <w:sz w:val="22"/>
              </w:rPr>
            </w:pPr>
          </w:p>
        </w:tc>
        <w:tc>
          <w:tcPr>
            <w:tcW w:w="625" w:type="pct"/>
            <w:vMerge w:val="continue"/>
            <w:tcBorders>
              <w:top w:val="single" w:color="000000" w:sz="4" w:space="0"/>
              <w:left w:val="nil"/>
              <w:bottom w:val="single" w:color="000000" w:sz="4" w:space="0"/>
              <w:right w:val="single" w:color="000000" w:sz="4" w:space="0"/>
            </w:tcBorders>
            <w:noWrap w:val="0"/>
            <w:vAlign w:val="center"/>
          </w:tcPr>
          <w:p w14:paraId="313ABFE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kern w:val="0"/>
                <w:sz w:val="22"/>
              </w:rPr>
            </w:pPr>
          </w:p>
        </w:tc>
        <w:tc>
          <w:tcPr>
            <w:tcW w:w="625" w:type="pct"/>
            <w:vMerge w:val="restart"/>
            <w:tcBorders>
              <w:top w:val="nil"/>
              <w:left w:val="nil"/>
              <w:bottom w:val="single" w:color="000000" w:sz="4" w:space="0"/>
              <w:right w:val="single" w:color="000000" w:sz="4" w:space="0"/>
            </w:tcBorders>
            <w:noWrap w:val="0"/>
            <w:vAlign w:val="center"/>
          </w:tcPr>
          <w:p w14:paraId="7A6AA2C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Arial"/>
                <w:color w:val="000000"/>
                <w:kern w:val="0"/>
                <w:sz w:val="22"/>
              </w:rPr>
            </w:pPr>
            <w:r>
              <w:rPr>
                <w:rFonts w:hint="eastAsia" w:ascii="宋体" w:hAnsi="宋体" w:eastAsia="宋体" w:cs="Arial"/>
                <w:color w:val="000000"/>
                <w:kern w:val="0"/>
                <w:sz w:val="22"/>
              </w:rPr>
              <w:t>小计</w:t>
            </w:r>
          </w:p>
        </w:tc>
        <w:tc>
          <w:tcPr>
            <w:tcW w:w="625" w:type="pct"/>
            <w:vMerge w:val="restart"/>
            <w:tcBorders>
              <w:top w:val="nil"/>
              <w:left w:val="nil"/>
              <w:bottom w:val="single" w:color="000000" w:sz="4" w:space="0"/>
              <w:right w:val="single" w:color="000000" w:sz="4" w:space="0"/>
            </w:tcBorders>
            <w:noWrap w:val="0"/>
            <w:vAlign w:val="center"/>
          </w:tcPr>
          <w:p w14:paraId="1DFDA7B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Arial"/>
                <w:color w:val="000000"/>
                <w:kern w:val="0"/>
                <w:sz w:val="22"/>
              </w:rPr>
            </w:pPr>
            <w:r>
              <w:rPr>
                <w:rFonts w:hint="eastAsia" w:ascii="宋体" w:hAnsi="宋体" w:eastAsia="宋体" w:cs="Arial"/>
                <w:color w:val="000000"/>
                <w:kern w:val="0"/>
                <w:sz w:val="22"/>
              </w:rPr>
              <w:t>基本支出</w:t>
            </w:r>
          </w:p>
        </w:tc>
        <w:tc>
          <w:tcPr>
            <w:tcW w:w="625" w:type="pct"/>
            <w:vMerge w:val="restart"/>
            <w:tcBorders>
              <w:top w:val="nil"/>
              <w:left w:val="nil"/>
              <w:bottom w:val="single" w:color="000000" w:sz="4" w:space="0"/>
              <w:right w:val="single" w:color="000000" w:sz="4" w:space="0"/>
            </w:tcBorders>
            <w:noWrap w:val="0"/>
            <w:vAlign w:val="center"/>
          </w:tcPr>
          <w:p w14:paraId="036A52B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Arial"/>
                <w:color w:val="000000"/>
                <w:kern w:val="0"/>
                <w:sz w:val="22"/>
              </w:rPr>
            </w:pPr>
            <w:r>
              <w:rPr>
                <w:rFonts w:hint="eastAsia" w:ascii="宋体" w:hAnsi="宋体" w:eastAsia="宋体" w:cs="Arial"/>
                <w:color w:val="000000"/>
                <w:kern w:val="0"/>
                <w:sz w:val="22"/>
              </w:rPr>
              <w:t>项目支出</w:t>
            </w:r>
          </w:p>
        </w:tc>
        <w:tc>
          <w:tcPr>
            <w:tcW w:w="637" w:type="pct"/>
            <w:vMerge w:val="continue"/>
            <w:tcBorders>
              <w:top w:val="single" w:color="000000" w:sz="4" w:space="0"/>
              <w:left w:val="nil"/>
              <w:bottom w:val="single" w:color="000000" w:sz="4" w:space="0"/>
              <w:right w:val="single" w:color="000000" w:sz="4" w:space="0"/>
            </w:tcBorders>
            <w:noWrap w:val="0"/>
            <w:vAlign w:val="center"/>
          </w:tcPr>
          <w:p w14:paraId="1D5B3BF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kern w:val="0"/>
                <w:sz w:val="22"/>
              </w:rPr>
            </w:pPr>
          </w:p>
        </w:tc>
      </w:tr>
      <w:tr w14:paraId="7E9712EC">
        <w:tblPrEx>
          <w:tblCellMar>
            <w:top w:w="0" w:type="dxa"/>
            <w:left w:w="108" w:type="dxa"/>
            <w:bottom w:w="0" w:type="dxa"/>
            <w:right w:w="108" w:type="dxa"/>
          </w:tblCellMar>
        </w:tblPrEx>
        <w:trPr>
          <w:trHeight w:val="308" w:hRule="atLeast"/>
        </w:trPr>
        <w:tc>
          <w:tcPr>
            <w:tcW w:w="452" w:type="pct"/>
            <w:gridSpan w:val="3"/>
            <w:vMerge w:val="continue"/>
            <w:tcBorders>
              <w:top w:val="nil"/>
              <w:left w:val="single" w:color="000000" w:sz="4" w:space="0"/>
              <w:bottom w:val="single" w:color="000000" w:sz="4" w:space="0"/>
              <w:right w:val="single" w:color="000000" w:sz="4" w:space="0"/>
            </w:tcBorders>
            <w:noWrap w:val="0"/>
            <w:vAlign w:val="center"/>
          </w:tcPr>
          <w:p w14:paraId="1513D00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kern w:val="0"/>
                <w:sz w:val="22"/>
              </w:rPr>
            </w:pPr>
          </w:p>
        </w:tc>
        <w:tc>
          <w:tcPr>
            <w:tcW w:w="784" w:type="pct"/>
            <w:vMerge w:val="continue"/>
            <w:tcBorders>
              <w:top w:val="nil"/>
              <w:left w:val="nil"/>
              <w:bottom w:val="single" w:color="000000" w:sz="4" w:space="0"/>
              <w:right w:val="single" w:color="000000" w:sz="4" w:space="0"/>
            </w:tcBorders>
            <w:noWrap w:val="0"/>
            <w:vAlign w:val="center"/>
          </w:tcPr>
          <w:p w14:paraId="5CFFDD8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kern w:val="0"/>
                <w:sz w:val="22"/>
              </w:rPr>
            </w:pPr>
          </w:p>
        </w:tc>
        <w:tc>
          <w:tcPr>
            <w:tcW w:w="625" w:type="pct"/>
            <w:vMerge w:val="continue"/>
            <w:tcBorders>
              <w:top w:val="single" w:color="000000" w:sz="4" w:space="0"/>
              <w:left w:val="nil"/>
              <w:bottom w:val="single" w:color="000000" w:sz="4" w:space="0"/>
              <w:right w:val="single" w:color="000000" w:sz="4" w:space="0"/>
            </w:tcBorders>
            <w:noWrap w:val="0"/>
            <w:vAlign w:val="center"/>
          </w:tcPr>
          <w:p w14:paraId="637FBCB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kern w:val="0"/>
                <w:sz w:val="22"/>
              </w:rPr>
            </w:pPr>
          </w:p>
        </w:tc>
        <w:tc>
          <w:tcPr>
            <w:tcW w:w="625" w:type="pct"/>
            <w:vMerge w:val="continue"/>
            <w:tcBorders>
              <w:top w:val="single" w:color="000000" w:sz="4" w:space="0"/>
              <w:left w:val="nil"/>
              <w:bottom w:val="single" w:color="000000" w:sz="4" w:space="0"/>
              <w:right w:val="single" w:color="000000" w:sz="4" w:space="0"/>
            </w:tcBorders>
            <w:noWrap w:val="0"/>
            <w:vAlign w:val="center"/>
          </w:tcPr>
          <w:p w14:paraId="3343325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kern w:val="0"/>
                <w:sz w:val="22"/>
              </w:rPr>
            </w:pPr>
          </w:p>
        </w:tc>
        <w:tc>
          <w:tcPr>
            <w:tcW w:w="625" w:type="pct"/>
            <w:vMerge w:val="continue"/>
            <w:tcBorders>
              <w:top w:val="nil"/>
              <w:left w:val="nil"/>
              <w:bottom w:val="single" w:color="000000" w:sz="4" w:space="0"/>
              <w:right w:val="single" w:color="000000" w:sz="4" w:space="0"/>
            </w:tcBorders>
            <w:noWrap w:val="0"/>
            <w:vAlign w:val="center"/>
          </w:tcPr>
          <w:p w14:paraId="6837EE6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kern w:val="0"/>
                <w:sz w:val="22"/>
              </w:rPr>
            </w:pPr>
          </w:p>
        </w:tc>
        <w:tc>
          <w:tcPr>
            <w:tcW w:w="625" w:type="pct"/>
            <w:vMerge w:val="continue"/>
            <w:tcBorders>
              <w:top w:val="nil"/>
              <w:left w:val="nil"/>
              <w:bottom w:val="single" w:color="000000" w:sz="4" w:space="0"/>
              <w:right w:val="single" w:color="000000" w:sz="4" w:space="0"/>
            </w:tcBorders>
            <w:noWrap w:val="0"/>
            <w:vAlign w:val="center"/>
          </w:tcPr>
          <w:p w14:paraId="4672B29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kern w:val="0"/>
                <w:sz w:val="22"/>
              </w:rPr>
            </w:pPr>
          </w:p>
        </w:tc>
        <w:tc>
          <w:tcPr>
            <w:tcW w:w="625" w:type="pct"/>
            <w:vMerge w:val="continue"/>
            <w:tcBorders>
              <w:top w:val="nil"/>
              <w:left w:val="nil"/>
              <w:bottom w:val="single" w:color="000000" w:sz="4" w:space="0"/>
              <w:right w:val="single" w:color="000000" w:sz="4" w:space="0"/>
            </w:tcBorders>
            <w:noWrap w:val="0"/>
            <w:vAlign w:val="center"/>
          </w:tcPr>
          <w:p w14:paraId="6150B0D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kern w:val="0"/>
                <w:sz w:val="22"/>
              </w:rPr>
            </w:pPr>
          </w:p>
        </w:tc>
        <w:tc>
          <w:tcPr>
            <w:tcW w:w="637" w:type="pct"/>
            <w:vMerge w:val="continue"/>
            <w:tcBorders>
              <w:top w:val="single" w:color="000000" w:sz="4" w:space="0"/>
              <w:left w:val="nil"/>
              <w:bottom w:val="single" w:color="000000" w:sz="4" w:space="0"/>
              <w:right w:val="single" w:color="000000" w:sz="4" w:space="0"/>
            </w:tcBorders>
            <w:noWrap w:val="0"/>
            <w:vAlign w:val="center"/>
          </w:tcPr>
          <w:p w14:paraId="5AE10A0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kern w:val="0"/>
                <w:sz w:val="22"/>
              </w:rPr>
            </w:pPr>
          </w:p>
        </w:tc>
      </w:tr>
      <w:tr w14:paraId="2E604815">
        <w:tblPrEx>
          <w:tblCellMar>
            <w:top w:w="0" w:type="dxa"/>
            <w:left w:w="108" w:type="dxa"/>
            <w:bottom w:w="0" w:type="dxa"/>
            <w:right w:w="108" w:type="dxa"/>
          </w:tblCellMar>
        </w:tblPrEx>
        <w:trPr>
          <w:trHeight w:val="308" w:hRule="atLeast"/>
        </w:trPr>
        <w:tc>
          <w:tcPr>
            <w:tcW w:w="452" w:type="pct"/>
            <w:gridSpan w:val="3"/>
            <w:vMerge w:val="continue"/>
            <w:tcBorders>
              <w:top w:val="nil"/>
              <w:left w:val="single" w:color="000000" w:sz="4" w:space="0"/>
              <w:bottom w:val="single" w:color="000000" w:sz="4" w:space="0"/>
              <w:right w:val="single" w:color="000000" w:sz="4" w:space="0"/>
            </w:tcBorders>
            <w:noWrap w:val="0"/>
            <w:vAlign w:val="center"/>
          </w:tcPr>
          <w:p w14:paraId="031F6C7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kern w:val="0"/>
                <w:sz w:val="22"/>
              </w:rPr>
            </w:pPr>
          </w:p>
        </w:tc>
        <w:tc>
          <w:tcPr>
            <w:tcW w:w="784" w:type="pct"/>
            <w:vMerge w:val="continue"/>
            <w:tcBorders>
              <w:top w:val="nil"/>
              <w:left w:val="nil"/>
              <w:bottom w:val="single" w:color="000000" w:sz="4" w:space="0"/>
              <w:right w:val="single" w:color="000000" w:sz="4" w:space="0"/>
            </w:tcBorders>
            <w:noWrap w:val="0"/>
            <w:vAlign w:val="center"/>
          </w:tcPr>
          <w:p w14:paraId="1B19B15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kern w:val="0"/>
                <w:sz w:val="22"/>
              </w:rPr>
            </w:pPr>
          </w:p>
        </w:tc>
        <w:tc>
          <w:tcPr>
            <w:tcW w:w="625" w:type="pct"/>
            <w:vMerge w:val="continue"/>
            <w:tcBorders>
              <w:top w:val="single" w:color="000000" w:sz="4" w:space="0"/>
              <w:left w:val="nil"/>
              <w:bottom w:val="single" w:color="auto" w:sz="4" w:space="0"/>
              <w:right w:val="single" w:color="000000" w:sz="4" w:space="0"/>
            </w:tcBorders>
            <w:noWrap w:val="0"/>
            <w:vAlign w:val="center"/>
          </w:tcPr>
          <w:p w14:paraId="156FFC9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kern w:val="0"/>
                <w:sz w:val="22"/>
              </w:rPr>
            </w:pPr>
          </w:p>
        </w:tc>
        <w:tc>
          <w:tcPr>
            <w:tcW w:w="625" w:type="pct"/>
            <w:vMerge w:val="continue"/>
            <w:tcBorders>
              <w:top w:val="single" w:color="000000" w:sz="4" w:space="0"/>
              <w:left w:val="nil"/>
              <w:bottom w:val="single" w:color="000000" w:sz="4" w:space="0"/>
              <w:right w:val="single" w:color="000000" w:sz="4" w:space="0"/>
            </w:tcBorders>
            <w:noWrap w:val="0"/>
            <w:vAlign w:val="center"/>
          </w:tcPr>
          <w:p w14:paraId="0AC48DD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kern w:val="0"/>
                <w:sz w:val="22"/>
              </w:rPr>
            </w:pPr>
          </w:p>
        </w:tc>
        <w:tc>
          <w:tcPr>
            <w:tcW w:w="625" w:type="pct"/>
            <w:vMerge w:val="continue"/>
            <w:tcBorders>
              <w:top w:val="nil"/>
              <w:left w:val="nil"/>
              <w:bottom w:val="single" w:color="000000" w:sz="4" w:space="0"/>
              <w:right w:val="single" w:color="000000" w:sz="4" w:space="0"/>
            </w:tcBorders>
            <w:noWrap w:val="0"/>
            <w:vAlign w:val="center"/>
          </w:tcPr>
          <w:p w14:paraId="5E5BEBE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kern w:val="0"/>
                <w:sz w:val="22"/>
              </w:rPr>
            </w:pPr>
          </w:p>
        </w:tc>
        <w:tc>
          <w:tcPr>
            <w:tcW w:w="625" w:type="pct"/>
            <w:vMerge w:val="continue"/>
            <w:tcBorders>
              <w:top w:val="nil"/>
              <w:left w:val="nil"/>
              <w:bottom w:val="single" w:color="000000" w:sz="4" w:space="0"/>
              <w:right w:val="single" w:color="000000" w:sz="4" w:space="0"/>
            </w:tcBorders>
            <w:noWrap w:val="0"/>
            <w:vAlign w:val="center"/>
          </w:tcPr>
          <w:p w14:paraId="3B808DB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kern w:val="0"/>
                <w:sz w:val="22"/>
              </w:rPr>
            </w:pPr>
          </w:p>
        </w:tc>
        <w:tc>
          <w:tcPr>
            <w:tcW w:w="625" w:type="pct"/>
            <w:vMerge w:val="continue"/>
            <w:tcBorders>
              <w:top w:val="nil"/>
              <w:left w:val="nil"/>
              <w:bottom w:val="single" w:color="000000" w:sz="4" w:space="0"/>
              <w:right w:val="single" w:color="000000" w:sz="4" w:space="0"/>
            </w:tcBorders>
            <w:noWrap w:val="0"/>
            <w:vAlign w:val="center"/>
          </w:tcPr>
          <w:p w14:paraId="7AEA921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kern w:val="0"/>
                <w:sz w:val="22"/>
              </w:rPr>
            </w:pPr>
          </w:p>
        </w:tc>
        <w:tc>
          <w:tcPr>
            <w:tcW w:w="637" w:type="pct"/>
            <w:vMerge w:val="continue"/>
            <w:tcBorders>
              <w:top w:val="single" w:color="000000" w:sz="4" w:space="0"/>
              <w:left w:val="nil"/>
              <w:bottom w:val="single" w:color="000000" w:sz="4" w:space="0"/>
              <w:right w:val="single" w:color="000000" w:sz="4" w:space="0"/>
            </w:tcBorders>
            <w:noWrap w:val="0"/>
            <w:vAlign w:val="center"/>
          </w:tcPr>
          <w:p w14:paraId="7677BD1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kern w:val="0"/>
                <w:sz w:val="22"/>
              </w:rPr>
            </w:pPr>
          </w:p>
        </w:tc>
      </w:tr>
      <w:tr w14:paraId="5D1BCBA7">
        <w:tblPrEx>
          <w:tblCellMar>
            <w:top w:w="0" w:type="dxa"/>
            <w:left w:w="108" w:type="dxa"/>
            <w:bottom w:w="0" w:type="dxa"/>
            <w:right w:w="108" w:type="dxa"/>
          </w:tblCellMar>
        </w:tblPrEx>
        <w:trPr>
          <w:trHeight w:val="308" w:hRule="atLeast"/>
        </w:trPr>
        <w:tc>
          <w:tcPr>
            <w:tcW w:w="1237" w:type="pct"/>
            <w:gridSpan w:val="4"/>
            <w:tcBorders>
              <w:top w:val="nil"/>
              <w:left w:val="single" w:color="000000" w:sz="4" w:space="0"/>
              <w:bottom w:val="single" w:color="000000" w:sz="4" w:space="0"/>
              <w:right w:val="single" w:color="auto" w:sz="4" w:space="0"/>
            </w:tcBorders>
            <w:noWrap/>
            <w:vAlign w:val="center"/>
          </w:tcPr>
          <w:p w14:paraId="6C20BCC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Arial"/>
                <w:color w:val="000000"/>
                <w:kern w:val="0"/>
                <w:sz w:val="22"/>
              </w:rPr>
            </w:pPr>
            <w:r>
              <w:rPr>
                <w:rFonts w:hint="eastAsia" w:ascii="宋体" w:hAnsi="宋体" w:eastAsia="宋体" w:cs="Arial"/>
                <w:color w:val="000000"/>
                <w:kern w:val="0"/>
                <w:sz w:val="22"/>
              </w:rPr>
              <w:t>栏次</w:t>
            </w:r>
          </w:p>
        </w:tc>
        <w:tc>
          <w:tcPr>
            <w:tcW w:w="625" w:type="pct"/>
            <w:tcBorders>
              <w:top w:val="single" w:color="auto" w:sz="4" w:space="0"/>
              <w:left w:val="single" w:color="auto" w:sz="4" w:space="0"/>
              <w:bottom w:val="single" w:color="auto" w:sz="4" w:space="0"/>
              <w:right w:val="single" w:color="auto" w:sz="4" w:space="0"/>
            </w:tcBorders>
            <w:noWrap/>
            <w:vAlign w:val="bottom"/>
          </w:tcPr>
          <w:p w14:paraId="6FE68A8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kern w:val="0"/>
                <w:sz w:val="22"/>
              </w:rPr>
            </w:pPr>
            <w:r>
              <w:rPr>
                <w:rFonts w:hint="eastAsia" w:ascii="宋体" w:hAnsi="宋体" w:cs="宋体"/>
                <w:color w:val="000000"/>
                <w:kern w:val="0"/>
                <w:sz w:val="22"/>
              </w:rPr>
              <w:t>1</w:t>
            </w:r>
          </w:p>
        </w:tc>
        <w:tc>
          <w:tcPr>
            <w:tcW w:w="625" w:type="pct"/>
            <w:tcBorders>
              <w:top w:val="nil"/>
              <w:left w:val="single" w:color="auto" w:sz="4" w:space="0"/>
              <w:bottom w:val="single" w:color="000000" w:sz="4" w:space="0"/>
              <w:right w:val="single" w:color="000000" w:sz="4" w:space="0"/>
            </w:tcBorders>
            <w:noWrap/>
            <w:vAlign w:val="center"/>
          </w:tcPr>
          <w:p w14:paraId="7296F25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kern w:val="0"/>
                <w:sz w:val="22"/>
              </w:rPr>
            </w:pPr>
            <w:r>
              <w:rPr>
                <w:rFonts w:hint="eastAsia" w:ascii="宋体" w:hAnsi="宋体" w:cs="宋体"/>
              </w:rPr>
              <w:pict>
                <v:shape id="文本框 34" o:spid="_x0000_s1029" o:spt="202" type="#_x0000_t202" style="position:absolute;left:0pt;margin-left:40.7pt;margin-top:3.7pt;height:119.25pt;width:108pt;z-index:251661312;mso-width-relative:page;mso-height-relative:page;" filled="f" stroked="f" coordsize="21600,21600" o:gfxdata="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FgAAAGRycy9QSwECFAAUAAAACACHTuJASaL+WdUAAAAIAQAADwAA&#10;AAAAAAABACAAAAA4AAAAZHJzL2Rvd25yZXYueG1sUEsBAhQAFAAAAAgAh07iQOJOG+3KAQAAaAMA&#10;AA4AAAAAAAAAAQAgAAAAOgEAAGRycy9lMm9Eb2MueG1sUEsFBgAAAAAGAAYAWQEAAHYFAAAAAA==&#10;">
                  <v:path/>
                  <v:fill on="f" focussize="0,0"/>
                  <v:stroke on="f"/>
                  <v:imagedata o:title=""/>
                  <o:lock v:ext="edit" aspectratio="f"/>
                  <v:textbox>
                    <w:txbxContent>
                      <w:p w14:paraId="0573C2D5">
                        <w:pPr>
                          <w:pStyle w:val="11"/>
                          <w:spacing w:before="0" w:beforeAutospacing="0" w:after="0" w:afterAutospacing="0"/>
                        </w:pPr>
                        <w:r>
                          <w:rPr>
                            <w:rFonts w:hint="eastAsia" w:cs="Times New Roman"/>
                            <w:color w:val="000000"/>
                            <w:sz w:val="144"/>
                            <w:szCs w:val="144"/>
                          </w:rPr>
                          <w:t>无</w:t>
                        </w:r>
                      </w:p>
                    </w:txbxContent>
                  </v:textbox>
                </v:shape>
              </w:pict>
            </w:r>
            <w:r>
              <w:rPr>
                <w:rFonts w:hint="eastAsia" w:ascii="宋体" w:hAnsi="宋体" w:cs="宋体"/>
                <w:color w:val="000000"/>
                <w:kern w:val="0"/>
                <w:sz w:val="22"/>
              </w:rPr>
              <w:t>2</w:t>
            </w:r>
          </w:p>
        </w:tc>
        <w:tc>
          <w:tcPr>
            <w:tcW w:w="625" w:type="pct"/>
            <w:tcBorders>
              <w:top w:val="nil"/>
              <w:left w:val="nil"/>
              <w:bottom w:val="single" w:color="000000" w:sz="4" w:space="0"/>
              <w:right w:val="single" w:color="000000" w:sz="4" w:space="0"/>
            </w:tcBorders>
            <w:noWrap/>
            <w:vAlign w:val="center"/>
          </w:tcPr>
          <w:p w14:paraId="1BC3C53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kern w:val="0"/>
                <w:sz w:val="22"/>
              </w:rPr>
            </w:pPr>
            <w:r>
              <w:rPr>
                <w:rFonts w:hint="eastAsia" w:ascii="宋体" w:hAnsi="宋体" w:cs="宋体"/>
                <w:color w:val="000000"/>
                <w:kern w:val="0"/>
                <w:sz w:val="22"/>
              </w:rPr>
              <w:t>3</w:t>
            </w:r>
          </w:p>
        </w:tc>
        <w:tc>
          <w:tcPr>
            <w:tcW w:w="625" w:type="pct"/>
            <w:tcBorders>
              <w:top w:val="nil"/>
              <w:left w:val="nil"/>
              <w:bottom w:val="single" w:color="000000" w:sz="4" w:space="0"/>
              <w:right w:val="single" w:color="000000" w:sz="4" w:space="0"/>
            </w:tcBorders>
            <w:noWrap/>
            <w:vAlign w:val="center"/>
          </w:tcPr>
          <w:p w14:paraId="4C7ED3E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kern w:val="0"/>
                <w:sz w:val="22"/>
              </w:rPr>
            </w:pPr>
            <w:r>
              <w:rPr>
                <w:rFonts w:hint="eastAsia" w:ascii="宋体" w:hAnsi="宋体" w:cs="宋体"/>
                <w:color w:val="000000"/>
                <w:kern w:val="0"/>
                <w:sz w:val="22"/>
              </w:rPr>
              <w:t>4</w:t>
            </w:r>
          </w:p>
        </w:tc>
        <w:tc>
          <w:tcPr>
            <w:tcW w:w="625" w:type="pct"/>
            <w:tcBorders>
              <w:top w:val="nil"/>
              <w:left w:val="nil"/>
              <w:bottom w:val="single" w:color="000000" w:sz="4" w:space="0"/>
              <w:right w:val="single" w:color="000000" w:sz="4" w:space="0"/>
            </w:tcBorders>
            <w:noWrap/>
            <w:vAlign w:val="center"/>
          </w:tcPr>
          <w:p w14:paraId="38A2110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kern w:val="0"/>
                <w:sz w:val="22"/>
              </w:rPr>
            </w:pPr>
            <w:r>
              <w:rPr>
                <w:rFonts w:hint="eastAsia" w:ascii="宋体" w:hAnsi="宋体" w:cs="宋体"/>
                <w:color w:val="000000"/>
                <w:kern w:val="0"/>
                <w:sz w:val="22"/>
              </w:rPr>
              <w:t>5</w:t>
            </w:r>
          </w:p>
        </w:tc>
        <w:tc>
          <w:tcPr>
            <w:tcW w:w="637" w:type="pct"/>
            <w:tcBorders>
              <w:top w:val="nil"/>
              <w:left w:val="nil"/>
              <w:bottom w:val="single" w:color="000000" w:sz="4" w:space="0"/>
              <w:right w:val="single" w:color="000000" w:sz="4" w:space="0"/>
            </w:tcBorders>
            <w:noWrap/>
            <w:vAlign w:val="center"/>
          </w:tcPr>
          <w:p w14:paraId="5214832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kern w:val="0"/>
                <w:sz w:val="22"/>
              </w:rPr>
            </w:pPr>
            <w:r>
              <w:rPr>
                <w:rFonts w:hint="eastAsia" w:ascii="宋体" w:hAnsi="宋体" w:cs="宋体"/>
                <w:color w:val="000000"/>
                <w:kern w:val="0"/>
                <w:sz w:val="22"/>
              </w:rPr>
              <w:t>6</w:t>
            </w:r>
          </w:p>
        </w:tc>
      </w:tr>
      <w:tr w14:paraId="630B16E2">
        <w:tblPrEx>
          <w:tblCellMar>
            <w:top w:w="0" w:type="dxa"/>
            <w:left w:w="108" w:type="dxa"/>
            <w:bottom w:w="0" w:type="dxa"/>
            <w:right w:w="108" w:type="dxa"/>
          </w:tblCellMar>
        </w:tblPrEx>
        <w:trPr>
          <w:trHeight w:val="90" w:hRule="atLeast"/>
        </w:trPr>
        <w:tc>
          <w:tcPr>
            <w:tcW w:w="1237" w:type="pct"/>
            <w:gridSpan w:val="4"/>
            <w:tcBorders>
              <w:top w:val="nil"/>
              <w:left w:val="single" w:color="000000" w:sz="4" w:space="0"/>
              <w:bottom w:val="single" w:color="000000" w:sz="4" w:space="0"/>
              <w:right w:val="single" w:color="auto" w:sz="4" w:space="0"/>
            </w:tcBorders>
            <w:noWrap/>
            <w:vAlign w:val="center"/>
          </w:tcPr>
          <w:p w14:paraId="22C8816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Arial"/>
                <w:color w:val="000000"/>
                <w:kern w:val="0"/>
                <w:sz w:val="22"/>
              </w:rPr>
            </w:pPr>
            <w:r>
              <w:rPr>
                <w:rFonts w:hint="eastAsia" w:ascii="宋体" w:hAnsi="宋体" w:eastAsia="宋体" w:cs="Arial"/>
                <w:color w:val="000000"/>
                <w:kern w:val="0"/>
                <w:sz w:val="22"/>
              </w:rPr>
              <w:t>合计</w:t>
            </w:r>
          </w:p>
        </w:tc>
        <w:tc>
          <w:tcPr>
            <w:tcW w:w="625" w:type="pct"/>
            <w:tcBorders>
              <w:top w:val="single" w:color="auto" w:sz="4" w:space="0"/>
              <w:left w:val="single" w:color="auto" w:sz="4" w:space="0"/>
              <w:bottom w:val="single" w:color="auto" w:sz="4" w:space="0"/>
              <w:right w:val="single" w:color="auto" w:sz="4" w:space="0"/>
            </w:tcBorders>
            <w:noWrap/>
            <w:vAlign w:val="center"/>
          </w:tcPr>
          <w:p w14:paraId="160CD6E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single" w:color="auto" w:sz="4" w:space="0"/>
              <w:bottom w:val="single" w:color="000000" w:sz="4" w:space="0"/>
              <w:right w:val="single" w:color="000000" w:sz="4" w:space="0"/>
            </w:tcBorders>
            <w:noWrap/>
            <w:vAlign w:val="center"/>
          </w:tcPr>
          <w:p w14:paraId="6656C67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b/>
                <w:bCs/>
                <w:color w:val="000000"/>
                <w:kern w:val="0"/>
                <w:sz w:val="22"/>
              </w:rPr>
            </w:pPr>
            <w:r>
              <w:rPr>
                <w:rFonts w:hint="eastAsia" w:ascii="宋体" w:hAnsi="宋体" w:cs="宋体"/>
                <w:b/>
                <w:bCs/>
                <w:color w:val="000000"/>
                <w:kern w:val="0"/>
                <w:sz w:val="22"/>
              </w:rPr>
              <w:t>　</w:t>
            </w:r>
          </w:p>
        </w:tc>
        <w:tc>
          <w:tcPr>
            <w:tcW w:w="625" w:type="pct"/>
            <w:tcBorders>
              <w:top w:val="nil"/>
              <w:left w:val="nil"/>
              <w:bottom w:val="single" w:color="000000" w:sz="4" w:space="0"/>
              <w:right w:val="single" w:color="000000" w:sz="4" w:space="0"/>
            </w:tcBorders>
            <w:noWrap/>
            <w:vAlign w:val="center"/>
          </w:tcPr>
          <w:p w14:paraId="7951425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b/>
                <w:bCs/>
                <w:color w:val="000000"/>
                <w:kern w:val="0"/>
                <w:sz w:val="22"/>
              </w:rPr>
            </w:pPr>
            <w:r>
              <w:rPr>
                <w:rFonts w:hint="eastAsia" w:ascii="宋体" w:hAnsi="宋体" w:cs="宋体"/>
                <w:b/>
                <w:bCs/>
                <w:color w:val="000000"/>
                <w:kern w:val="0"/>
                <w:sz w:val="22"/>
              </w:rPr>
              <w:t>　</w:t>
            </w:r>
          </w:p>
        </w:tc>
        <w:tc>
          <w:tcPr>
            <w:tcW w:w="625" w:type="pct"/>
            <w:tcBorders>
              <w:top w:val="nil"/>
              <w:left w:val="nil"/>
              <w:bottom w:val="single" w:color="000000" w:sz="4" w:space="0"/>
              <w:right w:val="single" w:color="000000" w:sz="4" w:space="0"/>
            </w:tcBorders>
            <w:noWrap/>
            <w:vAlign w:val="center"/>
          </w:tcPr>
          <w:p w14:paraId="30939D4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b/>
                <w:bCs/>
                <w:color w:val="000000"/>
                <w:kern w:val="0"/>
                <w:sz w:val="22"/>
              </w:rPr>
            </w:pPr>
            <w:r>
              <w:rPr>
                <w:rFonts w:hint="eastAsia" w:ascii="宋体" w:hAnsi="宋体" w:cs="宋体"/>
                <w:b/>
                <w:bCs/>
                <w:color w:val="000000"/>
                <w:kern w:val="0"/>
                <w:sz w:val="22"/>
              </w:rPr>
              <w:t>　</w:t>
            </w:r>
          </w:p>
        </w:tc>
        <w:tc>
          <w:tcPr>
            <w:tcW w:w="625" w:type="pct"/>
            <w:tcBorders>
              <w:top w:val="nil"/>
              <w:left w:val="nil"/>
              <w:bottom w:val="single" w:color="000000" w:sz="4" w:space="0"/>
              <w:right w:val="single" w:color="000000" w:sz="4" w:space="0"/>
            </w:tcBorders>
            <w:noWrap/>
            <w:vAlign w:val="center"/>
          </w:tcPr>
          <w:p w14:paraId="679F385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b/>
                <w:bCs/>
                <w:color w:val="000000"/>
                <w:kern w:val="0"/>
                <w:sz w:val="22"/>
              </w:rPr>
            </w:pPr>
            <w:r>
              <w:rPr>
                <w:rFonts w:hint="eastAsia" w:ascii="宋体" w:hAnsi="宋体" w:cs="宋体"/>
                <w:b/>
                <w:bCs/>
                <w:color w:val="000000"/>
                <w:kern w:val="0"/>
                <w:sz w:val="22"/>
              </w:rPr>
              <w:t>　</w:t>
            </w:r>
          </w:p>
        </w:tc>
        <w:tc>
          <w:tcPr>
            <w:tcW w:w="637" w:type="pct"/>
            <w:tcBorders>
              <w:top w:val="nil"/>
              <w:left w:val="nil"/>
              <w:bottom w:val="single" w:color="000000" w:sz="4" w:space="0"/>
              <w:right w:val="single" w:color="000000" w:sz="4" w:space="0"/>
            </w:tcBorders>
            <w:noWrap/>
            <w:vAlign w:val="center"/>
          </w:tcPr>
          <w:p w14:paraId="1F15341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b/>
                <w:bCs/>
                <w:color w:val="000000"/>
                <w:kern w:val="0"/>
                <w:sz w:val="22"/>
              </w:rPr>
            </w:pPr>
            <w:r>
              <w:rPr>
                <w:rFonts w:hint="eastAsia" w:ascii="宋体" w:hAnsi="宋体" w:cs="宋体"/>
                <w:b/>
                <w:bCs/>
                <w:color w:val="000000"/>
                <w:kern w:val="0"/>
                <w:sz w:val="22"/>
              </w:rPr>
              <w:t>　</w:t>
            </w:r>
          </w:p>
        </w:tc>
      </w:tr>
      <w:tr w14:paraId="5B5E7B29">
        <w:tblPrEx>
          <w:tblCellMar>
            <w:top w:w="0" w:type="dxa"/>
            <w:left w:w="108" w:type="dxa"/>
            <w:bottom w:w="0" w:type="dxa"/>
            <w:right w:w="108" w:type="dxa"/>
          </w:tblCellMar>
        </w:tblPrEx>
        <w:trPr>
          <w:trHeight w:val="308" w:hRule="atLeast"/>
        </w:trPr>
        <w:tc>
          <w:tcPr>
            <w:tcW w:w="452" w:type="pct"/>
            <w:gridSpan w:val="3"/>
            <w:tcBorders>
              <w:top w:val="nil"/>
              <w:left w:val="single" w:color="000000" w:sz="4" w:space="0"/>
              <w:bottom w:val="single" w:color="000000" w:sz="4" w:space="0"/>
              <w:right w:val="single" w:color="000000" w:sz="4" w:space="0"/>
            </w:tcBorders>
            <w:noWrap/>
            <w:vAlign w:val="center"/>
          </w:tcPr>
          <w:p w14:paraId="3993C13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784" w:type="pct"/>
            <w:tcBorders>
              <w:top w:val="nil"/>
              <w:left w:val="nil"/>
              <w:bottom w:val="single" w:color="000000" w:sz="4" w:space="0"/>
              <w:right w:val="single" w:color="000000" w:sz="4" w:space="0"/>
            </w:tcBorders>
            <w:noWrap/>
            <w:vAlign w:val="center"/>
          </w:tcPr>
          <w:p w14:paraId="7DFF267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single" w:color="auto" w:sz="4" w:space="0"/>
              <w:left w:val="nil"/>
              <w:bottom w:val="single" w:color="000000" w:sz="4" w:space="0"/>
              <w:right w:val="single" w:color="000000" w:sz="4" w:space="0"/>
            </w:tcBorders>
            <w:noWrap/>
            <w:vAlign w:val="center"/>
          </w:tcPr>
          <w:p w14:paraId="1D87CA1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nil"/>
              <w:bottom w:val="single" w:color="000000" w:sz="4" w:space="0"/>
              <w:right w:val="single" w:color="000000" w:sz="4" w:space="0"/>
            </w:tcBorders>
            <w:noWrap/>
            <w:vAlign w:val="center"/>
          </w:tcPr>
          <w:p w14:paraId="6525050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nil"/>
              <w:bottom w:val="single" w:color="000000" w:sz="4" w:space="0"/>
              <w:right w:val="single" w:color="000000" w:sz="4" w:space="0"/>
            </w:tcBorders>
            <w:noWrap/>
            <w:vAlign w:val="center"/>
          </w:tcPr>
          <w:p w14:paraId="6A37E79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nil"/>
              <w:bottom w:val="single" w:color="000000" w:sz="4" w:space="0"/>
              <w:right w:val="single" w:color="000000" w:sz="4" w:space="0"/>
            </w:tcBorders>
            <w:noWrap/>
            <w:vAlign w:val="center"/>
          </w:tcPr>
          <w:p w14:paraId="052BC2E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nil"/>
              <w:bottom w:val="single" w:color="000000" w:sz="4" w:space="0"/>
              <w:right w:val="single" w:color="000000" w:sz="4" w:space="0"/>
            </w:tcBorders>
            <w:noWrap/>
            <w:vAlign w:val="center"/>
          </w:tcPr>
          <w:p w14:paraId="130A945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37" w:type="pct"/>
            <w:tcBorders>
              <w:top w:val="nil"/>
              <w:left w:val="nil"/>
              <w:bottom w:val="single" w:color="000000" w:sz="4" w:space="0"/>
              <w:right w:val="single" w:color="000000" w:sz="4" w:space="0"/>
            </w:tcBorders>
            <w:noWrap/>
            <w:vAlign w:val="center"/>
          </w:tcPr>
          <w:p w14:paraId="1495099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r>
      <w:tr w14:paraId="244B61A8">
        <w:tblPrEx>
          <w:tblCellMar>
            <w:top w:w="0" w:type="dxa"/>
            <w:left w:w="108" w:type="dxa"/>
            <w:bottom w:w="0" w:type="dxa"/>
            <w:right w:w="108" w:type="dxa"/>
          </w:tblCellMar>
        </w:tblPrEx>
        <w:trPr>
          <w:trHeight w:val="308" w:hRule="atLeast"/>
        </w:trPr>
        <w:tc>
          <w:tcPr>
            <w:tcW w:w="452" w:type="pct"/>
            <w:gridSpan w:val="3"/>
            <w:tcBorders>
              <w:top w:val="nil"/>
              <w:left w:val="single" w:color="000000" w:sz="4" w:space="0"/>
              <w:bottom w:val="single" w:color="000000" w:sz="4" w:space="0"/>
              <w:right w:val="single" w:color="000000" w:sz="4" w:space="0"/>
            </w:tcBorders>
            <w:noWrap/>
            <w:vAlign w:val="center"/>
          </w:tcPr>
          <w:p w14:paraId="6F45DCD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784" w:type="pct"/>
            <w:tcBorders>
              <w:top w:val="nil"/>
              <w:left w:val="nil"/>
              <w:bottom w:val="single" w:color="000000" w:sz="4" w:space="0"/>
              <w:right w:val="single" w:color="000000" w:sz="4" w:space="0"/>
            </w:tcBorders>
            <w:noWrap/>
            <w:vAlign w:val="center"/>
          </w:tcPr>
          <w:p w14:paraId="2866BA6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nil"/>
              <w:bottom w:val="single" w:color="000000" w:sz="4" w:space="0"/>
              <w:right w:val="single" w:color="000000" w:sz="4" w:space="0"/>
            </w:tcBorders>
            <w:noWrap/>
            <w:vAlign w:val="center"/>
          </w:tcPr>
          <w:p w14:paraId="6167464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nil"/>
              <w:bottom w:val="single" w:color="000000" w:sz="4" w:space="0"/>
              <w:right w:val="single" w:color="000000" w:sz="4" w:space="0"/>
            </w:tcBorders>
            <w:noWrap/>
            <w:vAlign w:val="center"/>
          </w:tcPr>
          <w:p w14:paraId="703E4D1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nil"/>
              <w:bottom w:val="single" w:color="000000" w:sz="4" w:space="0"/>
              <w:right w:val="single" w:color="000000" w:sz="4" w:space="0"/>
            </w:tcBorders>
            <w:noWrap/>
            <w:vAlign w:val="center"/>
          </w:tcPr>
          <w:p w14:paraId="5E33CB8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nil"/>
              <w:bottom w:val="single" w:color="000000" w:sz="4" w:space="0"/>
              <w:right w:val="single" w:color="000000" w:sz="4" w:space="0"/>
            </w:tcBorders>
            <w:noWrap/>
            <w:vAlign w:val="center"/>
          </w:tcPr>
          <w:p w14:paraId="614D5F1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nil"/>
              <w:bottom w:val="single" w:color="000000" w:sz="4" w:space="0"/>
              <w:right w:val="single" w:color="000000" w:sz="4" w:space="0"/>
            </w:tcBorders>
            <w:noWrap/>
            <w:vAlign w:val="center"/>
          </w:tcPr>
          <w:p w14:paraId="1DFC455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37" w:type="pct"/>
            <w:tcBorders>
              <w:top w:val="nil"/>
              <w:left w:val="nil"/>
              <w:bottom w:val="single" w:color="000000" w:sz="4" w:space="0"/>
              <w:right w:val="single" w:color="000000" w:sz="4" w:space="0"/>
            </w:tcBorders>
            <w:noWrap/>
            <w:vAlign w:val="center"/>
          </w:tcPr>
          <w:p w14:paraId="20E6A73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r>
      <w:tr w14:paraId="62916B76">
        <w:tblPrEx>
          <w:tblCellMar>
            <w:top w:w="0" w:type="dxa"/>
            <w:left w:w="108" w:type="dxa"/>
            <w:bottom w:w="0" w:type="dxa"/>
            <w:right w:w="108" w:type="dxa"/>
          </w:tblCellMar>
        </w:tblPrEx>
        <w:trPr>
          <w:trHeight w:val="308" w:hRule="atLeast"/>
        </w:trPr>
        <w:tc>
          <w:tcPr>
            <w:tcW w:w="452" w:type="pct"/>
            <w:gridSpan w:val="3"/>
            <w:tcBorders>
              <w:top w:val="nil"/>
              <w:left w:val="single" w:color="000000" w:sz="4" w:space="0"/>
              <w:bottom w:val="single" w:color="000000" w:sz="4" w:space="0"/>
              <w:right w:val="single" w:color="000000" w:sz="4" w:space="0"/>
            </w:tcBorders>
            <w:noWrap/>
            <w:vAlign w:val="center"/>
          </w:tcPr>
          <w:p w14:paraId="175C7FA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784" w:type="pct"/>
            <w:tcBorders>
              <w:top w:val="nil"/>
              <w:left w:val="nil"/>
              <w:bottom w:val="single" w:color="000000" w:sz="4" w:space="0"/>
              <w:right w:val="single" w:color="000000" w:sz="4" w:space="0"/>
            </w:tcBorders>
            <w:noWrap/>
            <w:vAlign w:val="center"/>
          </w:tcPr>
          <w:p w14:paraId="5987627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nil"/>
              <w:bottom w:val="single" w:color="000000" w:sz="4" w:space="0"/>
              <w:right w:val="single" w:color="000000" w:sz="4" w:space="0"/>
            </w:tcBorders>
            <w:noWrap/>
            <w:vAlign w:val="center"/>
          </w:tcPr>
          <w:p w14:paraId="5442257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nil"/>
              <w:bottom w:val="single" w:color="000000" w:sz="4" w:space="0"/>
              <w:right w:val="single" w:color="000000" w:sz="4" w:space="0"/>
            </w:tcBorders>
            <w:noWrap/>
            <w:vAlign w:val="center"/>
          </w:tcPr>
          <w:p w14:paraId="687D4F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nil"/>
              <w:bottom w:val="single" w:color="000000" w:sz="4" w:space="0"/>
              <w:right w:val="single" w:color="000000" w:sz="4" w:space="0"/>
            </w:tcBorders>
            <w:noWrap/>
            <w:vAlign w:val="center"/>
          </w:tcPr>
          <w:p w14:paraId="14CE58F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nil"/>
              <w:bottom w:val="single" w:color="000000" w:sz="4" w:space="0"/>
              <w:right w:val="single" w:color="000000" w:sz="4" w:space="0"/>
            </w:tcBorders>
            <w:noWrap/>
            <w:vAlign w:val="center"/>
          </w:tcPr>
          <w:p w14:paraId="4136DA1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nil"/>
              <w:bottom w:val="single" w:color="000000" w:sz="4" w:space="0"/>
              <w:right w:val="single" w:color="000000" w:sz="4" w:space="0"/>
            </w:tcBorders>
            <w:noWrap/>
            <w:vAlign w:val="center"/>
          </w:tcPr>
          <w:p w14:paraId="26E20AF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37" w:type="pct"/>
            <w:tcBorders>
              <w:top w:val="nil"/>
              <w:left w:val="nil"/>
              <w:bottom w:val="single" w:color="000000" w:sz="4" w:space="0"/>
              <w:right w:val="single" w:color="000000" w:sz="4" w:space="0"/>
            </w:tcBorders>
            <w:noWrap/>
            <w:vAlign w:val="center"/>
          </w:tcPr>
          <w:p w14:paraId="2B01B02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r>
      <w:tr w14:paraId="3C6665F8">
        <w:tblPrEx>
          <w:tblCellMar>
            <w:top w:w="0" w:type="dxa"/>
            <w:left w:w="108" w:type="dxa"/>
            <w:bottom w:w="0" w:type="dxa"/>
            <w:right w:w="108" w:type="dxa"/>
          </w:tblCellMar>
        </w:tblPrEx>
        <w:trPr>
          <w:trHeight w:val="308" w:hRule="atLeast"/>
        </w:trPr>
        <w:tc>
          <w:tcPr>
            <w:tcW w:w="452" w:type="pct"/>
            <w:gridSpan w:val="3"/>
            <w:tcBorders>
              <w:top w:val="nil"/>
              <w:left w:val="single" w:color="000000" w:sz="4" w:space="0"/>
              <w:bottom w:val="single" w:color="000000" w:sz="4" w:space="0"/>
              <w:right w:val="single" w:color="000000" w:sz="4" w:space="0"/>
            </w:tcBorders>
            <w:noWrap/>
            <w:vAlign w:val="center"/>
          </w:tcPr>
          <w:p w14:paraId="7D462B1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784" w:type="pct"/>
            <w:tcBorders>
              <w:top w:val="nil"/>
              <w:left w:val="nil"/>
              <w:bottom w:val="single" w:color="000000" w:sz="4" w:space="0"/>
              <w:right w:val="single" w:color="000000" w:sz="4" w:space="0"/>
            </w:tcBorders>
            <w:noWrap/>
            <w:vAlign w:val="center"/>
          </w:tcPr>
          <w:p w14:paraId="7C319DD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nil"/>
              <w:bottom w:val="single" w:color="000000" w:sz="4" w:space="0"/>
              <w:right w:val="single" w:color="000000" w:sz="4" w:space="0"/>
            </w:tcBorders>
            <w:noWrap/>
            <w:vAlign w:val="center"/>
          </w:tcPr>
          <w:p w14:paraId="6A9C304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nil"/>
              <w:bottom w:val="single" w:color="000000" w:sz="4" w:space="0"/>
              <w:right w:val="single" w:color="000000" w:sz="4" w:space="0"/>
            </w:tcBorders>
            <w:noWrap/>
            <w:vAlign w:val="center"/>
          </w:tcPr>
          <w:p w14:paraId="2E92E24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nil"/>
              <w:bottom w:val="single" w:color="000000" w:sz="4" w:space="0"/>
              <w:right w:val="single" w:color="000000" w:sz="4" w:space="0"/>
            </w:tcBorders>
            <w:noWrap/>
            <w:vAlign w:val="center"/>
          </w:tcPr>
          <w:p w14:paraId="3F31358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nil"/>
              <w:bottom w:val="single" w:color="000000" w:sz="4" w:space="0"/>
              <w:right w:val="single" w:color="000000" w:sz="4" w:space="0"/>
            </w:tcBorders>
            <w:noWrap/>
            <w:vAlign w:val="center"/>
          </w:tcPr>
          <w:p w14:paraId="313AFE0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nil"/>
              <w:bottom w:val="single" w:color="000000" w:sz="4" w:space="0"/>
              <w:right w:val="single" w:color="000000" w:sz="4" w:space="0"/>
            </w:tcBorders>
            <w:noWrap/>
            <w:vAlign w:val="center"/>
          </w:tcPr>
          <w:p w14:paraId="280A7D4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37" w:type="pct"/>
            <w:tcBorders>
              <w:top w:val="nil"/>
              <w:left w:val="nil"/>
              <w:bottom w:val="single" w:color="000000" w:sz="4" w:space="0"/>
              <w:right w:val="single" w:color="000000" w:sz="4" w:space="0"/>
            </w:tcBorders>
            <w:noWrap/>
            <w:vAlign w:val="center"/>
          </w:tcPr>
          <w:p w14:paraId="314A15F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r>
      <w:tr w14:paraId="0F0828EB">
        <w:tblPrEx>
          <w:tblCellMar>
            <w:top w:w="0" w:type="dxa"/>
            <w:left w:w="108" w:type="dxa"/>
            <w:bottom w:w="0" w:type="dxa"/>
            <w:right w:w="108" w:type="dxa"/>
          </w:tblCellMar>
        </w:tblPrEx>
        <w:trPr>
          <w:trHeight w:val="308" w:hRule="atLeast"/>
        </w:trPr>
        <w:tc>
          <w:tcPr>
            <w:tcW w:w="452" w:type="pct"/>
            <w:gridSpan w:val="3"/>
            <w:tcBorders>
              <w:top w:val="nil"/>
              <w:left w:val="single" w:color="000000" w:sz="4" w:space="0"/>
              <w:bottom w:val="single" w:color="000000" w:sz="4" w:space="0"/>
              <w:right w:val="single" w:color="000000" w:sz="4" w:space="0"/>
            </w:tcBorders>
            <w:noWrap/>
            <w:vAlign w:val="center"/>
          </w:tcPr>
          <w:p w14:paraId="49AA576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784" w:type="pct"/>
            <w:tcBorders>
              <w:top w:val="nil"/>
              <w:left w:val="nil"/>
              <w:bottom w:val="single" w:color="000000" w:sz="4" w:space="0"/>
              <w:right w:val="single" w:color="000000" w:sz="4" w:space="0"/>
            </w:tcBorders>
            <w:noWrap/>
            <w:vAlign w:val="center"/>
          </w:tcPr>
          <w:p w14:paraId="33F6DF3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nil"/>
              <w:bottom w:val="single" w:color="000000" w:sz="4" w:space="0"/>
              <w:right w:val="single" w:color="000000" w:sz="4" w:space="0"/>
            </w:tcBorders>
            <w:noWrap/>
            <w:vAlign w:val="center"/>
          </w:tcPr>
          <w:p w14:paraId="359DEA9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nil"/>
              <w:bottom w:val="single" w:color="000000" w:sz="4" w:space="0"/>
              <w:right w:val="single" w:color="000000" w:sz="4" w:space="0"/>
            </w:tcBorders>
            <w:noWrap/>
            <w:vAlign w:val="center"/>
          </w:tcPr>
          <w:p w14:paraId="2E900B2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nil"/>
              <w:bottom w:val="single" w:color="000000" w:sz="4" w:space="0"/>
              <w:right w:val="single" w:color="000000" w:sz="4" w:space="0"/>
            </w:tcBorders>
            <w:noWrap/>
            <w:vAlign w:val="center"/>
          </w:tcPr>
          <w:p w14:paraId="07974CF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nil"/>
              <w:bottom w:val="single" w:color="000000" w:sz="4" w:space="0"/>
              <w:right w:val="single" w:color="000000" w:sz="4" w:space="0"/>
            </w:tcBorders>
            <w:noWrap/>
            <w:vAlign w:val="center"/>
          </w:tcPr>
          <w:p w14:paraId="469DA48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nil"/>
              <w:bottom w:val="single" w:color="000000" w:sz="4" w:space="0"/>
              <w:right w:val="single" w:color="000000" w:sz="4" w:space="0"/>
            </w:tcBorders>
            <w:noWrap/>
            <w:vAlign w:val="center"/>
          </w:tcPr>
          <w:p w14:paraId="203F3C4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37" w:type="pct"/>
            <w:tcBorders>
              <w:top w:val="nil"/>
              <w:left w:val="nil"/>
              <w:bottom w:val="single" w:color="000000" w:sz="4" w:space="0"/>
              <w:right w:val="single" w:color="000000" w:sz="4" w:space="0"/>
            </w:tcBorders>
            <w:noWrap/>
            <w:vAlign w:val="center"/>
          </w:tcPr>
          <w:p w14:paraId="3BE8D60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r>
      <w:tr w14:paraId="1328AC8F">
        <w:tblPrEx>
          <w:tblCellMar>
            <w:top w:w="0" w:type="dxa"/>
            <w:left w:w="108" w:type="dxa"/>
            <w:bottom w:w="0" w:type="dxa"/>
            <w:right w:w="108" w:type="dxa"/>
          </w:tblCellMar>
        </w:tblPrEx>
        <w:trPr>
          <w:trHeight w:val="308" w:hRule="atLeast"/>
        </w:trPr>
        <w:tc>
          <w:tcPr>
            <w:tcW w:w="452" w:type="pct"/>
            <w:gridSpan w:val="3"/>
            <w:tcBorders>
              <w:top w:val="nil"/>
              <w:left w:val="single" w:color="000000" w:sz="4" w:space="0"/>
              <w:bottom w:val="single" w:color="000000" w:sz="4" w:space="0"/>
              <w:right w:val="single" w:color="000000" w:sz="4" w:space="0"/>
            </w:tcBorders>
            <w:noWrap/>
            <w:vAlign w:val="center"/>
          </w:tcPr>
          <w:p w14:paraId="18FDB80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784" w:type="pct"/>
            <w:tcBorders>
              <w:top w:val="nil"/>
              <w:left w:val="nil"/>
              <w:bottom w:val="single" w:color="000000" w:sz="4" w:space="0"/>
              <w:right w:val="single" w:color="000000" w:sz="4" w:space="0"/>
            </w:tcBorders>
            <w:noWrap/>
            <w:vAlign w:val="center"/>
          </w:tcPr>
          <w:p w14:paraId="348B313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nil"/>
              <w:bottom w:val="single" w:color="000000" w:sz="4" w:space="0"/>
              <w:right w:val="single" w:color="000000" w:sz="4" w:space="0"/>
            </w:tcBorders>
            <w:noWrap/>
            <w:vAlign w:val="center"/>
          </w:tcPr>
          <w:p w14:paraId="2FE1B67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nil"/>
              <w:bottom w:val="single" w:color="000000" w:sz="4" w:space="0"/>
              <w:right w:val="single" w:color="000000" w:sz="4" w:space="0"/>
            </w:tcBorders>
            <w:noWrap/>
            <w:vAlign w:val="center"/>
          </w:tcPr>
          <w:p w14:paraId="51628B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nil"/>
              <w:bottom w:val="single" w:color="000000" w:sz="4" w:space="0"/>
              <w:right w:val="single" w:color="000000" w:sz="4" w:space="0"/>
            </w:tcBorders>
            <w:noWrap/>
            <w:vAlign w:val="center"/>
          </w:tcPr>
          <w:p w14:paraId="4086287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nil"/>
              <w:bottom w:val="single" w:color="000000" w:sz="4" w:space="0"/>
              <w:right w:val="single" w:color="000000" w:sz="4" w:space="0"/>
            </w:tcBorders>
            <w:noWrap/>
            <w:vAlign w:val="center"/>
          </w:tcPr>
          <w:p w14:paraId="0015984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25" w:type="pct"/>
            <w:tcBorders>
              <w:top w:val="nil"/>
              <w:left w:val="nil"/>
              <w:bottom w:val="single" w:color="000000" w:sz="4" w:space="0"/>
              <w:right w:val="single" w:color="000000" w:sz="4" w:space="0"/>
            </w:tcBorders>
            <w:noWrap/>
            <w:vAlign w:val="center"/>
          </w:tcPr>
          <w:p w14:paraId="63C1AB6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c>
          <w:tcPr>
            <w:tcW w:w="637" w:type="pct"/>
            <w:tcBorders>
              <w:top w:val="nil"/>
              <w:left w:val="nil"/>
              <w:bottom w:val="single" w:color="000000" w:sz="4" w:space="0"/>
              <w:right w:val="single" w:color="000000" w:sz="4" w:space="0"/>
            </w:tcBorders>
            <w:noWrap/>
            <w:vAlign w:val="center"/>
          </w:tcPr>
          <w:p w14:paraId="7BDED8F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cs="宋体"/>
                <w:color w:val="000000"/>
                <w:kern w:val="0"/>
                <w:sz w:val="22"/>
              </w:rPr>
              <w:t>　</w:t>
            </w:r>
          </w:p>
        </w:tc>
      </w:tr>
      <w:tr w14:paraId="332927AD">
        <w:tblPrEx>
          <w:tblCellMar>
            <w:top w:w="0" w:type="dxa"/>
            <w:left w:w="108" w:type="dxa"/>
            <w:bottom w:w="0" w:type="dxa"/>
            <w:right w:w="108" w:type="dxa"/>
          </w:tblCellMar>
        </w:tblPrEx>
        <w:trPr>
          <w:trHeight w:val="308" w:hRule="atLeast"/>
        </w:trPr>
        <w:tc>
          <w:tcPr>
            <w:tcW w:w="5000" w:type="pct"/>
            <w:gridSpan w:val="10"/>
            <w:tcBorders>
              <w:top w:val="nil"/>
              <w:left w:val="nil"/>
              <w:bottom w:val="nil"/>
              <w:right w:val="nil"/>
            </w:tcBorders>
            <w:noWrap/>
            <w:vAlign w:val="center"/>
          </w:tcPr>
          <w:p w14:paraId="0A6A90E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2"/>
              </w:rPr>
            </w:pPr>
            <w:r>
              <w:rPr>
                <w:rFonts w:hint="eastAsia" w:ascii="宋体" w:hAnsi="宋体" w:eastAsia="宋体" w:cs="Arial"/>
                <w:color w:val="000000"/>
                <w:kern w:val="0"/>
                <w:sz w:val="22"/>
              </w:rPr>
              <w:t>注：本表反映部门本年度政府性基金预算财政拨款收入、支出及结转和结余情况。</w:t>
            </w:r>
          </w:p>
        </w:tc>
      </w:tr>
    </w:tbl>
    <w:p w14:paraId="4F26B687">
      <w:pPr>
        <w:pStyle w:val="5"/>
      </w:pPr>
    </w:p>
    <w:p w14:paraId="68715AC5">
      <w:pPr>
        <w:pStyle w:val="5"/>
        <w:ind w:left="0" w:leftChars="0" w:firstLine="0" w:firstLineChars="0"/>
      </w:pPr>
    </w:p>
    <w:p w14:paraId="16B69FDB">
      <w:pPr>
        <w:bidi w:val="0"/>
        <w:jc w:val="center"/>
        <w:rPr>
          <w:rFonts w:hint="eastAsia" w:ascii="宋体" w:hAnsi="宋体" w:eastAsia="宋体" w:cs="宋体"/>
          <w:sz w:val="32"/>
          <w:szCs w:val="32"/>
        </w:rPr>
      </w:pPr>
      <w:r>
        <w:rPr>
          <w:rFonts w:hint="eastAsia" w:ascii="宋体" w:hAnsi="宋体" w:eastAsia="宋体" w:cs="宋体"/>
          <w:sz w:val="32"/>
          <w:szCs w:val="32"/>
        </w:rPr>
        <w:t>国有资本经营预算财政拨款支出决算表</w:t>
      </w:r>
    </w:p>
    <w:tbl>
      <w:tblPr>
        <w:tblStyle w:val="12"/>
        <w:tblpPr w:leftFromText="180" w:rightFromText="180" w:vertAnchor="text" w:horzAnchor="page" w:tblpX="1433" w:tblpY="315"/>
        <w:tblOverlap w:val="never"/>
        <w:tblW w:w="5000" w:type="pct"/>
        <w:tblInd w:w="0" w:type="dxa"/>
        <w:tblLayout w:type="fixed"/>
        <w:tblCellMar>
          <w:top w:w="0" w:type="dxa"/>
          <w:left w:w="108" w:type="dxa"/>
          <w:bottom w:w="0" w:type="dxa"/>
          <w:right w:w="108" w:type="dxa"/>
        </w:tblCellMar>
      </w:tblPr>
      <w:tblGrid>
        <w:gridCol w:w="552"/>
        <w:gridCol w:w="236"/>
        <w:gridCol w:w="499"/>
        <w:gridCol w:w="2256"/>
        <w:gridCol w:w="3543"/>
        <w:gridCol w:w="3543"/>
        <w:gridCol w:w="3545"/>
      </w:tblGrid>
      <w:tr w14:paraId="11327EEC">
        <w:tblPrEx>
          <w:tblCellMar>
            <w:top w:w="0" w:type="dxa"/>
            <w:left w:w="108" w:type="dxa"/>
            <w:bottom w:w="0" w:type="dxa"/>
            <w:right w:w="108" w:type="dxa"/>
          </w:tblCellMar>
        </w:tblPrEx>
        <w:trPr>
          <w:trHeight w:val="306" w:hRule="exact"/>
        </w:trPr>
        <w:tc>
          <w:tcPr>
            <w:tcW w:w="194" w:type="pct"/>
            <w:tcBorders>
              <w:top w:val="nil"/>
              <w:left w:val="nil"/>
              <w:bottom w:val="nil"/>
              <w:right w:val="nil"/>
            </w:tcBorders>
            <w:noWrap/>
            <w:vAlign w:val="center"/>
          </w:tcPr>
          <w:p w14:paraId="12763A89">
            <w:pPr>
              <w:widowControl/>
              <w:snapToGrid w:val="0"/>
              <w:jc w:val="left"/>
              <w:rPr>
                <w:rFonts w:hint="eastAsia" w:ascii="宋体" w:hAnsi="宋体" w:cs="宋体"/>
                <w:kern w:val="0"/>
                <w:sz w:val="20"/>
                <w:szCs w:val="20"/>
              </w:rPr>
            </w:pPr>
          </w:p>
        </w:tc>
        <w:tc>
          <w:tcPr>
            <w:tcW w:w="83" w:type="pct"/>
            <w:tcBorders>
              <w:top w:val="nil"/>
              <w:left w:val="nil"/>
              <w:bottom w:val="nil"/>
              <w:right w:val="nil"/>
            </w:tcBorders>
            <w:noWrap/>
            <w:vAlign w:val="center"/>
          </w:tcPr>
          <w:p w14:paraId="62BB1D40">
            <w:pPr>
              <w:widowControl/>
              <w:snapToGrid w:val="0"/>
              <w:jc w:val="left"/>
              <w:rPr>
                <w:rFonts w:hint="eastAsia" w:ascii="宋体" w:hAnsi="宋体" w:cs="宋体"/>
                <w:kern w:val="0"/>
                <w:sz w:val="20"/>
                <w:szCs w:val="20"/>
              </w:rPr>
            </w:pPr>
          </w:p>
        </w:tc>
        <w:tc>
          <w:tcPr>
            <w:tcW w:w="176" w:type="pct"/>
            <w:tcBorders>
              <w:top w:val="nil"/>
              <w:left w:val="nil"/>
              <w:bottom w:val="nil"/>
              <w:right w:val="nil"/>
            </w:tcBorders>
            <w:noWrap/>
            <w:vAlign w:val="center"/>
          </w:tcPr>
          <w:p w14:paraId="401CADFF">
            <w:pPr>
              <w:widowControl/>
              <w:snapToGrid w:val="0"/>
              <w:jc w:val="left"/>
              <w:rPr>
                <w:rFonts w:hint="eastAsia" w:ascii="宋体" w:hAnsi="宋体" w:cs="宋体"/>
                <w:kern w:val="0"/>
                <w:sz w:val="20"/>
                <w:szCs w:val="20"/>
              </w:rPr>
            </w:pPr>
          </w:p>
        </w:tc>
        <w:tc>
          <w:tcPr>
            <w:tcW w:w="795" w:type="pct"/>
            <w:tcBorders>
              <w:top w:val="nil"/>
              <w:left w:val="nil"/>
              <w:bottom w:val="nil"/>
              <w:right w:val="nil"/>
            </w:tcBorders>
            <w:noWrap/>
            <w:vAlign w:val="center"/>
          </w:tcPr>
          <w:p w14:paraId="18FB5A22">
            <w:pPr>
              <w:widowControl/>
              <w:snapToGrid w:val="0"/>
              <w:jc w:val="left"/>
              <w:rPr>
                <w:rFonts w:hint="eastAsia" w:ascii="宋体" w:hAnsi="宋体" w:cs="宋体"/>
                <w:kern w:val="0"/>
                <w:sz w:val="20"/>
                <w:szCs w:val="20"/>
              </w:rPr>
            </w:pPr>
          </w:p>
        </w:tc>
        <w:tc>
          <w:tcPr>
            <w:tcW w:w="1249" w:type="pct"/>
            <w:vMerge w:val="restart"/>
            <w:tcBorders>
              <w:top w:val="nil"/>
              <w:left w:val="nil"/>
              <w:right w:val="nil"/>
            </w:tcBorders>
            <w:noWrap/>
            <w:vAlign w:val="center"/>
          </w:tcPr>
          <w:p w14:paraId="38C5EF9E">
            <w:pPr>
              <w:widowControl/>
              <w:snapToGrid w:val="0"/>
              <w:jc w:val="left"/>
              <w:rPr>
                <w:rFonts w:hint="eastAsia" w:ascii="宋体" w:hAnsi="宋体" w:cs="宋体"/>
                <w:kern w:val="0"/>
                <w:sz w:val="20"/>
                <w:szCs w:val="20"/>
              </w:rPr>
            </w:pPr>
          </w:p>
        </w:tc>
        <w:tc>
          <w:tcPr>
            <w:tcW w:w="1249" w:type="pct"/>
            <w:vMerge w:val="restart"/>
            <w:tcBorders>
              <w:top w:val="nil"/>
              <w:left w:val="nil"/>
              <w:right w:val="nil"/>
            </w:tcBorders>
            <w:noWrap/>
            <w:vAlign w:val="center"/>
          </w:tcPr>
          <w:p w14:paraId="5BD59D2F">
            <w:pPr>
              <w:widowControl/>
              <w:snapToGrid w:val="0"/>
              <w:jc w:val="left"/>
              <w:rPr>
                <w:rFonts w:hint="eastAsia" w:ascii="宋体" w:hAnsi="宋体" w:cs="宋体"/>
                <w:kern w:val="0"/>
                <w:sz w:val="20"/>
                <w:szCs w:val="20"/>
              </w:rPr>
            </w:pPr>
          </w:p>
        </w:tc>
        <w:tc>
          <w:tcPr>
            <w:tcW w:w="1250" w:type="pct"/>
            <w:vMerge w:val="restart"/>
            <w:tcBorders>
              <w:top w:val="nil"/>
              <w:left w:val="nil"/>
              <w:right w:val="nil"/>
            </w:tcBorders>
            <w:noWrap/>
            <w:vAlign w:val="center"/>
          </w:tcPr>
          <w:p w14:paraId="53CB0ECF">
            <w:pPr>
              <w:widowControl/>
              <w:snapToGrid w:val="0"/>
              <w:jc w:val="right"/>
              <w:rPr>
                <w:rFonts w:hint="eastAsia" w:ascii="宋体" w:hAnsi="宋体" w:cs="宋体"/>
                <w:kern w:val="0"/>
                <w:sz w:val="20"/>
                <w:szCs w:val="20"/>
              </w:rPr>
            </w:pPr>
            <w:r>
              <w:rPr>
                <w:rFonts w:hint="eastAsia" w:ascii="宋体" w:hAnsi="宋体" w:eastAsia="宋体" w:cs="Arial"/>
                <w:color w:val="000000"/>
                <w:kern w:val="0"/>
                <w:sz w:val="22"/>
                <w:szCs w:val="22"/>
              </w:rPr>
              <w:t>公开0</w:t>
            </w:r>
            <w:r>
              <w:rPr>
                <w:rFonts w:hint="eastAsia" w:ascii="宋体" w:hAnsi="宋体" w:eastAsia="宋体" w:cs="Arial"/>
                <w:color w:val="000000"/>
                <w:kern w:val="0"/>
                <w:sz w:val="22"/>
                <w:szCs w:val="22"/>
                <w:lang w:val="en-US" w:eastAsia="zh-CN"/>
              </w:rPr>
              <w:t>8</w:t>
            </w:r>
            <w:r>
              <w:rPr>
                <w:rFonts w:hint="eastAsia" w:ascii="宋体" w:hAnsi="宋体" w:eastAsia="宋体" w:cs="Arial"/>
                <w:color w:val="000000"/>
                <w:kern w:val="0"/>
                <w:sz w:val="22"/>
                <w:szCs w:val="22"/>
              </w:rPr>
              <w:t>表</w:t>
            </w:r>
          </w:p>
          <w:p w14:paraId="1E3B2125">
            <w:pPr>
              <w:widowControl/>
              <w:snapToGrid w:val="0"/>
              <w:jc w:val="right"/>
              <w:rPr>
                <w:rFonts w:hint="eastAsia" w:ascii="宋体" w:hAnsi="宋体" w:cs="宋体"/>
                <w:color w:val="000000"/>
                <w:kern w:val="0"/>
                <w:sz w:val="22"/>
              </w:rPr>
            </w:pPr>
            <w:r>
              <w:rPr>
                <w:rFonts w:hint="eastAsia" w:ascii="宋体" w:hAnsi="宋体" w:eastAsia="宋体" w:cs="Arial"/>
                <w:color w:val="000000"/>
                <w:kern w:val="0"/>
                <w:sz w:val="22"/>
                <w:szCs w:val="22"/>
              </w:rPr>
              <w:t>金额单位：万元</w:t>
            </w:r>
          </w:p>
        </w:tc>
      </w:tr>
      <w:tr w14:paraId="2332DB80">
        <w:tblPrEx>
          <w:tblCellMar>
            <w:top w:w="0" w:type="dxa"/>
            <w:left w:w="108" w:type="dxa"/>
            <w:bottom w:w="0" w:type="dxa"/>
            <w:right w:w="108" w:type="dxa"/>
          </w:tblCellMar>
        </w:tblPrEx>
        <w:trPr>
          <w:trHeight w:val="306" w:hRule="exact"/>
        </w:trPr>
        <w:tc>
          <w:tcPr>
            <w:tcW w:w="1249" w:type="pct"/>
            <w:gridSpan w:val="4"/>
            <w:tcBorders>
              <w:top w:val="nil"/>
              <w:left w:val="nil"/>
              <w:bottom w:val="nil"/>
              <w:right w:val="nil"/>
            </w:tcBorders>
            <w:noWrap/>
            <w:vAlign w:val="center"/>
          </w:tcPr>
          <w:p w14:paraId="424E6205">
            <w:pPr>
              <w:widowControl/>
              <w:snapToGrid w:val="0"/>
              <w:jc w:val="left"/>
              <w:rPr>
                <w:rFonts w:hint="eastAsia" w:ascii="宋体" w:hAnsi="宋体" w:cs="宋体"/>
                <w:color w:val="000000"/>
                <w:kern w:val="0"/>
                <w:sz w:val="22"/>
              </w:rPr>
            </w:pPr>
            <w:r>
              <w:rPr>
                <w:rFonts w:hint="eastAsia" w:ascii="宋体" w:hAnsi="宋体" w:eastAsia="宋体" w:cs="Arial"/>
                <w:color w:val="000000"/>
                <w:kern w:val="0"/>
                <w:sz w:val="22"/>
                <w:szCs w:val="22"/>
              </w:rPr>
              <w:t>部门：国家统计局吉林调查总队</w:t>
            </w:r>
          </w:p>
        </w:tc>
        <w:tc>
          <w:tcPr>
            <w:tcW w:w="1249" w:type="pct"/>
            <w:vMerge w:val="continue"/>
            <w:tcBorders>
              <w:left w:val="nil"/>
              <w:bottom w:val="nil"/>
              <w:right w:val="nil"/>
            </w:tcBorders>
            <w:noWrap/>
            <w:vAlign w:val="center"/>
          </w:tcPr>
          <w:p w14:paraId="6307FE8C">
            <w:pPr>
              <w:widowControl/>
              <w:snapToGrid w:val="0"/>
              <w:jc w:val="left"/>
              <w:rPr>
                <w:rFonts w:hint="eastAsia" w:ascii="宋体" w:hAnsi="宋体" w:cs="宋体"/>
                <w:kern w:val="0"/>
                <w:sz w:val="20"/>
                <w:szCs w:val="20"/>
              </w:rPr>
            </w:pPr>
          </w:p>
        </w:tc>
        <w:tc>
          <w:tcPr>
            <w:tcW w:w="1249" w:type="pct"/>
            <w:vMerge w:val="continue"/>
            <w:tcBorders>
              <w:left w:val="nil"/>
              <w:bottom w:val="nil"/>
              <w:right w:val="nil"/>
            </w:tcBorders>
            <w:noWrap/>
            <w:vAlign w:val="center"/>
          </w:tcPr>
          <w:p w14:paraId="0DA10D1C">
            <w:pPr>
              <w:widowControl/>
              <w:snapToGrid w:val="0"/>
              <w:jc w:val="left"/>
              <w:rPr>
                <w:rFonts w:hint="eastAsia" w:ascii="宋体" w:hAnsi="宋体" w:cs="宋体"/>
                <w:kern w:val="0"/>
                <w:sz w:val="20"/>
                <w:szCs w:val="20"/>
              </w:rPr>
            </w:pPr>
          </w:p>
        </w:tc>
        <w:tc>
          <w:tcPr>
            <w:tcW w:w="1250" w:type="pct"/>
            <w:vMerge w:val="continue"/>
            <w:tcBorders>
              <w:left w:val="nil"/>
              <w:bottom w:val="nil"/>
              <w:right w:val="nil"/>
            </w:tcBorders>
            <w:noWrap/>
            <w:vAlign w:val="center"/>
          </w:tcPr>
          <w:p w14:paraId="0106DDCE">
            <w:pPr>
              <w:widowControl/>
              <w:snapToGrid w:val="0"/>
              <w:jc w:val="right"/>
              <w:rPr>
                <w:rFonts w:hint="eastAsia" w:ascii="宋体" w:hAnsi="宋体" w:cs="宋体"/>
                <w:color w:val="000000"/>
                <w:kern w:val="0"/>
                <w:sz w:val="22"/>
              </w:rPr>
            </w:pPr>
          </w:p>
        </w:tc>
      </w:tr>
      <w:tr w14:paraId="220B93FE">
        <w:tblPrEx>
          <w:tblCellMar>
            <w:top w:w="0" w:type="dxa"/>
            <w:left w:w="108" w:type="dxa"/>
            <w:bottom w:w="0" w:type="dxa"/>
            <w:right w:w="108" w:type="dxa"/>
          </w:tblCellMar>
        </w:tblPrEx>
        <w:trPr>
          <w:trHeight w:val="631" w:hRule="exact"/>
        </w:trPr>
        <w:tc>
          <w:tcPr>
            <w:tcW w:w="1249" w:type="pct"/>
            <w:gridSpan w:val="4"/>
            <w:tcBorders>
              <w:top w:val="single" w:color="000000" w:sz="4" w:space="0"/>
              <w:left w:val="single" w:color="000000" w:sz="4" w:space="0"/>
              <w:bottom w:val="single" w:color="000000" w:sz="4" w:space="0"/>
              <w:right w:val="single" w:color="000000" w:sz="4" w:space="0"/>
            </w:tcBorders>
            <w:noWrap/>
            <w:vAlign w:val="center"/>
          </w:tcPr>
          <w:p w14:paraId="64066FA2">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项目</w:t>
            </w:r>
          </w:p>
        </w:tc>
        <w:tc>
          <w:tcPr>
            <w:tcW w:w="3750" w:type="pct"/>
            <w:gridSpan w:val="3"/>
            <w:tcBorders>
              <w:top w:val="single" w:color="000000" w:sz="4" w:space="0"/>
              <w:left w:val="nil"/>
              <w:bottom w:val="single" w:color="000000" w:sz="4" w:space="0"/>
              <w:right w:val="single" w:color="000000" w:sz="4" w:space="0"/>
            </w:tcBorders>
            <w:noWrap w:val="0"/>
            <w:vAlign w:val="center"/>
          </w:tcPr>
          <w:p w14:paraId="51E5C0D0">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本年支出</w:t>
            </w:r>
          </w:p>
        </w:tc>
      </w:tr>
      <w:tr w14:paraId="72D66B3A">
        <w:tblPrEx>
          <w:tblCellMar>
            <w:top w:w="0" w:type="dxa"/>
            <w:left w:w="108" w:type="dxa"/>
            <w:bottom w:w="0" w:type="dxa"/>
            <w:right w:w="108" w:type="dxa"/>
          </w:tblCellMar>
        </w:tblPrEx>
        <w:trPr>
          <w:trHeight w:val="312" w:hRule="exact"/>
        </w:trPr>
        <w:tc>
          <w:tcPr>
            <w:tcW w:w="454" w:type="pct"/>
            <w:gridSpan w:val="3"/>
            <w:vMerge w:val="restart"/>
            <w:tcBorders>
              <w:top w:val="nil"/>
              <w:left w:val="single" w:color="000000" w:sz="4" w:space="0"/>
              <w:bottom w:val="single" w:color="000000" w:sz="4" w:space="0"/>
              <w:right w:val="single" w:color="000000" w:sz="4" w:space="0"/>
            </w:tcBorders>
            <w:noWrap w:val="0"/>
            <w:vAlign w:val="center"/>
          </w:tcPr>
          <w:p w14:paraId="03958966">
            <w:pPr>
              <w:widowControl/>
              <w:jc w:val="center"/>
              <w:rPr>
                <w:rFonts w:hint="eastAsia" w:ascii="宋体" w:hAnsi="宋体" w:eastAsia="宋体" w:cs="Arial"/>
                <w:color w:val="000000"/>
                <w:kern w:val="0"/>
                <w:sz w:val="22"/>
                <w:lang w:eastAsia="zh-CN"/>
              </w:rPr>
            </w:pPr>
            <w:r>
              <w:rPr>
                <w:rFonts w:hint="eastAsia" w:ascii="宋体" w:hAnsi="宋体" w:eastAsia="宋体" w:cs="Arial"/>
                <w:color w:val="000000"/>
                <w:kern w:val="0"/>
                <w:sz w:val="22"/>
                <w:lang w:eastAsia="zh-CN"/>
              </w:rPr>
              <w:t>科目代码</w:t>
            </w:r>
          </w:p>
        </w:tc>
        <w:tc>
          <w:tcPr>
            <w:tcW w:w="795" w:type="pct"/>
            <w:vMerge w:val="restart"/>
            <w:tcBorders>
              <w:top w:val="nil"/>
              <w:left w:val="nil"/>
              <w:bottom w:val="single" w:color="000000" w:sz="4" w:space="0"/>
              <w:right w:val="single" w:color="000000" w:sz="4" w:space="0"/>
            </w:tcBorders>
            <w:noWrap/>
            <w:vAlign w:val="center"/>
          </w:tcPr>
          <w:p w14:paraId="65FFBB0F">
            <w:pPr>
              <w:widowControl/>
              <w:jc w:val="center"/>
              <w:rPr>
                <w:rFonts w:hint="eastAsia" w:ascii="宋体" w:hAnsi="宋体" w:eastAsia="宋体" w:cs="Arial"/>
                <w:color w:val="000000"/>
                <w:kern w:val="0"/>
                <w:sz w:val="22"/>
                <w:lang w:eastAsia="zh-CN"/>
              </w:rPr>
            </w:pPr>
            <w:r>
              <w:rPr>
                <w:rFonts w:hint="eastAsia" w:ascii="宋体" w:hAnsi="宋体" w:eastAsia="宋体" w:cs="Arial"/>
                <w:color w:val="000000"/>
                <w:kern w:val="0"/>
                <w:sz w:val="22"/>
              </w:rPr>
              <w:t>科目名称</w:t>
            </w:r>
          </w:p>
        </w:tc>
        <w:tc>
          <w:tcPr>
            <w:tcW w:w="1249" w:type="pct"/>
            <w:vMerge w:val="restart"/>
            <w:tcBorders>
              <w:top w:val="nil"/>
              <w:left w:val="nil"/>
              <w:bottom w:val="single" w:color="000000" w:sz="4" w:space="0"/>
              <w:right w:val="single" w:color="000000" w:sz="4" w:space="0"/>
            </w:tcBorders>
            <w:noWrap w:val="0"/>
            <w:vAlign w:val="center"/>
          </w:tcPr>
          <w:p w14:paraId="64FDC84D">
            <w:pPr>
              <w:widowControl/>
              <w:jc w:val="center"/>
              <w:rPr>
                <w:rFonts w:hint="eastAsia" w:ascii="宋体" w:hAnsi="宋体" w:eastAsia="宋体" w:cs="Arial"/>
                <w:color w:val="000000"/>
                <w:kern w:val="0"/>
                <w:sz w:val="22"/>
                <w:szCs w:val="22"/>
                <w:lang w:val="en-US" w:eastAsia="zh-CN" w:bidi="ar-SA"/>
              </w:rPr>
            </w:pPr>
            <w:r>
              <w:rPr>
                <w:rFonts w:hint="eastAsia" w:ascii="宋体" w:hAnsi="宋体" w:eastAsia="宋体" w:cs="Arial"/>
                <w:color w:val="000000"/>
                <w:kern w:val="0"/>
                <w:sz w:val="22"/>
                <w:lang w:eastAsia="zh-CN"/>
              </w:rPr>
              <w:t>合计</w:t>
            </w:r>
          </w:p>
        </w:tc>
        <w:tc>
          <w:tcPr>
            <w:tcW w:w="1249" w:type="pct"/>
            <w:vMerge w:val="restart"/>
            <w:tcBorders>
              <w:top w:val="nil"/>
              <w:left w:val="nil"/>
              <w:bottom w:val="single" w:color="000000" w:sz="4" w:space="0"/>
              <w:right w:val="single" w:color="000000" w:sz="4" w:space="0"/>
            </w:tcBorders>
            <w:noWrap w:val="0"/>
            <w:vAlign w:val="center"/>
          </w:tcPr>
          <w:p w14:paraId="21F64859">
            <w:pPr>
              <w:widowControl/>
              <w:jc w:val="center"/>
              <w:rPr>
                <w:rFonts w:hint="eastAsia" w:ascii="宋体" w:hAnsi="宋体" w:eastAsia="宋体" w:cs="Arial"/>
                <w:color w:val="000000"/>
                <w:kern w:val="0"/>
                <w:sz w:val="22"/>
                <w:szCs w:val="22"/>
                <w:lang w:val="en-US" w:eastAsia="zh-CN" w:bidi="ar-SA"/>
              </w:rPr>
            </w:pPr>
            <w:r>
              <w:rPr>
                <w:rFonts w:hint="eastAsia" w:ascii="宋体" w:hAnsi="宋体" w:eastAsia="宋体" w:cs="Arial"/>
                <w:color w:val="000000"/>
                <w:kern w:val="0"/>
                <w:sz w:val="22"/>
              </w:rPr>
              <w:t>基本支出</w:t>
            </w:r>
          </w:p>
        </w:tc>
        <w:tc>
          <w:tcPr>
            <w:tcW w:w="1250" w:type="pct"/>
            <w:vMerge w:val="restart"/>
            <w:tcBorders>
              <w:top w:val="nil"/>
              <w:left w:val="nil"/>
              <w:bottom w:val="single" w:color="000000" w:sz="4" w:space="0"/>
              <w:right w:val="single" w:color="000000" w:sz="4" w:space="0"/>
            </w:tcBorders>
            <w:noWrap w:val="0"/>
            <w:vAlign w:val="center"/>
          </w:tcPr>
          <w:p w14:paraId="066F95B2">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项目支出</w:t>
            </w:r>
          </w:p>
        </w:tc>
      </w:tr>
      <w:tr w14:paraId="5406C526">
        <w:tblPrEx>
          <w:tblCellMar>
            <w:top w:w="0" w:type="dxa"/>
            <w:left w:w="108" w:type="dxa"/>
            <w:bottom w:w="0" w:type="dxa"/>
            <w:right w:w="108" w:type="dxa"/>
          </w:tblCellMar>
        </w:tblPrEx>
        <w:trPr>
          <w:trHeight w:val="312" w:hRule="exact"/>
        </w:trPr>
        <w:tc>
          <w:tcPr>
            <w:tcW w:w="454" w:type="pct"/>
            <w:gridSpan w:val="3"/>
            <w:vMerge w:val="continue"/>
            <w:tcBorders>
              <w:top w:val="nil"/>
              <w:left w:val="single" w:color="000000" w:sz="4" w:space="0"/>
              <w:bottom w:val="single" w:color="000000" w:sz="4" w:space="0"/>
              <w:right w:val="single" w:color="000000" w:sz="4" w:space="0"/>
            </w:tcBorders>
            <w:noWrap w:val="0"/>
            <w:vAlign w:val="center"/>
          </w:tcPr>
          <w:p w14:paraId="0C43AB89">
            <w:pPr>
              <w:widowControl/>
              <w:snapToGrid w:val="0"/>
              <w:jc w:val="left"/>
              <w:rPr>
                <w:rFonts w:hint="eastAsia" w:ascii="宋体" w:hAnsi="宋体" w:cs="宋体"/>
                <w:color w:val="000000"/>
                <w:kern w:val="0"/>
                <w:sz w:val="22"/>
              </w:rPr>
            </w:pPr>
          </w:p>
        </w:tc>
        <w:tc>
          <w:tcPr>
            <w:tcW w:w="795" w:type="pct"/>
            <w:vMerge w:val="continue"/>
            <w:tcBorders>
              <w:top w:val="nil"/>
              <w:left w:val="nil"/>
              <w:bottom w:val="single" w:color="000000" w:sz="4" w:space="0"/>
              <w:right w:val="single" w:color="000000" w:sz="4" w:space="0"/>
            </w:tcBorders>
            <w:noWrap w:val="0"/>
            <w:vAlign w:val="center"/>
          </w:tcPr>
          <w:p w14:paraId="64607864">
            <w:pPr>
              <w:widowControl/>
              <w:snapToGrid w:val="0"/>
              <w:jc w:val="left"/>
              <w:rPr>
                <w:rFonts w:hint="eastAsia" w:ascii="宋体" w:hAnsi="宋体" w:cs="宋体"/>
                <w:color w:val="000000"/>
                <w:kern w:val="0"/>
                <w:sz w:val="22"/>
              </w:rPr>
            </w:pPr>
          </w:p>
        </w:tc>
        <w:tc>
          <w:tcPr>
            <w:tcW w:w="1249" w:type="pct"/>
            <w:vMerge w:val="continue"/>
            <w:tcBorders>
              <w:top w:val="nil"/>
              <w:left w:val="nil"/>
              <w:bottom w:val="single" w:color="000000" w:sz="4" w:space="0"/>
              <w:right w:val="single" w:color="000000" w:sz="4" w:space="0"/>
            </w:tcBorders>
            <w:noWrap w:val="0"/>
            <w:vAlign w:val="center"/>
          </w:tcPr>
          <w:p w14:paraId="4ABA3536">
            <w:pPr>
              <w:widowControl/>
              <w:snapToGrid w:val="0"/>
              <w:jc w:val="left"/>
              <w:rPr>
                <w:rFonts w:hint="eastAsia" w:ascii="宋体" w:hAnsi="宋体" w:cs="宋体"/>
                <w:color w:val="000000"/>
                <w:kern w:val="0"/>
                <w:sz w:val="22"/>
              </w:rPr>
            </w:pPr>
          </w:p>
        </w:tc>
        <w:tc>
          <w:tcPr>
            <w:tcW w:w="1249" w:type="pct"/>
            <w:vMerge w:val="continue"/>
            <w:tcBorders>
              <w:top w:val="nil"/>
              <w:left w:val="nil"/>
              <w:bottom w:val="single" w:color="000000" w:sz="4" w:space="0"/>
              <w:right w:val="single" w:color="000000" w:sz="4" w:space="0"/>
            </w:tcBorders>
            <w:noWrap w:val="0"/>
            <w:vAlign w:val="center"/>
          </w:tcPr>
          <w:p w14:paraId="5E0A4E02">
            <w:pPr>
              <w:widowControl/>
              <w:snapToGrid w:val="0"/>
              <w:jc w:val="left"/>
              <w:rPr>
                <w:rFonts w:hint="eastAsia" w:ascii="宋体" w:hAnsi="宋体" w:cs="宋体"/>
                <w:color w:val="000000"/>
                <w:kern w:val="0"/>
                <w:sz w:val="22"/>
              </w:rPr>
            </w:pPr>
          </w:p>
        </w:tc>
        <w:tc>
          <w:tcPr>
            <w:tcW w:w="1250" w:type="pct"/>
            <w:vMerge w:val="continue"/>
            <w:tcBorders>
              <w:top w:val="nil"/>
              <w:left w:val="nil"/>
              <w:bottom w:val="single" w:color="000000" w:sz="4" w:space="0"/>
              <w:right w:val="single" w:color="000000" w:sz="4" w:space="0"/>
            </w:tcBorders>
            <w:noWrap w:val="0"/>
            <w:vAlign w:val="center"/>
          </w:tcPr>
          <w:p w14:paraId="25CFA4E6">
            <w:pPr>
              <w:widowControl/>
              <w:snapToGrid w:val="0"/>
              <w:jc w:val="left"/>
              <w:rPr>
                <w:rFonts w:hint="eastAsia" w:ascii="宋体" w:hAnsi="宋体" w:cs="宋体"/>
                <w:color w:val="000000"/>
                <w:kern w:val="0"/>
                <w:sz w:val="22"/>
              </w:rPr>
            </w:pPr>
          </w:p>
        </w:tc>
      </w:tr>
      <w:tr w14:paraId="17D53FBC">
        <w:tblPrEx>
          <w:tblCellMar>
            <w:top w:w="0" w:type="dxa"/>
            <w:left w:w="108" w:type="dxa"/>
            <w:bottom w:w="0" w:type="dxa"/>
            <w:right w:w="108" w:type="dxa"/>
          </w:tblCellMar>
        </w:tblPrEx>
        <w:trPr>
          <w:trHeight w:val="312" w:hRule="exact"/>
        </w:trPr>
        <w:tc>
          <w:tcPr>
            <w:tcW w:w="454" w:type="pct"/>
            <w:gridSpan w:val="3"/>
            <w:vMerge w:val="continue"/>
            <w:tcBorders>
              <w:top w:val="nil"/>
              <w:left w:val="single" w:color="000000" w:sz="4" w:space="0"/>
              <w:bottom w:val="single" w:color="000000" w:sz="4" w:space="0"/>
              <w:right w:val="single" w:color="000000" w:sz="4" w:space="0"/>
            </w:tcBorders>
            <w:noWrap w:val="0"/>
            <w:vAlign w:val="center"/>
          </w:tcPr>
          <w:p w14:paraId="6508F9B3">
            <w:pPr>
              <w:widowControl/>
              <w:snapToGrid w:val="0"/>
              <w:jc w:val="left"/>
              <w:rPr>
                <w:rFonts w:hint="eastAsia" w:ascii="宋体" w:hAnsi="宋体" w:cs="宋体"/>
                <w:color w:val="000000"/>
                <w:kern w:val="0"/>
                <w:sz w:val="22"/>
              </w:rPr>
            </w:pPr>
          </w:p>
        </w:tc>
        <w:tc>
          <w:tcPr>
            <w:tcW w:w="795" w:type="pct"/>
            <w:vMerge w:val="continue"/>
            <w:tcBorders>
              <w:top w:val="nil"/>
              <w:left w:val="nil"/>
              <w:bottom w:val="single" w:color="000000" w:sz="4" w:space="0"/>
              <w:right w:val="single" w:color="000000" w:sz="4" w:space="0"/>
            </w:tcBorders>
            <w:noWrap w:val="0"/>
            <w:vAlign w:val="center"/>
          </w:tcPr>
          <w:p w14:paraId="304968B8">
            <w:pPr>
              <w:widowControl/>
              <w:snapToGrid w:val="0"/>
              <w:jc w:val="left"/>
              <w:rPr>
                <w:rFonts w:hint="eastAsia" w:ascii="宋体" w:hAnsi="宋体" w:cs="宋体"/>
                <w:color w:val="000000"/>
                <w:kern w:val="0"/>
                <w:sz w:val="22"/>
              </w:rPr>
            </w:pPr>
          </w:p>
        </w:tc>
        <w:tc>
          <w:tcPr>
            <w:tcW w:w="1249" w:type="pct"/>
            <w:vMerge w:val="continue"/>
            <w:tcBorders>
              <w:top w:val="nil"/>
              <w:left w:val="nil"/>
              <w:bottom w:val="single" w:color="000000" w:sz="4" w:space="0"/>
              <w:right w:val="single" w:color="000000" w:sz="4" w:space="0"/>
            </w:tcBorders>
            <w:noWrap w:val="0"/>
            <w:vAlign w:val="center"/>
          </w:tcPr>
          <w:p w14:paraId="3421D9C2">
            <w:pPr>
              <w:widowControl/>
              <w:snapToGrid w:val="0"/>
              <w:jc w:val="left"/>
              <w:rPr>
                <w:rFonts w:hint="eastAsia" w:ascii="宋体" w:hAnsi="宋体" w:cs="宋体"/>
                <w:color w:val="000000"/>
                <w:kern w:val="0"/>
                <w:sz w:val="22"/>
              </w:rPr>
            </w:pPr>
          </w:p>
        </w:tc>
        <w:tc>
          <w:tcPr>
            <w:tcW w:w="1249" w:type="pct"/>
            <w:vMerge w:val="continue"/>
            <w:tcBorders>
              <w:top w:val="nil"/>
              <w:left w:val="nil"/>
              <w:bottom w:val="single" w:color="000000" w:sz="4" w:space="0"/>
              <w:right w:val="single" w:color="000000" w:sz="4" w:space="0"/>
            </w:tcBorders>
            <w:noWrap w:val="0"/>
            <w:vAlign w:val="center"/>
          </w:tcPr>
          <w:p w14:paraId="194E299B">
            <w:pPr>
              <w:widowControl/>
              <w:snapToGrid w:val="0"/>
              <w:jc w:val="left"/>
              <w:rPr>
                <w:rFonts w:hint="eastAsia" w:ascii="宋体" w:hAnsi="宋体" w:cs="宋体"/>
                <w:color w:val="000000"/>
                <w:kern w:val="0"/>
                <w:sz w:val="22"/>
              </w:rPr>
            </w:pPr>
          </w:p>
        </w:tc>
        <w:tc>
          <w:tcPr>
            <w:tcW w:w="1250" w:type="pct"/>
            <w:vMerge w:val="continue"/>
            <w:tcBorders>
              <w:top w:val="nil"/>
              <w:left w:val="nil"/>
              <w:bottom w:val="single" w:color="000000" w:sz="4" w:space="0"/>
              <w:right w:val="single" w:color="000000" w:sz="4" w:space="0"/>
            </w:tcBorders>
            <w:noWrap w:val="0"/>
            <w:vAlign w:val="center"/>
          </w:tcPr>
          <w:p w14:paraId="0E2B23D2">
            <w:pPr>
              <w:widowControl/>
              <w:snapToGrid w:val="0"/>
              <w:jc w:val="left"/>
              <w:rPr>
                <w:rFonts w:hint="eastAsia" w:ascii="宋体" w:hAnsi="宋体" w:cs="宋体"/>
                <w:color w:val="000000"/>
                <w:kern w:val="0"/>
                <w:sz w:val="22"/>
              </w:rPr>
            </w:pPr>
          </w:p>
        </w:tc>
      </w:tr>
      <w:tr w14:paraId="246417A4">
        <w:tblPrEx>
          <w:tblCellMar>
            <w:top w:w="0" w:type="dxa"/>
            <w:left w:w="108" w:type="dxa"/>
            <w:bottom w:w="0" w:type="dxa"/>
            <w:right w:w="108" w:type="dxa"/>
          </w:tblCellMar>
        </w:tblPrEx>
        <w:trPr>
          <w:trHeight w:val="521" w:hRule="exact"/>
        </w:trPr>
        <w:tc>
          <w:tcPr>
            <w:tcW w:w="1249" w:type="pct"/>
            <w:gridSpan w:val="4"/>
            <w:tcBorders>
              <w:top w:val="nil"/>
              <w:left w:val="single" w:color="000000" w:sz="4" w:space="0"/>
              <w:bottom w:val="single" w:color="000000" w:sz="4" w:space="0"/>
              <w:right w:val="single" w:color="auto" w:sz="4" w:space="0"/>
            </w:tcBorders>
            <w:noWrap/>
            <w:vAlign w:val="center"/>
          </w:tcPr>
          <w:p w14:paraId="765BC183">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栏次</w:t>
            </w:r>
          </w:p>
        </w:tc>
        <w:tc>
          <w:tcPr>
            <w:tcW w:w="1249" w:type="pct"/>
            <w:tcBorders>
              <w:top w:val="nil"/>
              <w:left w:val="nil"/>
              <w:bottom w:val="single" w:color="000000" w:sz="4" w:space="0"/>
              <w:right w:val="single" w:color="000000" w:sz="4" w:space="0"/>
            </w:tcBorders>
            <w:noWrap/>
            <w:vAlign w:val="center"/>
          </w:tcPr>
          <w:p w14:paraId="29E7D08B">
            <w:pPr>
              <w:widowControl/>
              <w:snapToGrid w:val="0"/>
              <w:jc w:val="center"/>
              <w:rPr>
                <w:rFonts w:hint="eastAsia" w:ascii="宋体" w:hAnsi="宋体" w:cs="宋体"/>
                <w:color w:val="000000"/>
                <w:kern w:val="0"/>
                <w:sz w:val="22"/>
                <w:lang w:val="en"/>
              </w:rPr>
            </w:pPr>
            <w:r>
              <w:rPr>
                <w:rFonts w:hint="eastAsia" w:ascii="宋体" w:hAnsi="宋体" w:cs="宋体"/>
              </w:rPr>
              <w:pict>
                <v:shape id="_x0000_s1028" o:spid="_x0000_s1028" o:spt="202" type="#_x0000_t202" style="position:absolute;left:0pt;margin-left:128.45pt;margin-top:17.75pt;height:119.25pt;width:108pt;z-index:251660288;mso-width-relative:page;mso-height-relative:page;" filled="f" stroked="f" coordsize="21600,21600" o:gfxdata="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FgAAAGRycy9QSwECFAAUAAAACACHTuJASaL+WdUAAAAIAQAADwAA&#10;AAAAAAABACAAAAA4AAAAZHJzL2Rvd25yZXYueG1sUEsBAhQAFAAAAAgAh07iQOJOG+3KAQAAaAMA&#10;AA4AAAAAAAAAAQAgAAAAOgEAAGRycy9lMm9Eb2MueG1sUEsFBgAAAAAGAAYAWQEAAHYFAAAAAA==&#10;">
                  <v:path/>
                  <v:fill on="f" focussize="0,0"/>
                  <v:stroke on="f"/>
                  <v:imagedata o:title=""/>
                  <o:lock v:ext="edit" aspectratio="f"/>
                  <v:textbox>
                    <w:txbxContent>
                      <w:p w14:paraId="00D56C7D">
                        <w:pPr>
                          <w:pStyle w:val="11"/>
                          <w:spacing w:before="0" w:beforeAutospacing="0" w:after="0" w:afterAutospacing="0"/>
                        </w:pPr>
                        <w:r>
                          <w:rPr>
                            <w:rFonts w:hint="eastAsia" w:cs="Times New Roman"/>
                            <w:color w:val="000000"/>
                            <w:sz w:val="144"/>
                            <w:szCs w:val="144"/>
                          </w:rPr>
                          <w:t>无</w:t>
                        </w:r>
                      </w:p>
                    </w:txbxContent>
                  </v:textbox>
                </v:shape>
              </w:pict>
            </w:r>
            <w:r>
              <w:rPr>
                <w:rFonts w:hint="eastAsia" w:ascii="宋体" w:hAnsi="宋体" w:cs="宋体"/>
                <w:color w:val="000000"/>
                <w:kern w:val="0"/>
                <w:sz w:val="22"/>
                <w:lang w:val="en"/>
              </w:rPr>
              <w:t>1</w:t>
            </w:r>
          </w:p>
        </w:tc>
        <w:tc>
          <w:tcPr>
            <w:tcW w:w="1249" w:type="pct"/>
            <w:tcBorders>
              <w:top w:val="nil"/>
              <w:left w:val="nil"/>
              <w:bottom w:val="single" w:color="000000" w:sz="4" w:space="0"/>
              <w:right w:val="single" w:color="000000" w:sz="4" w:space="0"/>
            </w:tcBorders>
            <w:noWrap/>
            <w:vAlign w:val="center"/>
          </w:tcPr>
          <w:p w14:paraId="6BE9D93C">
            <w:pPr>
              <w:widowControl/>
              <w:snapToGrid w:val="0"/>
              <w:jc w:val="center"/>
              <w:rPr>
                <w:rFonts w:hint="eastAsia" w:ascii="宋体" w:hAnsi="宋体" w:cs="宋体"/>
                <w:color w:val="000000"/>
                <w:kern w:val="0"/>
                <w:sz w:val="22"/>
                <w:lang w:val="en"/>
              </w:rPr>
            </w:pPr>
            <w:r>
              <w:rPr>
                <w:rFonts w:hint="eastAsia" w:ascii="宋体" w:hAnsi="宋体" w:cs="宋体"/>
                <w:color w:val="000000"/>
                <w:kern w:val="0"/>
                <w:sz w:val="22"/>
                <w:lang w:val="en"/>
              </w:rPr>
              <w:t>2</w:t>
            </w:r>
          </w:p>
        </w:tc>
        <w:tc>
          <w:tcPr>
            <w:tcW w:w="1250" w:type="pct"/>
            <w:tcBorders>
              <w:top w:val="nil"/>
              <w:left w:val="nil"/>
              <w:bottom w:val="single" w:color="000000" w:sz="4" w:space="0"/>
              <w:right w:val="single" w:color="000000" w:sz="4" w:space="0"/>
            </w:tcBorders>
            <w:noWrap/>
            <w:vAlign w:val="center"/>
          </w:tcPr>
          <w:p w14:paraId="6EA292EF">
            <w:pPr>
              <w:widowControl/>
              <w:snapToGrid w:val="0"/>
              <w:jc w:val="center"/>
              <w:rPr>
                <w:rFonts w:hint="eastAsia" w:ascii="宋体" w:hAnsi="宋体" w:cs="宋体"/>
                <w:color w:val="000000"/>
                <w:kern w:val="0"/>
                <w:sz w:val="22"/>
                <w:lang w:val="en"/>
              </w:rPr>
            </w:pPr>
            <w:r>
              <w:rPr>
                <w:rFonts w:hint="eastAsia" w:ascii="宋体" w:hAnsi="宋体" w:cs="宋体"/>
                <w:color w:val="000000"/>
                <w:kern w:val="0"/>
                <w:sz w:val="22"/>
                <w:lang w:val="en"/>
              </w:rPr>
              <w:t>3</w:t>
            </w:r>
          </w:p>
        </w:tc>
      </w:tr>
      <w:tr w14:paraId="300D2F60">
        <w:tblPrEx>
          <w:tblCellMar>
            <w:top w:w="0" w:type="dxa"/>
            <w:left w:w="108" w:type="dxa"/>
            <w:bottom w:w="0" w:type="dxa"/>
            <w:right w:w="108" w:type="dxa"/>
          </w:tblCellMar>
        </w:tblPrEx>
        <w:trPr>
          <w:trHeight w:val="626" w:hRule="exact"/>
        </w:trPr>
        <w:tc>
          <w:tcPr>
            <w:tcW w:w="1249" w:type="pct"/>
            <w:gridSpan w:val="4"/>
            <w:tcBorders>
              <w:top w:val="nil"/>
              <w:left w:val="single" w:color="000000" w:sz="4" w:space="0"/>
              <w:bottom w:val="single" w:color="000000" w:sz="4" w:space="0"/>
              <w:right w:val="single" w:color="auto" w:sz="4" w:space="0"/>
            </w:tcBorders>
            <w:noWrap/>
            <w:vAlign w:val="center"/>
          </w:tcPr>
          <w:p w14:paraId="252C310E">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合计</w:t>
            </w:r>
          </w:p>
        </w:tc>
        <w:tc>
          <w:tcPr>
            <w:tcW w:w="1249" w:type="pct"/>
            <w:tcBorders>
              <w:top w:val="nil"/>
              <w:left w:val="nil"/>
              <w:bottom w:val="single" w:color="000000" w:sz="4" w:space="0"/>
              <w:right w:val="single" w:color="000000" w:sz="4" w:space="0"/>
            </w:tcBorders>
            <w:noWrap/>
            <w:vAlign w:val="center"/>
          </w:tcPr>
          <w:p w14:paraId="57F562B6">
            <w:pPr>
              <w:widowControl/>
              <w:snapToGrid w:val="0"/>
              <w:jc w:val="right"/>
              <w:rPr>
                <w:rFonts w:hint="eastAsia" w:ascii="宋体" w:hAnsi="宋体" w:cs="宋体"/>
                <w:b/>
                <w:bCs/>
                <w:color w:val="000000"/>
                <w:kern w:val="0"/>
                <w:sz w:val="22"/>
              </w:rPr>
            </w:pPr>
            <w:r>
              <w:rPr>
                <w:rFonts w:hint="eastAsia" w:ascii="宋体" w:hAnsi="宋体" w:cs="宋体"/>
                <w:b/>
                <w:bCs/>
                <w:color w:val="000000"/>
                <w:kern w:val="0"/>
                <w:sz w:val="22"/>
              </w:rPr>
              <w:t>　</w:t>
            </w:r>
          </w:p>
        </w:tc>
        <w:tc>
          <w:tcPr>
            <w:tcW w:w="1249" w:type="pct"/>
            <w:tcBorders>
              <w:top w:val="nil"/>
              <w:left w:val="nil"/>
              <w:bottom w:val="single" w:color="000000" w:sz="4" w:space="0"/>
              <w:right w:val="single" w:color="000000" w:sz="4" w:space="0"/>
            </w:tcBorders>
            <w:noWrap/>
            <w:vAlign w:val="center"/>
          </w:tcPr>
          <w:p w14:paraId="07210639">
            <w:pPr>
              <w:widowControl/>
              <w:snapToGrid w:val="0"/>
              <w:jc w:val="right"/>
              <w:rPr>
                <w:rFonts w:hint="eastAsia" w:ascii="宋体" w:hAnsi="宋体" w:cs="宋体"/>
                <w:b/>
                <w:bCs/>
                <w:color w:val="000000"/>
                <w:kern w:val="0"/>
                <w:sz w:val="22"/>
              </w:rPr>
            </w:pPr>
            <w:r>
              <w:rPr>
                <w:rFonts w:hint="eastAsia" w:ascii="宋体" w:hAnsi="宋体" w:cs="宋体"/>
                <w:b/>
                <w:bCs/>
                <w:color w:val="000000"/>
                <w:kern w:val="0"/>
                <w:sz w:val="22"/>
              </w:rPr>
              <w:t>　</w:t>
            </w:r>
          </w:p>
        </w:tc>
        <w:tc>
          <w:tcPr>
            <w:tcW w:w="1250" w:type="pct"/>
            <w:tcBorders>
              <w:top w:val="nil"/>
              <w:left w:val="nil"/>
              <w:bottom w:val="single" w:color="000000" w:sz="4" w:space="0"/>
              <w:right w:val="single" w:color="000000" w:sz="4" w:space="0"/>
            </w:tcBorders>
            <w:noWrap/>
            <w:vAlign w:val="center"/>
          </w:tcPr>
          <w:p w14:paraId="725E0308">
            <w:pPr>
              <w:widowControl/>
              <w:snapToGrid w:val="0"/>
              <w:jc w:val="right"/>
              <w:rPr>
                <w:rFonts w:hint="eastAsia" w:ascii="宋体" w:hAnsi="宋体" w:cs="宋体"/>
                <w:b/>
                <w:bCs/>
                <w:color w:val="000000"/>
                <w:kern w:val="0"/>
                <w:sz w:val="22"/>
              </w:rPr>
            </w:pPr>
            <w:r>
              <w:rPr>
                <w:rFonts w:hint="eastAsia" w:ascii="宋体" w:hAnsi="宋体" w:cs="宋体"/>
                <w:b/>
                <w:bCs/>
                <w:color w:val="000000"/>
                <w:kern w:val="0"/>
                <w:sz w:val="22"/>
              </w:rPr>
              <w:t>　</w:t>
            </w:r>
          </w:p>
        </w:tc>
      </w:tr>
      <w:tr w14:paraId="52408DA5">
        <w:tblPrEx>
          <w:tblCellMar>
            <w:top w:w="0" w:type="dxa"/>
            <w:left w:w="108" w:type="dxa"/>
            <w:bottom w:w="0" w:type="dxa"/>
            <w:right w:w="108" w:type="dxa"/>
          </w:tblCellMar>
        </w:tblPrEx>
        <w:trPr>
          <w:trHeight w:val="306" w:hRule="exact"/>
        </w:trPr>
        <w:tc>
          <w:tcPr>
            <w:tcW w:w="454" w:type="pct"/>
            <w:gridSpan w:val="3"/>
            <w:tcBorders>
              <w:top w:val="nil"/>
              <w:left w:val="single" w:color="000000" w:sz="4" w:space="0"/>
              <w:bottom w:val="single" w:color="000000" w:sz="4" w:space="0"/>
              <w:right w:val="single" w:color="000000" w:sz="4" w:space="0"/>
            </w:tcBorders>
            <w:noWrap/>
            <w:vAlign w:val="center"/>
          </w:tcPr>
          <w:p w14:paraId="2F4242D3">
            <w:pPr>
              <w:widowControl/>
              <w:snapToGrid w:val="0"/>
              <w:jc w:val="left"/>
              <w:rPr>
                <w:rFonts w:hint="eastAsia" w:ascii="宋体" w:hAnsi="宋体" w:cs="宋体"/>
                <w:color w:val="000000"/>
                <w:kern w:val="0"/>
                <w:sz w:val="22"/>
              </w:rPr>
            </w:pPr>
            <w:r>
              <w:rPr>
                <w:rFonts w:hint="eastAsia" w:ascii="宋体" w:hAnsi="宋体" w:cs="宋体"/>
                <w:color w:val="000000"/>
                <w:kern w:val="0"/>
                <w:sz w:val="22"/>
              </w:rPr>
              <w:t>　</w:t>
            </w:r>
          </w:p>
        </w:tc>
        <w:tc>
          <w:tcPr>
            <w:tcW w:w="795" w:type="pct"/>
            <w:tcBorders>
              <w:top w:val="nil"/>
              <w:left w:val="nil"/>
              <w:bottom w:val="single" w:color="000000" w:sz="4" w:space="0"/>
              <w:right w:val="single" w:color="000000" w:sz="4" w:space="0"/>
            </w:tcBorders>
            <w:noWrap/>
            <w:vAlign w:val="center"/>
          </w:tcPr>
          <w:p w14:paraId="05025632">
            <w:pPr>
              <w:widowControl/>
              <w:snapToGrid w:val="0"/>
              <w:jc w:val="left"/>
              <w:rPr>
                <w:rFonts w:hint="eastAsia" w:ascii="宋体" w:hAnsi="宋体" w:cs="宋体"/>
                <w:color w:val="000000"/>
                <w:kern w:val="0"/>
                <w:sz w:val="22"/>
              </w:rPr>
            </w:pPr>
            <w:r>
              <w:rPr>
                <w:rFonts w:hint="eastAsia" w:ascii="宋体" w:hAnsi="宋体" w:cs="宋体"/>
                <w:color w:val="000000"/>
                <w:kern w:val="0"/>
                <w:sz w:val="22"/>
              </w:rPr>
              <w:t>　</w:t>
            </w:r>
          </w:p>
        </w:tc>
        <w:tc>
          <w:tcPr>
            <w:tcW w:w="1249" w:type="pct"/>
            <w:tcBorders>
              <w:top w:val="nil"/>
              <w:left w:val="nil"/>
              <w:bottom w:val="single" w:color="000000" w:sz="4" w:space="0"/>
              <w:right w:val="single" w:color="000000" w:sz="4" w:space="0"/>
            </w:tcBorders>
            <w:noWrap/>
            <w:vAlign w:val="center"/>
          </w:tcPr>
          <w:p w14:paraId="0B1EB9DA">
            <w:pPr>
              <w:widowControl/>
              <w:snapToGrid w:val="0"/>
              <w:jc w:val="right"/>
              <w:rPr>
                <w:rFonts w:hint="eastAsia" w:ascii="宋体" w:hAnsi="宋体" w:cs="宋体"/>
                <w:color w:val="000000"/>
                <w:kern w:val="0"/>
                <w:sz w:val="22"/>
              </w:rPr>
            </w:pPr>
            <w:r>
              <w:rPr>
                <w:rFonts w:hint="eastAsia" w:ascii="宋体" w:hAnsi="宋体" w:cs="宋体"/>
                <w:color w:val="000000"/>
                <w:kern w:val="0"/>
                <w:sz w:val="22"/>
              </w:rPr>
              <w:t>　</w:t>
            </w:r>
          </w:p>
        </w:tc>
        <w:tc>
          <w:tcPr>
            <w:tcW w:w="1249" w:type="pct"/>
            <w:tcBorders>
              <w:top w:val="nil"/>
              <w:left w:val="nil"/>
              <w:bottom w:val="single" w:color="000000" w:sz="4" w:space="0"/>
              <w:right w:val="single" w:color="000000" w:sz="4" w:space="0"/>
            </w:tcBorders>
            <w:noWrap/>
            <w:vAlign w:val="center"/>
          </w:tcPr>
          <w:p w14:paraId="06FD1DDD">
            <w:pPr>
              <w:widowControl/>
              <w:snapToGrid w:val="0"/>
              <w:jc w:val="right"/>
              <w:rPr>
                <w:rFonts w:hint="eastAsia" w:ascii="宋体" w:hAnsi="宋体" w:cs="宋体"/>
                <w:color w:val="000000"/>
                <w:kern w:val="0"/>
                <w:sz w:val="22"/>
              </w:rPr>
            </w:pPr>
            <w:r>
              <w:rPr>
                <w:rFonts w:hint="eastAsia" w:ascii="宋体" w:hAnsi="宋体" w:cs="宋体"/>
                <w:color w:val="000000"/>
                <w:kern w:val="0"/>
                <w:sz w:val="22"/>
              </w:rPr>
              <w:t>　</w:t>
            </w:r>
          </w:p>
        </w:tc>
        <w:tc>
          <w:tcPr>
            <w:tcW w:w="1250" w:type="pct"/>
            <w:tcBorders>
              <w:top w:val="nil"/>
              <w:left w:val="nil"/>
              <w:bottom w:val="single" w:color="000000" w:sz="4" w:space="0"/>
              <w:right w:val="single" w:color="000000" w:sz="4" w:space="0"/>
            </w:tcBorders>
            <w:noWrap/>
            <w:vAlign w:val="center"/>
          </w:tcPr>
          <w:p w14:paraId="49BD12C2">
            <w:pPr>
              <w:widowControl/>
              <w:snapToGrid w:val="0"/>
              <w:jc w:val="right"/>
              <w:rPr>
                <w:rFonts w:hint="eastAsia" w:ascii="宋体" w:hAnsi="宋体" w:cs="宋体"/>
                <w:color w:val="000000"/>
                <w:kern w:val="0"/>
                <w:sz w:val="22"/>
              </w:rPr>
            </w:pPr>
            <w:r>
              <w:rPr>
                <w:rFonts w:hint="eastAsia" w:ascii="宋体" w:hAnsi="宋体" w:cs="宋体"/>
                <w:color w:val="000000"/>
                <w:kern w:val="0"/>
                <w:sz w:val="22"/>
              </w:rPr>
              <w:t>　</w:t>
            </w:r>
          </w:p>
        </w:tc>
      </w:tr>
      <w:tr w14:paraId="1B478075">
        <w:tblPrEx>
          <w:tblCellMar>
            <w:top w:w="0" w:type="dxa"/>
            <w:left w:w="108" w:type="dxa"/>
            <w:bottom w:w="0" w:type="dxa"/>
            <w:right w:w="108" w:type="dxa"/>
          </w:tblCellMar>
        </w:tblPrEx>
        <w:trPr>
          <w:trHeight w:val="306" w:hRule="exact"/>
        </w:trPr>
        <w:tc>
          <w:tcPr>
            <w:tcW w:w="454" w:type="pct"/>
            <w:gridSpan w:val="3"/>
            <w:tcBorders>
              <w:top w:val="nil"/>
              <w:left w:val="single" w:color="000000" w:sz="4" w:space="0"/>
              <w:bottom w:val="single" w:color="000000" w:sz="4" w:space="0"/>
              <w:right w:val="single" w:color="000000" w:sz="4" w:space="0"/>
            </w:tcBorders>
            <w:noWrap/>
            <w:vAlign w:val="center"/>
          </w:tcPr>
          <w:p w14:paraId="18FA4E93">
            <w:pPr>
              <w:widowControl/>
              <w:snapToGrid w:val="0"/>
              <w:jc w:val="left"/>
              <w:rPr>
                <w:rFonts w:hint="eastAsia" w:ascii="宋体" w:hAnsi="宋体" w:cs="宋体"/>
                <w:color w:val="000000"/>
                <w:kern w:val="0"/>
                <w:sz w:val="22"/>
              </w:rPr>
            </w:pPr>
            <w:r>
              <w:rPr>
                <w:rFonts w:hint="eastAsia" w:ascii="宋体" w:hAnsi="宋体" w:cs="宋体"/>
                <w:color w:val="000000"/>
                <w:kern w:val="0"/>
                <w:sz w:val="22"/>
              </w:rPr>
              <w:t>　</w:t>
            </w:r>
          </w:p>
        </w:tc>
        <w:tc>
          <w:tcPr>
            <w:tcW w:w="795" w:type="pct"/>
            <w:tcBorders>
              <w:top w:val="nil"/>
              <w:left w:val="nil"/>
              <w:bottom w:val="single" w:color="000000" w:sz="4" w:space="0"/>
              <w:right w:val="single" w:color="000000" w:sz="4" w:space="0"/>
            </w:tcBorders>
            <w:noWrap/>
            <w:vAlign w:val="center"/>
          </w:tcPr>
          <w:p w14:paraId="5F8D20DE">
            <w:pPr>
              <w:widowControl/>
              <w:snapToGrid w:val="0"/>
              <w:jc w:val="left"/>
              <w:rPr>
                <w:rFonts w:hint="eastAsia" w:ascii="宋体" w:hAnsi="宋体" w:cs="宋体"/>
                <w:color w:val="000000"/>
                <w:kern w:val="0"/>
                <w:sz w:val="22"/>
              </w:rPr>
            </w:pPr>
            <w:r>
              <w:rPr>
                <w:rFonts w:hint="eastAsia" w:ascii="宋体" w:hAnsi="宋体" w:cs="宋体"/>
                <w:color w:val="000000"/>
                <w:kern w:val="0"/>
                <w:sz w:val="22"/>
              </w:rPr>
              <w:t>　</w:t>
            </w:r>
          </w:p>
        </w:tc>
        <w:tc>
          <w:tcPr>
            <w:tcW w:w="1249" w:type="pct"/>
            <w:tcBorders>
              <w:top w:val="nil"/>
              <w:left w:val="nil"/>
              <w:bottom w:val="single" w:color="000000" w:sz="4" w:space="0"/>
              <w:right w:val="single" w:color="000000" w:sz="4" w:space="0"/>
            </w:tcBorders>
            <w:noWrap/>
            <w:vAlign w:val="center"/>
          </w:tcPr>
          <w:p w14:paraId="75C4E2F8">
            <w:pPr>
              <w:widowControl/>
              <w:snapToGrid w:val="0"/>
              <w:jc w:val="right"/>
              <w:rPr>
                <w:rFonts w:hint="eastAsia" w:ascii="宋体" w:hAnsi="宋体" w:cs="宋体"/>
                <w:color w:val="000000"/>
                <w:kern w:val="0"/>
                <w:sz w:val="22"/>
              </w:rPr>
            </w:pPr>
            <w:r>
              <w:rPr>
                <w:rFonts w:hint="eastAsia" w:ascii="宋体" w:hAnsi="宋体" w:cs="宋体"/>
                <w:color w:val="000000"/>
                <w:kern w:val="0"/>
                <w:sz w:val="22"/>
              </w:rPr>
              <w:t>　</w:t>
            </w:r>
          </w:p>
        </w:tc>
        <w:tc>
          <w:tcPr>
            <w:tcW w:w="1249" w:type="pct"/>
            <w:tcBorders>
              <w:top w:val="nil"/>
              <w:left w:val="nil"/>
              <w:bottom w:val="single" w:color="000000" w:sz="4" w:space="0"/>
              <w:right w:val="single" w:color="000000" w:sz="4" w:space="0"/>
            </w:tcBorders>
            <w:noWrap/>
            <w:vAlign w:val="center"/>
          </w:tcPr>
          <w:p w14:paraId="5226EF5F">
            <w:pPr>
              <w:widowControl/>
              <w:snapToGrid w:val="0"/>
              <w:jc w:val="right"/>
              <w:rPr>
                <w:rFonts w:hint="eastAsia" w:ascii="宋体" w:hAnsi="宋体" w:cs="宋体"/>
                <w:color w:val="000000"/>
                <w:kern w:val="0"/>
                <w:sz w:val="22"/>
              </w:rPr>
            </w:pPr>
            <w:r>
              <w:rPr>
                <w:rFonts w:hint="eastAsia" w:ascii="宋体" w:hAnsi="宋体" w:cs="宋体"/>
                <w:color w:val="000000"/>
                <w:kern w:val="0"/>
                <w:sz w:val="22"/>
              </w:rPr>
              <w:t>　</w:t>
            </w:r>
          </w:p>
        </w:tc>
        <w:tc>
          <w:tcPr>
            <w:tcW w:w="1250" w:type="pct"/>
            <w:tcBorders>
              <w:top w:val="nil"/>
              <w:left w:val="nil"/>
              <w:bottom w:val="single" w:color="000000" w:sz="4" w:space="0"/>
              <w:right w:val="single" w:color="000000" w:sz="4" w:space="0"/>
            </w:tcBorders>
            <w:noWrap/>
            <w:vAlign w:val="center"/>
          </w:tcPr>
          <w:p w14:paraId="065F4D3D">
            <w:pPr>
              <w:widowControl/>
              <w:snapToGrid w:val="0"/>
              <w:jc w:val="right"/>
              <w:rPr>
                <w:rFonts w:hint="eastAsia" w:ascii="宋体" w:hAnsi="宋体" w:cs="宋体"/>
                <w:color w:val="000000"/>
                <w:kern w:val="0"/>
                <w:sz w:val="22"/>
              </w:rPr>
            </w:pPr>
            <w:r>
              <w:rPr>
                <w:rFonts w:hint="eastAsia" w:ascii="宋体" w:hAnsi="宋体" w:cs="宋体"/>
                <w:color w:val="000000"/>
                <w:kern w:val="0"/>
                <w:sz w:val="22"/>
              </w:rPr>
              <w:t>　</w:t>
            </w:r>
          </w:p>
        </w:tc>
      </w:tr>
      <w:tr w14:paraId="535C0BE8">
        <w:tblPrEx>
          <w:tblCellMar>
            <w:top w:w="0" w:type="dxa"/>
            <w:left w:w="108" w:type="dxa"/>
            <w:bottom w:w="0" w:type="dxa"/>
            <w:right w:w="108" w:type="dxa"/>
          </w:tblCellMar>
        </w:tblPrEx>
        <w:trPr>
          <w:trHeight w:val="306" w:hRule="exact"/>
        </w:trPr>
        <w:tc>
          <w:tcPr>
            <w:tcW w:w="454" w:type="pct"/>
            <w:gridSpan w:val="3"/>
            <w:tcBorders>
              <w:top w:val="nil"/>
              <w:left w:val="single" w:color="000000" w:sz="4" w:space="0"/>
              <w:bottom w:val="single" w:color="000000" w:sz="4" w:space="0"/>
              <w:right w:val="single" w:color="000000" w:sz="4" w:space="0"/>
            </w:tcBorders>
            <w:noWrap/>
            <w:vAlign w:val="center"/>
          </w:tcPr>
          <w:p w14:paraId="403E77E7">
            <w:pPr>
              <w:widowControl/>
              <w:snapToGrid w:val="0"/>
              <w:jc w:val="left"/>
              <w:rPr>
                <w:rFonts w:hint="eastAsia" w:ascii="宋体" w:hAnsi="宋体" w:cs="宋体"/>
                <w:color w:val="000000"/>
                <w:kern w:val="0"/>
                <w:sz w:val="22"/>
              </w:rPr>
            </w:pPr>
            <w:r>
              <w:rPr>
                <w:rFonts w:hint="eastAsia" w:ascii="宋体" w:hAnsi="宋体" w:cs="宋体"/>
                <w:color w:val="000000"/>
                <w:kern w:val="0"/>
                <w:sz w:val="22"/>
              </w:rPr>
              <w:t>　</w:t>
            </w:r>
          </w:p>
        </w:tc>
        <w:tc>
          <w:tcPr>
            <w:tcW w:w="795" w:type="pct"/>
            <w:tcBorders>
              <w:top w:val="nil"/>
              <w:left w:val="nil"/>
              <w:bottom w:val="single" w:color="000000" w:sz="4" w:space="0"/>
              <w:right w:val="single" w:color="000000" w:sz="4" w:space="0"/>
            </w:tcBorders>
            <w:noWrap/>
            <w:vAlign w:val="center"/>
          </w:tcPr>
          <w:p w14:paraId="49344906">
            <w:pPr>
              <w:widowControl/>
              <w:snapToGrid w:val="0"/>
              <w:jc w:val="left"/>
              <w:rPr>
                <w:rFonts w:hint="eastAsia" w:ascii="宋体" w:hAnsi="宋体" w:cs="宋体"/>
                <w:color w:val="000000"/>
                <w:kern w:val="0"/>
                <w:sz w:val="22"/>
              </w:rPr>
            </w:pPr>
            <w:r>
              <w:rPr>
                <w:rFonts w:hint="eastAsia" w:ascii="宋体" w:hAnsi="宋体" w:cs="宋体"/>
                <w:color w:val="000000"/>
                <w:kern w:val="0"/>
                <w:sz w:val="22"/>
              </w:rPr>
              <w:t>　</w:t>
            </w:r>
          </w:p>
        </w:tc>
        <w:tc>
          <w:tcPr>
            <w:tcW w:w="1249" w:type="pct"/>
            <w:tcBorders>
              <w:top w:val="nil"/>
              <w:left w:val="nil"/>
              <w:bottom w:val="single" w:color="000000" w:sz="4" w:space="0"/>
              <w:right w:val="single" w:color="000000" w:sz="4" w:space="0"/>
            </w:tcBorders>
            <w:noWrap/>
            <w:vAlign w:val="center"/>
          </w:tcPr>
          <w:p w14:paraId="7F6BCD82">
            <w:pPr>
              <w:widowControl/>
              <w:snapToGrid w:val="0"/>
              <w:jc w:val="right"/>
              <w:rPr>
                <w:rFonts w:hint="eastAsia" w:ascii="宋体" w:hAnsi="宋体" w:cs="宋体"/>
                <w:color w:val="000000"/>
                <w:kern w:val="0"/>
                <w:sz w:val="22"/>
              </w:rPr>
            </w:pPr>
            <w:r>
              <w:rPr>
                <w:rFonts w:hint="eastAsia" w:ascii="宋体" w:hAnsi="宋体" w:cs="宋体"/>
                <w:color w:val="000000"/>
                <w:kern w:val="0"/>
                <w:sz w:val="22"/>
              </w:rPr>
              <w:t>　</w:t>
            </w:r>
          </w:p>
        </w:tc>
        <w:tc>
          <w:tcPr>
            <w:tcW w:w="1249" w:type="pct"/>
            <w:tcBorders>
              <w:top w:val="nil"/>
              <w:left w:val="nil"/>
              <w:bottom w:val="single" w:color="000000" w:sz="4" w:space="0"/>
              <w:right w:val="single" w:color="000000" w:sz="4" w:space="0"/>
            </w:tcBorders>
            <w:noWrap/>
            <w:vAlign w:val="center"/>
          </w:tcPr>
          <w:p w14:paraId="78E5BF5D">
            <w:pPr>
              <w:widowControl/>
              <w:snapToGrid w:val="0"/>
              <w:jc w:val="right"/>
              <w:rPr>
                <w:rFonts w:hint="eastAsia" w:ascii="宋体" w:hAnsi="宋体" w:cs="宋体"/>
                <w:color w:val="000000"/>
                <w:kern w:val="0"/>
                <w:sz w:val="22"/>
              </w:rPr>
            </w:pPr>
            <w:r>
              <w:rPr>
                <w:rFonts w:hint="eastAsia" w:ascii="宋体" w:hAnsi="宋体" w:cs="宋体"/>
                <w:color w:val="000000"/>
                <w:kern w:val="0"/>
                <w:sz w:val="22"/>
              </w:rPr>
              <w:t>　</w:t>
            </w:r>
          </w:p>
        </w:tc>
        <w:tc>
          <w:tcPr>
            <w:tcW w:w="1250" w:type="pct"/>
            <w:tcBorders>
              <w:top w:val="nil"/>
              <w:left w:val="nil"/>
              <w:bottom w:val="single" w:color="000000" w:sz="4" w:space="0"/>
              <w:right w:val="single" w:color="000000" w:sz="4" w:space="0"/>
            </w:tcBorders>
            <w:noWrap/>
            <w:vAlign w:val="center"/>
          </w:tcPr>
          <w:p w14:paraId="492FB9E9">
            <w:pPr>
              <w:widowControl/>
              <w:snapToGrid w:val="0"/>
              <w:jc w:val="right"/>
              <w:rPr>
                <w:rFonts w:hint="eastAsia" w:ascii="宋体" w:hAnsi="宋体" w:cs="宋体"/>
                <w:color w:val="000000"/>
                <w:kern w:val="0"/>
                <w:sz w:val="22"/>
              </w:rPr>
            </w:pPr>
            <w:r>
              <w:rPr>
                <w:rFonts w:hint="eastAsia" w:ascii="宋体" w:hAnsi="宋体" w:cs="宋体"/>
                <w:color w:val="000000"/>
                <w:kern w:val="0"/>
                <w:sz w:val="22"/>
              </w:rPr>
              <w:t>　</w:t>
            </w:r>
          </w:p>
        </w:tc>
      </w:tr>
      <w:tr w14:paraId="23D23A7E">
        <w:tblPrEx>
          <w:tblCellMar>
            <w:top w:w="0" w:type="dxa"/>
            <w:left w:w="108" w:type="dxa"/>
            <w:bottom w:w="0" w:type="dxa"/>
            <w:right w:w="108" w:type="dxa"/>
          </w:tblCellMar>
        </w:tblPrEx>
        <w:trPr>
          <w:trHeight w:val="306" w:hRule="exact"/>
        </w:trPr>
        <w:tc>
          <w:tcPr>
            <w:tcW w:w="454" w:type="pct"/>
            <w:gridSpan w:val="3"/>
            <w:tcBorders>
              <w:top w:val="nil"/>
              <w:left w:val="single" w:color="000000" w:sz="4" w:space="0"/>
              <w:bottom w:val="single" w:color="000000" w:sz="4" w:space="0"/>
              <w:right w:val="single" w:color="000000" w:sz="4" w:space="0"/>
            </w:tcBorders>
            <w:noWrap/>
            <w:vAlign w:val="center"/>
          </w:tcPr>
          <w:p w14:paraId="6B093EF7">
            <w:pPr>
              <w:widowControl/>
              <w:snapToGrid w:val="0"/>
              <w:jc w:val="left"/>
              <w:rPr>
                <w:rFonts w:hint="eastAsia" w:ascii="宋体" w:hAnsi="宋体" w:cs="宋体"/>
                <w:color w:val="000000"/>
                <w:kern w:val="0"/>
                <w:sz w:val="22"/>
              </w:rPr>
            </w:pPr>
            <w:r>
              <w:rPr>
                <w:rFonts w:hint="eastAsia" w:ascii="宋体" w:hAnsi="宋体" w:cs="宋体"/>
                <w:color w:val="000000"/>
                <w:kern w:val="0"/>
                <w:sz w:val="22"/>
              </w:rPr>
              <w:t>　</w:t>
            </w:r>
          </w:p>
        </w:tc>
        <w:tc>
          <w:tcPr>
            <w:tcW w:w="795" w:type="pct"/>
            <w:tcBorders>
              <w:top w:val="nil"/>
              <w:left w:val="nil"/>
              <w:bottom w:val="single" w:color="000000" w:sz="4" w:space="0"/>
              <w:right w:val="single" w:color="000000" w:sz="4" w:space="0"/>
            </w:tcBorders>
            <w:noWrap/>
            <w:vAlign w:val="center"/>
          </w:tcPr>
          <w:p w14:paraId="6CBF2823">
            <w:pPr>
              <w:widowControl/>
              <w:snapToGrid w:val="0"/>
              <w:jc w:val="left"/>
              <w:rPr>
                <w:rFonts w:hint="eastAsia" w:ascii="宋体" w:hAnsi="宋体" w:cs="宋体"/>
                <w:color w:val="000000"/>
                <w:kern w:val="0"/>
                <w:sz w:val="22"/>
              </w:rPr>
            </w:pPr>
            <w:r>
              <w:rPr>
                <w:rFonts w:hint="eastAsia" w:ascii="宋体" w:hAnsi="宋体" w:cs="宋体"/>
                <w:color w:val="000000"/>
                <w:kern w:val="0"/>
                <w:sz w:val="22"/>
              </w:rPr>
              <w:t>　</w:t>
            </w:r>
          </w:p>
        </w:tc>
        <w:tc>
          <w:tcPr>
            <w:tcW w:w="1249" w:type="pct"/>
            <w:tcBorders>
              <w:top w:val="nil"/>
              <w:left w:val="nil"/>
              <w:bottom w:val="single" w:color="000000" w:sz="4" w:space="0"/>
              <w:right w:val="single" w:color="000000" w:sz="4" w:space="0"/>
            </w:tcBorders>
            <w:noWrap/>
            <w:vAlign w:val="center"/>
          </w:tcPr>
          <w:p w14:paraId="105F60DC">
            <w:pPr>
              <w:widowControl/>
              <w:snapToGrid w:val="0"/>
              <w:jc w:val="right"/>
              <w:rPr>
                <w:rFonts w:hint="eastAsia" w:ascii="宋体" w:hAnsi="宋体" w:cs="宋体"/>
                <w:color w:val="000000"/>
                <w:kern w:val="0"/>
                <w:sz w:val="22"/>
              </w:rPr>
            </w:pPr>
            <w:r>
              <w:rPr>
                <w:rFonts w:hint="eastAsia" w:ascii="宋体" w:hAnsi="宋体" w:cs="宋体"/>
                <w:color w:val="000000"/>
                <w:kern w:val="0"/>
                <w:sz w:val="22"/>
              </w:rPr>
              <w:t>　</w:t>
            </w:r>
          </w:p>
        </w:tc>
        <w:tc>
          <w:tcPr>
            <w:tcW w:w="1249" w:type="pct"/>
            <w:tcBorders>
              <w:top w:val="nil"/>
              <w:left w:val="nil"/>
              <w:bottom w:val="single" w:color="000000" w:sz="4" w:space="0"/>
              <w:right w:val="single" w:color="000000" w:sz="4" w:space="0"/>
            </w:tcBorders>
            <w:noWrap/>
            <w:vAlign w:val="center"/>
          </w:tcPr>
          <w:p w14:paraId="4E50FBF4">
            <w:pPr>
              <w:widowControl/>
              <w:snapToGrid w:val="0"/>
              <w:jc w:val="right"/>
              <w:rPr>
                <w:rFonts w:hint="eastAsia" w:ascii="宋体" w:hAnsi="宋体" w:cs="宋体"/>
                <w:color w:val="000000"/>
                <w:kern w:val="0"/>
                <w:sz w:val="22"/>
              </w:rPr>
            </w:pPr>
            <w:r>
              <w:rPr>
                <w:rFonts w:hint="eastAsia" w:ascii="宋体" w:hAnsi="宋体" w:cs="宋体"/>
                <w:color w:val="000000"/>
                <w:kern w:val="0"/>
                <w:sz w:val="22"/>
              </w:rPr>
              <w:t>　</w:t>
            </w:r>
          </w:p>
        </w:tc>
        <w:tc>
          <w:tcPr>
            <w:tcW w:w="1250" w:type="pct"/>
            <w:tcBorders>
              <w:top w:val="nil"/>
              <w:left w:val="nil"/>
              <w:bottom w:val="single" w:color="000000" w:sz="4" w:space="0"/>
              <w:right w:val="single" w:color="000000" w:sz="4" w:space="0"/>
            </w:tcBorders>
            <w:noWrap/>
            <w:vAlign w:val="center"/>
          </w:tcPr>
          <w:p w14:paraId="128C7CB1">
            <w:pPr>
              <w:widowControl/>
              <w:snapToGrid w:val="0"/>
              <w:jc w:val="right"/>
              <w:rPr>
                <w:rFonts w:hint="eastAsia" w:ascii="宋体" w:hAnsi="宋体" w:cs="宋体"/>
                <w:color w:val="000000"/>
                <w:kern w:val="0"/>
                <w:sz w:val="22"/>
              </w:rPr>
            </w:pPr>
            <w:r>
              <w:rPr>
                <w:rFonts w:hint="eastAsia" w:ascii="宋体" w:hAnsi="宋体" w:cs="宋体"/>
                <w:color w:val="000000"/>
                <w:kern w:val="0"/>
                <w:sz w:val="22"/>
              </w:rPr>
              <w:t>　</w:t>
            </w:r>
          </w:p>
        </w:tc>
      </w:tr>
      <w:tr w14:paraId="2C4144CF">
        <w:tblPrEx>
          <w:tblCellMar>
            <w:top w:w="0" w:type="dxa"/>
            <w:left w:w="108" w:type="dxa"/>
            <w:bottom w:w="0" w:type="dxa"/>
            <w:right w:w="108" w:type="dxa"/>
          </w:tblCellMar>
        </w:tblPrEx>
        <w:trPr>
          <w:trHeight w:val="306" w:hRule="exact"/>
        </w:trPr>
        <w:tc>
          <w:tcPr>
            <w:tcW w:w="454" w:type="pct"/>
            <w:gridSpan w:val="3"/>
            <w:tcBorders>
              <w:top w:val="nil"/>
              <w:left w:val="single" w:color="000000" w:sz="4" w:space="0"/>
              <w:bottom w:val="single" w:color="000000" w:sz="4" w:space="0"/>
              <w:right w:val="single" w:color="000000" w:sz="4" w:space="0"/>
            </w:tcBorders>
            <w:noWrap/>
            <w:vAlign w:val="center"/>
          </w:tcPr>
          <w:p w14:paraId="45CC49BC">
            <w:pPr>
              <w:widowControl/>
              <w:snapToGrid w:val="0"/>
              <w:jc w:val="left"/>
              <w:rPr>
                <w:rFonts w:hint="eastAsia" w:ascii="宋体" w:hAnsi="宋体" w:cs="宋体"/>
                <w:color w:val="000000"/>
                <w:kern w:val="0"/>
                <w:sz w:val="22"/>
              </w:rPr>
            </w:pPr>
            <w:r>
              <w:rPr>
                <w:rFonts w:hint="eastAsia" w:ascii="宋体" w:hAnsi="宋体" w:cs="宋体"/>
                <w:color w:val="000000"/>
                <w:kern w:val="0"/>
                <w:sz w:val="22"/>
              </w:rPr>
              <w:t>　</w:t>
            </w:r>
          </w:p>
        </w:tc>
        <w:tc>
          <w:tcPr>
            <w:tcW w:w="795" w:type="pct"/>
            <w:tcBorders>
              <w:top w:val="nil"/>
              <w:left w:val="nil"/>
              <w:bottom w:val="single" w:color="000000" w:sz="4" w:space="0"/>
              <w:right w:val="single" w:color="000000" w:sz="4" w:space="0"/>
            </w:tcBorders>
            <w:noWrap/>
            <w:vAlign w:val="center"/>
          </w:tcPr>
          <w:p w14:paraId="65D00DF9">
            <w:pPr>
              <w:widowControl/>
              <w:snapToGrid w:val="0"/>
              <w:jc w:val="left"/>
              <w:rPr>
                <w:rFonts w:hint="eastAsia" w:ascii="宋体" w:hAnsi="宋体" w:cs="宋体"/>
                <w:color w:val="000000"/>
                <w:kern w:val="0"/>
                <w:sz w:val="22"/>
              </w:rPr>
            </w:pPr>
            <w:r>
              <w:rPr>
                <w:rFonts w:hint="eastAsia" w:ascii="宋体" w:hAnsi="宋体" w:cs="宋体"/>
                <w:color w:val="000000"/>
                <w:kern w:val="0"/>
                <w:sz w:val="22"/>
              </w:rPr>
              <w:t>　</w:t>
            </w:r>
          </w:p>
        </w:tc>
        <w:tc>
          <w:tcPr>
            <w:tcW w:w="1249" w:type="pct"/>
            <w:tcBorders>
              <w:top w:val="nil"/>
              <w:left w:val="nil"/>
              <w:bottom w:val="single" w:color="000000" w:sz="4" w:space="0"/>
              <w:right w:val="single" w:color="000000" w:sz="4" w:space="0"/>
            </w:tcBorders>
            <w:noWrap/>
            <w:vAlign w:val="center"/>
          </w:tcPr>
          <w:p w14:paraId="645D01ED">
            <w:pPr>
              <w:widowControl/>
              <w:snapToGrid w:val="0"/>
              <w:jc w:val="right"/>
              <w:rPr>
                <w:rFonts w:hint="eastAsia" w:ascii="宋体" w:hAnsi="宋体" w:cs="宋体"/>
                <w:color w:val="000000"/>
                <w:kern w:val="0"/>
                <w:sz w:val="22"/>
              </w:rPr>
            </w:pPr>
            <w:r>
              <w:rPr>
                <w:rFonts w:hint="eastAsia" w:ascii="宋体" w:hAnsi="宋体" w:cs="宋体"/>
                <w:color w:val="000000"/>
                <w:kern w:val="0"/>
                <w:sz w:val="22"/>
              </w:rPr>
              <w:t>　</w:t>
            </w:r>
          </w:p>
        </w:tc>
        <w:tc>
          <w:tcPr>
            <w:tcW w:w="1249" w:type="pct"/>
            <w:tcBorders>
              <w:top w:val="nil"/>
              <w:left w:val="nil"/>
              <w:bottom w:val="single" w:color="000000" w:sz="4" w:space="0"/>
              <w:right w:val="single" w:color="000000" w:sz="4" w:space="0"/>
            </w:tcBorders>
            <w:noWrap/>
            <w:vAlign w:val="center"/>
          </w:tcPr>
          <w:p w14:paraId="2AEFA3CA">
            <w:pPr>
              <w:widowControl/>
              <w:snapToGrid w:val="0"/>
              <w:jc w:val="right"/>
              <w:rPr>
                <w:rFonts w:hint="eastAsia" w:ascii="宋体" w:hAnsi="宋体" w:cs="宋体"/>
                <w:color w:val="000000"/>
                <w:kern w:val="0"/>
                <w:sz w:val="22"/>
              </w:rPr>
            </w:pPr>
            <w:r>
              <w:rPr>
                <w:rFonts w:hint="eastAsia" w:ascii="宋体" w:hAnsi="宋体" w:cs="宋体"/>
                <w:color w:val="000000"/>
                <w:kern w:val="0"/>
                <w:sz w:val="22"/>
              </w:rPr>
              <w:t>　</w:t>
            </w:r>
          </w:p>
        </w:tc>
        <w:tc>
          <w:tcPr>
            <w:tcW w:w="1250" w:type="pct"/>
            <w:tcBorders>
              <w:top w:val="nil"/>
              <w:left w:val="nil"/>
              <w:bottom w:val="single" w:color="000000" w:sz="4" w:space="0"/>
              <w:right w:val="single" w:color="000000" w:sz="4" w:space="0"/>
            </w:tcBorders>
            <w:noWrap/>
            <w:vAlign w:val="center"/>
          </w:tcPr>
          <w:p w14:paraId="1F8E5100">
            <w:pPr>
              <w:widowControl/>
              <w:snapToGrid w:val="0"/>
              <w:jc w:val="right"/>
              <w:rPr>
                <w:rFonts w:hint="eastAsia" w:ascii="宋体" w:hAnsi="宋体" w:cs="宋体"/>
                <w:color w:val="000000"/>
                <w:kern w:val="0"/>
                <w:sz w:val="22"/>
              </w:rPr>
            </w:pPr>
            <w:r>
              <w:rPr>
                <w:rFonts w:hint="eastAsia" w:ascii="宋体" w:hAnsi="宋体" w:cs="宋体"/>
                <w:color w:val="000000"/>
                <w:kern w:val="0"/>
                <w:sz w:val="22"/>
              </w:rPr>
              <w:t>　</w:t>
            </w:r>
          </w:p>
        </w:tc>
      </w:tr>
      <w:tr w14:paraId="7C85503E">
        <w:tblPrEx>
          <w:tblCellMar>
            <w:top w:w="0" w:type="dxa"/>
            <w:left w:w="108" w:type="dxa"/>
            <w:bottom w:w="0" w:type="dxa"/>
            <w:right w:w="108" w:type="dxa"/>
          </w:tblCellMar>
        </w:tblPrEx>
        <w:trPr>
          <w:trHeight w:val="306" w:hRule="exact"/>
        </w:trPr>
        <w:tc>
          <w:tcPr>
            <w:tcW w:w="454" w:type="pct"/>
            <w:gridSpan w:val="3"/>
            <w:tcBorders>
              <w:top w:val="nil"/>
              <w:left w:val="single" w:color="000000" w:sz="4" w:space="0"/>
              <w:bottom w:val="single" w:color="000000" w:sz="4" w:space="0"/>
              <w:right w:val="single" w:color="000000" w:sz="4" w:space="0"/>
            </w:tcBorders>
            <w:noWrap/>
            <w:vAlign w:val="center"/>
          </w:tcPr>
          <w:p w14:paraId="479A832E">
            <w:pPr>
              <w:widowControl/>
              <w:snapToGrid w:val="0"/>
              <w:jc w:val="left"/>
              <w:rPr>
                <w:rFonts w:hint="eastAsia" w:ascii="宋体" w:hAnsi="宋体" w:cs="宋体"/>
                <w:color w:val="000000"/>
                <w:kern w:val="0"/>
                <w:sz w:val="22"/>
              </w:rPr>
            </w:pPr>
            <w:r>
              <w:rPr>
                <w:rFonts w:hint="eastAsia" w:ascii="宋体" w:hAnsi="宋体" w:cs="宋体"/>
                <w:color w:val="000000"/>
                <w:kern w:val="0"/>
                <w:sz w:val="22"/>
              </w:rPr>
              <w:t>　</w:t>
            </w:r>
          </w:p>
        </w:tc>
        <w:tc>
          <w:tcPr>
            <w:tcW w:w="795" w:type="pct"/>
            <w:tcBorders>
              <w:top w:val="nil"/>
              <w:left w:val="nil"/>
              <w:bottom w:val="single" w:color="000000" w:sz="4" w:space="0"/>
              <w:right w:val="single" w:color="000000" w:sz="4" w:space="0"/>
            </w:tcBorders>
            <w:noWrap/>
            <w:vAlign w:val="center"/>
          </w:tcPr>
          <w:p w14:paraId="56806D9A">
            <w:pPr>
              <w:widowControl/>
              <w:snapToGrid w:val="0"/>
              <w:jc w:val="left"/>
              <w:rPr>
                <w:rFonts w:hint="eastAsia" w:ascii="宋体" w:hAnsi="宋体" w:cs="宋体"/>
                <w:color w:val="000000"/>
                <w:kern w:val="0"/>
                <w:sz w:val="22"/>
              </w:rPr>
            </w:pPr>
            <w:r>
              <w:rPr>
                <w:rFonts w:hint="eastAsia" w:ascii="宋体" w:hAnsi="宋体" w:cs="宋体"/>
                <w:color w:val="000000"/>
                <w:kern w:val="0"/>
                <w:sz w:val="22"/>
              </w:rPr>
              <w:t>　</w:t>
            </w:r>
          </w:p>
        </w:tc>
        <w:tc>
          <w:tcPr>
            <w:tcW w:w="1249" w:type="pct"/>
            <w:tcBorders>
              <w:top w:val="nil"/>
              <w:left w:val="nil"/>
              <w:bottom w:val="single" w:color="000000" w:sz="4" w:space="0"/>
              <w:right w:val="single" w:color="000000" w:sz="4" w:space="0"/>
            </w:tcBorders>
            <w:noWrap/>
            <w:vAlign w:val="center"/>
          </w:tcPr>
          <w:p w14:paraId="73C376FC">
            <w:pPr>
              <w:widowControl/>
              <w:snapToGrid w:val="0"/>
              <w:jc w:val="right"/>
              <w:rPr>
                <w:rFonts w:hint="eastAsia" w:ascii="宋体" w:hAnsi="宋体" w:cs="宋体"/>
                <w:color w:val="000000"/>
                <w:kern w:val="0"/>
                <w:sz w:val="22"/>
              </w:rPr>
            </w:pPr>
            <w:r>
              <w:rPr>
                <w:rFonts w:hint="eastAsia" w:ascii="宋体" w:hAnsi="宋体" w:cs="宋体"/>
                <w:color w:val="000000"/>
                <w:kern w:val="0"/>
                <w:sz w:val="22"/>
              </w:rPr>
              <w:t>　</w:t>
            </w:r>
          </w:p>
        </w:tc>
        <w:tc>
          <w:tcPr>
            <w:tcW w:w="1249" w:type="pct"/>
            <w:tcBorders>
              <w:top w:val="nil"/>
              <w:left w:val="nil"/>
              <w:bottom w:val="single" w:color="000000" w:sz="4" w:space="0"/>
              <w:right w:val="single" w:color="000000" w:sz="4" w:space="0"/>
            </w:tcBorders>
            <w:noWrap/>
            <w:vAlign w:val="center"/>
          </w:tcPr>
          <w:p w14:paraId="5DCE2595">
            <w:pPr>
              <w:widowControl/>
              <w:snapToGrid w:val="0"/>
              <w:jc w:val="right"/>
              <w:rPr>
                <w:rFonts w:hint="eastAsia" w:ascii="宋体" w:hAnsi="宋体" w:cs="宋体"/>
                <w:color w:val="000000"/>
                <w:kern w:val="0"/>
                <w:sz w:val="22"/>
              </w:rPr>
            </w:pPr>
            <w:r>
              <w:rPr>
                <w:rFonts w:hint="eastAsia" w:ascii="宋体" w:hAnsi="宋体" w:cs="宋体"/>
                <w:color w:val="000000"/>
                <w:kern w:val="0"/>
                <w:sz w:val="22"/>
              </w:rPr>
              <w:t>　</w:t>
            </w:r>
          </w:p>
        </w:tc>
        <w:tc>
          <w:tcPr>
            <w:tcW w:w="1250" w:type="pct"/>
            <w:tcBorders>
              <w:top w:val="nil"/>
              <w:left w:val="nil"/>
              <w:bottom w:val="single" w:color="000000" w:sz="4" w:space="0"/>
              <w:right w:val="single" w:color="000000" w:sz="4" w:space="0"/>
            </w:tcBorders>
            <w:noWrap/>
            <w:vAlign w:val="center"/>
          </w:tcPr>
          <w:p w14:paraId="33A2B54E">
            <w:pPr>
              <w:widowControl/>
              <w:snapToGrid w:val="0"/>
              <w:jc w:val="right"/>
              <w:rPr>
                <w:rFonts w:hint="eastAsia" w:ascii="宋体" w:hAnsi="宋体" w:cs="宋体"/>
                <w:color w:val="000000"/>
                <w:kern w:val="0"/>
                <w:sz w:val="22"/>
              </w:rPr>
            </w:pPr>
            <w:r>
              <w:rPr>
                <w:rFonts w:hint="eastAsia" w:ascii="宋体" w:hAnsi="宋体" w:cs="宋体"/>
                <w:color w:val="000000"/>
                <w:kern w:val="0"/>
                <w:sz w:val="22"/>
              </w:rPr>
              <w:t>　</w:t>
            </w:r>
          </w:p>
        </w:tc>
      </w:tr>
      <w:tr w14:paraId="63B0B169">
        <w:tblPrEx>
          <w:tblCellMar>
            <w:top w:w="0" w:type="dxa"/>
            <w:left w:w="108" w:type="dxa"/>
            <w:bottom w:w="0" w:type="dxa"/>
            <w:right w:w="108" w:type="dxa"/>
          </w:tblCellMar>
        </w:tblPrEx>
        <w:trPr>
          <w:trHeight w:val="306" w:hRule="exact"/>
        </w:trPr>
        <w:tc>
          <w:tcPr>
            <w:tcW w:w="5000" w:type="pct"/>
            <w:gridSpan w:val="7"/>
            <w:tcBorders>
              <w:top w:val="nil"/>
              <w:left w:val="nil"/>
              <w:bottom w:val="nil"/>
              <w:right w:val="nil"/>
            </w:tcBorders>
            <w:noWrap/>
            <w:vAlign w:val="center"/>
          </w:tcPr>
          <w:p w14:paraId="4CF06FFF">
            <w:pPr>
              <w:widowControl/>
              <w:snapToGrid w:val="0"/>
              <w:jc w:val="left"/>
              <w:rPr>
                <w:rFonts w:hint="eastAsia" w:ascii="宋体" w:hAnsi="宋体" w:cs="宋体"/>
                <w:color w:val="000000"/>
                <w:kern w:val="0"/>
                <w:sz w:val="22"/>
              </w:rPr>
            </w:pPr>
            <w:r>
              <w:rPr>
                <w:rFonts w:hint="eastAsia" w:ascii="宋体" w:hAnsi="宋体" w:eastAsia="宋体" w:cs="Arial"/>
                <w:color w:val="000000"/>
                <w:kern w:val="0"/>
                <w:sz w:val="22"/>
              </w:rPr>
              <w:t>注：本表反映部门本年度</w:t>
            </w:r>
            <w:r>
              <w:rPr>
                <w:rFonts w:hint="eastAsia" w:ascii="宋体" w:hAnsi="宋体" w:eastAsia="宋体" w:cs="Arial"/>
                <w:color w:val="000000"/>
                <w:kern w:val="0"/>
                <w:sz w:val="22"/>
                <w:lang w:eastAsia="zh-CN"/>
              </w:rPr>
              <w:t>国有资本经营预算财政拨款支出</w:t>
            </w:r>
            <w:r>
              <w:rPr>
                <w:rFonts w:hint="eastAsia" w:ascii="宋体" w:hAnsi="宋体" w:eastAsia="宋体" w:cs="Arial"/>
                <w:color w:val="000000"/>
                <w:kern w:val="0"/>
                <w:sz w:val="22"/>
              </w:rPr>
              <w:t>情况。</w:t>
            </w:r>
          </w:p>
        </w:tc>
      </w:tr>
    </w:tbl>
    <w:p w14:paraId="75F06E0C">
      <w:pPr>
        <w:pStyle w:val="5"/>
        <w:ind w:left="0" w:leftChars="0" w:firstLine="0" w:firstLineChars="0"/>
      </w:pPr>
    </w:p>
    <w:p w14:paraId="1D79FF8A">
      <w:pPr>
        <w:pStyle w:val="5"/>
        <w:keepNext w:val="0"/>
        <w:keepLines w:val="0"/>
        <w:pageBreakBefore w:val="0"/>
        <w:kinsoku/>
        <w:wordWrap/>
        <w:overflowPunct/>
        <w:topLinePunct w:val="0"/>
        <w:autoSpaceDE/>
        <w:autoSpaceDN/>
        <w:bidi w:val="0"/>
        <w:adjustRightInd/>
        <w:snapToGrid/>
        <w:spacing w:line="400" w:lineRule="exact"/>
        <w:ind w:left="0" w:leftChars="0" w:firstLine="0" w:firstLineChars="0"/>
        <w:jc w:val="left"/>
      </w:pPr>
    </w:p>
    <w:p w14:paraId="4FD5E356">
      <w:pPr>
        <w:pStyle w:val="5"/>
        <w:keepNext w:val="0"/>
        <w:keepLines w:val="0"/>
        <w:pageBreakBefore w:val="0"/>
        <w:kinsoku/>
        <w:wordWrap/>
        <w:overflowPunct/>
        <w:topLinePunct w:val="0"/>
        <w:autoSpaceDE/>
        <w:autoSpaceDN/>
        <w:bidi w:val="0"/>
        <w:adjustRightInd/>
        <w:snapToGrid/>
        <w:spacing w:line="400" w:lineRule="exact"/>
        <w:ind w:left="0" w:leftChars="0" w:firstLine="0" w:firstLineChars="0"/>
        <w:jc w:val="left"/>
      </w:pPr>
    </w:p>
    <w:p w14:paraId="7D3B1087">
      <w:pPr>
        <w:pStyle w:val="5"/>
        <w:keepNext w:val="0"/>
        <w:keepLines w:val="0"/>
        <w:pageBreakBefore w:val="0"/>
        <w:kinsoku/>
        <w:wordWrap/>
        <w:overflowPunct/>
        <w:topLinePunct w:val="0"/>
        <w:autoSpaceDE/>
        <w:autoSpaceDN/>
        <w:bidi w:val="0"/>
        <w:adjustRightInd/>
        <w:snapToGrid/>
        <w:spacing w:line="400" w:lineRule="exact"/>
        <w:ind w:left="0" w:leftChars="0" w:firstLine="0" w:firstLineChars="0"/>
        <w:jc w:val="left"/>
      </w:pPr>
    </w:p>
    <w:p w14:paraId="3FCACE24">
      <w:pPr>
        <w:pStyle w:val="5"/>
        <w:keepNext w:val="0"/>
        <w:keepLines w:val="0"/>
        <w:pageBreakBefore w:val="0"/>
        <w:kinsoku/>
        <w:wordWrap/>
        <w:overflowPunct/>
        <w:topLinePunct w:val="0"/>
        <w:autoSpaceDE/>
        <w:autoSpaceDN/>
        <w:bidi w:val="0"/>
        <w:adjustRightInd/>
        <w:snapToGrid/>
        <w:spacing w:line="400" w:lineRule="exact"/>
        <w:ind w:left="0" w:leftChars="0" w:firstLine="0" w:firstLineChars="0"/>
        <w:jc w:val="left"/>
      </w:pPr>
    </w:p>
    <w:p w14:paraId="264CDDC3">
      <w:pPr>
        <w:bidi w:val="0"/>
        <w:jc w:val="center"/>
        <w:rPr>
          <w:rFonts w:hint="eastAsia" w:ascii="宋体" w:hAnsi="宋体" w:eastAsia="宋体" w:cs="宋体"/>
          <w:sz w:val="32"/>
          <w:szCs w:val="32"/>
        </w:rPr>
      </w:pPr>
      <w:r>
        <w:rPr>
          <w:rFonts w:hint="eastAsia" w:ascii="宋体" w:hAnsi="宋体" w:eastAsia="宋体" w:cs="宋体"/>
          <w:sz w:val="32"/>
          <w:szCs w:val="32"/>
        </w:rPr>
        <w:t>财政拨款“三公”经费支出决算表</w:t>
      </w:r>
    </w:p>
    <w:tbl>
      <w:tblPr>
        <w:tblStyle w:val="12"/>
        <w:tblW w:w="13892" w:type="dxa"/>
        <w:jc w:val="center"/>
        <w:tblLayout w:type="autofit"/>
        <w:tblCellMar>
          <w:top w:w="0" w:type="dxa"/>
          <w:left w:w="108" w:type="dxa"/>
          <w:bottom w:w="0" w:type="dxa"/>
          <w:right w:w="108" w:type="dxa"/>
        </w:tblCellMar>
      </w:tblPr>
      <w:tblGrid>
        <w:gridCol w:w="1120"/>
        <w:gridCol w:w="1120"/>
        <w:gridCol w:w="1120"/>
        <w:gridCol w:w="1120"/>
        <w:gridCol w:w="1120"/>
        <w:gridCol w:w="1204"/>
        <w:gridCol w:w="1134"/>
        <w:gridCol w:w="1276"/>
        <w:gridCol w:w="1134"/>
        <w:gridCol w:w="1134"/>
        <w:gridCol w:w="1134"/>
        <w:gridCol w:w="1276"/>
      </w:tblGrid>
      <w:tr w14:paraId="5AB27F8F">
        <w:tblPrEx>
          <w:tblCellMar>
            <w:top w:w="0" w:type="dxa"/>
            <w:left w:w="108" w:type="dxa"/>
            <w:bottom w:w="0" w:type="dxa"/>
            <w:right w:w="108" w:type="dxa"/>
          </w:tblCellMar>
        </w:tblPrEx>
        <w:trPr>
          <w:trHeight w:val="255" w:hRule="atLeast"/>
          <w:jc w:val="center"/>
        </w:trPr>
        <w:tc>
          <w:tcPr>
            <w:tcW w:w="1120" w:type="dxa"/>
            <w:tcBorders>
              <w:top w:val="nil"/>
              <w:left w:val="nil"/>
              <w:bottom w:val="nil"/>
              <w:right w:val="nil"/>
            </w:tcBorders>
            <w:shd w:val="clear" w:color="auto" w:fill="auto"/>
            <w:noWrap/>
            <w:vAlign w:val="bottom"/>
          </w:tcPr>
          <w:p w14:paraId="4DF44335">
            <w:pPr>
              <w:keepNext w:val="0"/>
              <w:keepLines w:val="0"/>
              <w:pageBreakBefore w:val="0"/>
              <w:widowControl/>
              <w:kinsoku/>
              <w:wordWrap/>
              <w:overflowPunct/>
              <w:topLinePunct w:val="0"/>
              <w:autoSpaceDE/>
              <w:autoSpaceDN/>
              <w:bidi w:val="0"/>
              <w:adjustRightInd/>
              <w:snapToGrid/>
              <w:spacing w:line="400" w:lineRule="exact"/>
              <w:jc w:val="left"/>
              <w:rPr>
                <w:rFonts w:ascii="宋体" w:hAnsi="宋体" w:eastAsia="宋体" w:cs="Arial"/>
                <w:color w:val="000000"/>
                <w:kern w:val="0"/>
                <w:sz w:val="22"/>
                <w:szCs w:val="22"/>
              </w:rPr>
            </w:pPr>
          </w:p>
        </w:tc>
        <w:tc>
          <w:tcPr>
            <w:tcW w:w="1120" w:type="dxa"/>
            <w:tcBorders>
              <w:top w:val="nil"/>
              <w:left w:val="nil"/>
              <w:bottom w:val="nil"/>
              <w:right w:val="nil"/>
            </w:tcBorders>
            <w:shd w:val="clear" w:color="auto" w:fill="auto"/>
            <w:noWrap/>
            <w:vAlign w:val="bottom"/>
          </w:tcPr>
          <w:p w14:paraId="5665F822">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1120" w:type="dxa"/>
            <w:tcBorders>
              <w:top w:val="nil"/>
              <w:left w:val="nil"/>
              <w:bottom w:val="nil"/>
              <w:right w:val="nil"/>
            </w:tcBorders>
            <w:shd w:val="clear" w:color="auto" w:fill="auto"/>
            <w:noWrap/>
            <w:vAlign w:val="bottom"/>
          </w:tcPr>
          <w:p w14:paraId="68958C17">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1120" w:type="dxa"/>
            <w:tcBorders>
              <w:top w:val="nil"/>
              <w:left w:val="nil"/>
              <w:bottom w:val="nil"/>
              <w:right w:val="nil"/>
            </w:tcBorders>
            <w:shd w:val="clear" w:color="auto" w:fill="auto"/>
            <w:noWrap/>
            <w:vAlign w:val="bottom"/>
          </w:tcPr>
          <w:p w14:paraId="007846F8">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1120" w:type="dxa"/>
            <w:tcBorders>
              <w:top w:val="nil"/>
              <w:left w:val="nil"/>
              <w:bottom w:val="nil"/>
              <w:right w:val="nil"/>
            </w:tcBorders>
            <w:shd w:val="clear" w:color="auto" w:fill="auto"/>
            <w:noWrap/>
            <w:vAlign w:val="bottom"/>
          </w:tcPr>
          <w:p w14:paraId="2CD17CA3">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1204" w:type="dxa"/>
            <w:tcBorders>
              <w:top w:val="nil"/>
              <w:left w:val="nil"/>
              <w:bottom w:val="nil"/>
              <w:right w:val="nil"/>
            </w:tcBorders>
            <w:shd w:val="clear" w:color="auto" w:fill="auto"/>
            <w:noWrap/>
            <w:vAlign w:val="bottom"/>
          </w:tcPr>
          <w:p w14:paraId="01001C0E">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1134" w:type="dxa"/>
            <w:tcBorders>
              <w:top w:val="nil"/>
              <w:left w:val="nil"/>
              <w:bottom w:val="nil"/>
              <w:right w:val="nil"/>
            </w:tcBorders>
            <w:shd w:val="clear" w:color="auto" w:fill="auto"/>
            <w:noWrap/>
            <w:vAlign w:val="bottom"/>
          </w:tcPr>
          <w:p w14:paraId="44927A7C">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1276" w:type="dxa"/>
            <w:tcBorders>
              <w:top w:val="nil"/>
              <w:left w:val="nil"/>
              <w:bottom w:val="nil"/>
              <w:right w:val="nil"/>
            </w:tcBorders>
            <w:shd w:val="clear" w:color="auto" w:fill="auto"/>
            <w:noWrap/>
            <w:vAlign w:val="bottom"/>
          </w:tcPr>
          <w:p w14:paraId="4BC7A981">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1134" w:type="dxa"/>
            <w:tcBorders>
              <w:top w:val="nil"/>
              <w:left w:val="nil"/>
              <w:bottom w:val="nil"/>
              <w:right w:val="nil"/>
            </w:tcBorders>
            <w:shd w:val="clear" w:color="auto" w:fill="auto"/>
            <w:noWrap/>
            <w:vAlign w:val="bottom"/>
          </w:tcPr>
          <w:p w14:paraId="0C3D5883">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1134" w:type="dxa"/>
            <w:tcBorders>
              <w:top w:val="nil"/>
              <w:left w:val="nil"/>
              <w:bottom w:val="nil"/>
              <w:right w:val="nil"/>
            </w:tcBorders>
            <w:shd w:val="clear" w:color="auto" w:fill="auto"/>
            <w:noWrap/>
            <w:vAlign w:val="bottom"/>
          </w:tcPr>
          <w:p w14:paraId="3280AE9A">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1134" w:type="dxa"/>
            <w:tcBorders>
              <w:top w:val="nil"/>
              <w:left w:val="nil"/>
              <w:bottom w:val="nil"/>
              <w:right w:val="nil"/>
            </w:tcBorders>
            <w:shd w:val="clear" w:color="auto" w:fill="auto"/>
            <w:noWrap/>
            <w:vAlign w:val="bottom"/>
          </w:tcPr>
          <w:p w14:paraId="745B5705">
            <w:pPr>
              <w:keepNext w:val="0"/>
              <w:keepLines w:val="0"/>
              <w:pageBreakBefore w:val="0"/>
              <w:widowControl/>
              <w:kinsoku/>
              <w:wordWrap/>
              <w:overflowPunct/>
              <w:topLinePunct w:val="0"/>
              <w:autoSpaceDE/>
              <w:autoSpaceDN/>
              <w:bidi w:val="0"/>
              <w:adjustRightInd/>
              <w:snapToGrid/>
              <w:spacing w:line="400" w:lineRule="exact"/>
              <w:jc w:val="right"/>
              <w:rPr>
                <w:rFonts w:ascii="Times New Roman" w:hAnsi="Times New Roman" w:eastAsia="Times New Roman" w:cs="Times New Roman"/>
                <w:kern w:val="0"/>
                <w:sz w:val="22"/>
                <w:szCs w:val="22"/>
              </w:rPr>
            </w:pPr>
          </w:p>
        </w:tc>
        <w:tc>
          <w:tcPr>
            <w:tcW w:w="1276" w:type="dxa"/>
            <w:tcBorders>
              <w:top w:val="nil"/>
              <w:left w:val="nil"/>
              <w:bottom w:val="nil"/>
              <w:right w:val="nil"/>
            </w:tcBorders>
            <w:shd w:val="clear" w:color="auto" w:fill="auto"/>
            <w:noWrap/>
            <w:vAlign w:val="bottom"/>
          </w:tcPr>
          <w:p w14:paraId="758D053B">
            <w:pPr>
              <w:keepNext w:val="0"/>
              <w:keepLines w:val="0"/>
              <w:pageBreakBefore w:val="0"/>
              <w:widowControl/>
              <w:kinsoku/>
              <w:wordWrap/>
              <w:overflowPunct/>
              <w:topLinePunct w:val="0"/>
              <w:autoSpaceDE/>
              <w:autoSpaceDN/>
              <w:bidi w:val="0"/>
              <w:adjustRightInd/>
              <w:snapToGrid/>
              <w:spacing w:line="400" w:lineRule="exact"/>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公开0</w:t>
            </w:r>
            <w:r>
              <w:rPr>
                <w:rFonts w:hint="eastAsia" w:ascii="宋体" w:hAnsi="宋体" w:eastAsia="宋体" w:cs="Arial"/>
                <w:color w:val="000000"/>
                <w:kern w:val="0"/>
                <w:sz w:val="22"/>
                <w:szCs w:val="22"/>
                <w:lang w:val="en-US" w:eastAsia="zh-CN"/>
              </w:rPr>
              <w:t>9</w:t>
            </w:r>
            <w:r>
              <w:rPr>
                <w:rFonts w:hint="eastAsia" w:ascii="宋体" w:hAnsi="宋体" w:eastAsia="宋体" w:cs="Arial"/>
                <w:color w:val="000000"/>
                <w:kern w:val="0"/>
                <w:sz w:val="22"/>
                <w:szCs w:val="22"/>
              </w:rPr>
              <w:t>表</w:t>
            </w:r>
          </w:p>
        </w:tc>
      </w:tr>
      <w:tr w14:paraId="67F4BDD3">
        <w:tblPrEx>
          <w:tblCellMar>
            <w:top w:w="0" w:type="dxa"/>
            <w:left w:w="108" w:type="dxa"/>
            <w:bottom w:w="0" w:type="dxa"/>
            <w:right w:w="108" w:type="dxa"/>
          </w:tblCellMar>
        </w:tblPrEx>
        <w:trPr>
          <w:trHeight w:val="255" w:hRule="atLeast"/>
          <w:jc w:val="center"/>
        </w:trPr>
        <w:tc>
          <w:tcPr>
            <w:tcW w:w="3360" w:type="dxa"/>
            <w:gridSpan w:val="3"/>
            <w:tcBorders>
              <w:top w:val="nil"/>
              <w:left w:val="nil"/>
              <w:bottom w:val="nil"/>
              <w:right w:val="nil"/>
            </w:tcBorders>
            <w:shd w:val="clear" w:color="auto" w:fill="auto"/>
            <w:noWrap/>
            <w:vAlign w:val="bottom"/>
          </w:tcPr>
          <w:p w14:paraId="344267CC">
            <w:pPr>
              <w:keepNext w:val="0"/>
              <w:keepLines w:val="0"/>
              <w:pageBreakBefore w:val="0"/>
              <w:widowControl/>
              <w:kinsoku/>
              <w:wordWrap/>
              <w:overflowPunct/>
              <w:topLinePunct w:val="0"/>
              <w:autoSpaceDE/>
              <w:autoSpaceDN/>
              <w:bidi w:val="0"/>
              <w:adjustRightInd/>
              <w:snapToGrid/>
              <w:spacing w:line="400" w:lineRule="exact"/>
              <w:jc w:val="left"/>
              <w:rPr>
                <w:rFonts w:ascii="宋体" w:hAnsi="宋体" w:eastAsia="宋体" w:cs="Arial"/>
                <w:color w:val="000000"/>
                <w:kern w:val="0"/>
                <w:sz w:val="22"/>
                <w:szCs w:val="22"/>
              </w:rPr>
            </w:pPr>
            <w:r>
              <w:rPr>
                <w:rFonts w:hint="eastAsia" w:ascii="宋体" w:hAnsi="宋体" w:eastAsia="宋体" w:cs="Arial"/>
                <w:color w:val="000000"/>
                <w:kern w:val="0"/>
                <w:sz w:val="22"/>
                <w:szCs w:val="22"/>
              </w:rPr>
              <w:t>部门：国家统计局吉林调查总队</w:t>
            </w:r>
          </w:p>
        </w:tc>
        <w:tc>
          <w:tcPr>
            <w:tcW w:w="1120" w:type="dxa"/>
            <w:tcBorders>
              <w:top w:val="nil"/>
              <w:left w:val="nil"/>
              <w:bottom w:val="nil"/>
              <w:right w:val="nil"/>
            </w:tcBorders>
            <w:shd w:val="clear" w:color="auto" w:fill="auto"/>
            <w:noWrap/>
            <w:vAlign w:val="bottom"/>
          </w:tcPr>
          <w:p w14:paraId="103E0DA0">
            <w:pPr>
              <w:keepNext w:val="0"/>
              <w:keepLines w:val="0"/>
              <w:pageBreakBefore w:val="0"/>
              <w:widowControl/>
              <w:kinsoku/>
              <w:wordWrap/>
              <w:overflowPunct/>
              <w:topLinePunct w:val="0"/>
              <w:autoSpaceDE/>
              <w:autoSpaceDN/>
              <w:bidi w:val="0"/>
              <w:adjustRightInd/>
              <w:snapToGrid/>
              <w:spacing w:line="400" w:lineRule="exact"/>
              <w:jc w:val="left"/>
              <w:rPr>
                <w:rFonts w:ascii="宋体" w:hAnsi="宋体" w:eastAsia="宋体" w:cs="Arial"/>
                <w:color w:val="000000"/>
                <w:kern w:val="0"/>
                <w:sz w:val="22"/>
                <w:szCs w:val="22"/>
              </w:rPr>
            </w:pPr>
          </w:p>
        </w:tc>
        <w:tc>
          <w:tcPr>
            <w:tcW w:w="1120" w:type="dxa"/>
            <w:tcBorders>
              <w:top w:val="nil"/>
              <w:left w:val="nil"/>
              <w:bottom w:val="nil"/>
              <w:right w:val="nil"/>
            </w:tcBorders>
            <w:shd w:val="clear" w:color="auto" w:fill="auto"/>
            <w:noWrap/>
            <w:vAlign w:val="bottom"/>
          </w:tcPr>
          <w:p w14:paraId="1317A51D">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1204" w:type="dxa"/>
            <w:tcBorders>
              <w:top w:val="nil"/>
              <w:left w:val="nil"/>
              <w:bottom w:val="nil"/>
              <w:right w:val="nil"/>
            </w:tcBorders>
            <w:shd w:val="clear" w:color="auto" w:fill="auto"/>
            <w:noWrap/>
            <w:vAlign w:val="bottom"/>
          </w:tcPr>
          <w:p w14:paraId="766092D8">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1134" w:type="dxa"/>
            <w:tcBorders>
              <w:top w:val="nil"/>
              <w:left w:val="nil"/>
              <w:bottom w:val="nil"/>
              <w:right w:val="nil"/>
            </w:tcBorders>
            <w:shd w:val="clear" w:color="auto" w:fill="auto"/>
            <w:noWrap/>
            <w:vAlign w:val="bottom"/>
          </w:tcPr>
          <w:p w14:paraId="0E456340">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1276" w:type="dxa"/>
            <w:tcBorders>
              <w:top w:val="nil"/>
              <w:left w:val="nil"/>
              <w:bottom w:val="nil"/>
              <w:right w:val="nil"/>
            </w:tcBorders>
            <w:shd w:val="clear" w:color="auto" w:fill="auto"/>
            <w:noWrap/>
            <w:vAlign w:val="bottom"/>
          </w:tcPr>
          <w:p w14:paraId="3767C36D">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1134" w:type="dxa"/>
            <w:tcBorders>
              <w:top w:val="nil"/>
              <w:left w:val="nil"/>
              <w:bottom w:val="nil"/>
              <w:right w:val="nil"/>
            </w:tcBorders>
            <w:shd w:val="clear" w:color="auto" w:fill="auto"/>
            <w:noWrap/>
            <w:vAlign w:val="bottom"/>
          </w:tcPr>
          <w:p w14:paraId="434268B3">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1134" w:type="dxa"/>
            <w:tcBorders>
              <w:top w:val="nil"/>
              <w:left w:val="nil"/>
              <w:bottom w:val="nil"/>
              <w:right w:val="nil"/>
            </w:tcBorders>
            <w:shd w:val="clear" w:color="auto" w:fill="auto"/>
            <w:noWrap/>
            <w:vAlign w:val="bottom"/>
          </w:tcPr>
          <w:p w14:paraId="216A6B6D">
            <w:pPr>
              <w:keepNext w:val="0"/>
              <w:keepLines w:val="0"/>
              <w:pageBreakBefore w:val="0"/>
              <w:widowControl/>
              <w:kinsoku/>
              <w:wordWrap/>
              <w:overflowPunct/>
              <w:topLinePunct w:val="0"/>
              <w:autoSpaceDE/>
              <w:autoSpaceDN/>
              <w:bidi w:val="0"/>
              <w:adjustRightInd/>
              <w:snapToGrid/>
              <w:spacing w:line="400" w:lineRule="exact"/>
              <w:jc w:val="left"/>
              <w:rPr>
                <w:rFonts w:ascii="Times New Roman" w:hAnsi="Times New Roman" w:eastAsia="Times New Roman" w:cs="Times New Roman"/>
                <w:kern w:val="0"/>
                <w:sz w:val="22"/>
                <w:szCs w:val="22"/>
              </w:rPr>
            </w:pPr>
          </w:p>
        </w:tc>
        <w:tc>
          <w:tcPr>
            <w:tcW w:w="2410" w:type="dxa"/>
            <w:gridSpan w:val="2"/>
            <w:tcBorders>
              <w:top w:val="nil"/>
              <w:left w:val="nil"/>
              <w:bottom w:val="single" w:color="000000" w:sz="4" w:space="0"/>
              <w:right w:val="nil"/>
            </w:tcBorders>
            <w:shd w:val="clear" w:color="auto" w:fill="auto"/>
            <w:noWrap/>
            <w:vAlign w:val="bottom"/>
          </w:tcPr>
          <w:p w14:paraId="3B6DBE5B">
            <w:pPr>
              <w:keepNext w:val="0"/>
              <w:keepLines w:val="0"/>
              <w:pageBreakBefore w:val="0"/>
              <w:widowControl/>
              <w:kinsoku/>
              <w:wordWrap/>
              <w:overflowPunct/>
              <w:topLinePunct w:val="0"/>
              <w:autoSpaceDE/>
              <w:autoSpaceDN/>
              <w:bidi w:val="0"/>
              <w:adjustRightInd/>
              <w:snapToGrid/>
              <w:spacing w:line="400" w:lineRule="exact"/>
              <w:jc w:val="right"/>
              <w:rPr>
                <w:rFonts w:ascii="宋体" w:hAnsi="宋体" w:eastAsia="宋体" w:cs="Arial"/>
                <w:color w:val="000000"/>
                <w:kern w:val="0"/>
                <w:sz w:val="22"/>
                <w:szCs w:val="22"/>
              </w:rPr>
            </w:pPr>
            <w:r>
              <w:rPr>
                <w:rFonts w:hint="eastAsia" w:ascii="宋体" w:hAnsi="宋体" w:eastAsia="宋体" w:cs="Arial"/>
                <w:color w:val="000000"/>
                <w:kern w:val="0"/>
                <w:sz w:val="22"/>
                <w:szCs w:val="22"/>
              </w:rPr>
              <w:t>金额单位：万元</w:t>
            </w:r>
          </w:p>
        </w:tc>
      </w:tr>
      <w:tr w14:paraId="0C0EDD5E">
        <w:tblPrEx>
          <w:tblCellMar>
            <w:top w:w="0" w:type="dxa"/>
            <w:left w:w="108" w:type="dxa"/>
            <w:bottom w:w="0" w:type="dxa"/>
            <w:right w:w="108" w:type="dxa"/>
          </w:tblCellMar>
        </w:tblPrEx>
        <w:trPr>
          <w:trHeight w:val="308" w:hRule="atLeast"/>
          <w:jc w:val="center"/>
        </w:trPr>
        <w:tc>
          <w:tcPr>
            <w:tcW w:w="680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ACF310D">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color w:val="000000"/>
                <w:kern w:val="0"/>
                <w:sz w:val="22"/>
              </w:rPr>
            </w:pPr>
            <w:r>
              <w:rPr>
                <w:rFonts w:hint="eastAsia" w:ascii="宋体" w:hAnsi="宋体" w:eastAsia="宋体" w:cs="Arial"/>
                <w:color w:val="000000"/>
                <w:kern w:val="0"/>
                <w:sz w:val="22"/>
              </w:rPr>
              <w:t>预算数</w:t>
            </w:r>
          </w:p>
        </w:tc>
        <w:tc>
          <w:tcPr>
            <w:tcW w:w="7088" w:type="dxa"/>
            <w:gridSpan w:val="6"/>
            <w:tcBorders>
              <w:top w:val="single" w:color="000000" w:sz="4" w:space="0"/>
              <w:left w:val="nil"/>
              <w:bottom w:val="single" w:color="000000" w:sz="4" w:space="0"/>
              <w:right w:val="single" w:color="000000" w:sz="4" w:space="0"/>
            </w:tcBorders>
            <w:shd w:val="clear" w:color="auto" w:fill="auto"/>
            <w:vAlign w:val="center"/>
          </w:tcPr>
          <w:p w14:paraId="33017063">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r>
      <w:tr w14:paraId="1E1B7591">
        <w:tblPrEx>
          <w:tblCellMar>
            <w:top w:w="0" w:type="dxa"/>
            <w:left w:w="108" w:type="dxa"/>
            <w:bottom w:w="0" w:type="dxa"/>
            <w:right w:w="108" w:type="dxa"/>
          </w:tblCellMar>
        </w:tblPrEx>
        <w:trPr>
          <w:trHeight w:val="308" w:hRule="atLeast"/>
          <w:jc w:val="center"/>
        </w:trPr>
        <w:tc>
          <w:tcPr>
            <w:tcW w:w="1120" w:type="dxa"/>
            <w:vMerge w:val="restart"/>
            <w:tcBorders>
              <w:top w:val="nil"/>
              <w:left w:val="single" w:color="000000" w:sz="4" w:space="0"/>
              <w:bottom w:val="single" w:color="000000" w:sz="4" w:space="0"/>
              <w:right w:val="single" w:color="000000" w:sz="4" w:space="0"/>
            </w:tcBorders>
            <w:shd w:val="clear" w:color="auto" w:fill="auto"/>
            <w:vAlign w:val="center"/>
          </w:tcPr>
          <w:p w14:paraId="60DF3ED1">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合计</w:t>
            </w:r>
          </w:p>
        </w:tc>
        <w:tc>
          <w:tcPr>
            <w:tcW w:w="1120" w:type="dxa"/>
            <w:vMerge w:val="restart"/>
            <w:tcBorders>
              <w:top w:val="nil"/>
              <w:left w:val="nil"/>
              <w:bottom w:val="single" w:color="000000" w:sz="4" w:space="0"/>
              <w:right w:val="single" w:color="000000" w:sz="4" w:space="0"/>
            </w:tcBorders>
            <w:shd w:val="clear" w:color="auto" w:fill="auto"/>
            <w:vAlign w:val="center"/>
          </w:tcPr>
          <w:p w14:paraId="13D0156D">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因公出国（境）费</w:t>
            </w:r>
          </w:p>
        </w:tc>
        <w:tc>
          <w:tcPr>
            <w:tcW w:w="3360" w:type="dxa"/>
            <w:gridSpan w:val="3"/>
            <w:tcBorders>
              <w:top w:val="nil"/>
              <w:left w:val="nil"/>
              <w:bottom w:val="single" w:color="000000" w:sz="4" w:space="0"/>
              <w:right w:val="single" w:color="000000" w:sz="4" w:space="0"/>
            </w:tcBorders>
            <w:shd w:val="clear" w:color="auto" w:fill="auto"/>
            <w:vAlign w:val="center"/>
          </w:tcPr>
          <w:p w14:paraId="12286F61">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公务用车购置及运行</w:t>
            </w:r>
            <w:r>
              <w:rPr>
                <w:rFonts w:hint="eastAsia" w:ascii="宋体" w:hAnsi="宋体" w:eastAsia="宋体" w:cs="Arial"/>
                <w:b w:val="0"/>
                <w:bCs w:val="0"/>
                <w:color w:val="000000"/>
                <w:kern w:val="0"/>
                <w:sz w:val="22"/>
                <w:lang w:eastAsia="zh-CN"/>
              </w:rPr>
              <w:t>维护</w:t>
            </w:r>
            <w:r>
              <w:rPr>
                <w:rFonts w:hint="eastAsia" w:ascii="宋体" w:hAnsi="宋体" w:eastAsia="宋体" w:cs="Arial"/>
                <w:b w:val="0"/>
                <w:bCs w:val="0"/>
                <w:color w:val="000000"/>
                <w:kern w:val="0"/>
                <w:sz w:val="22"/>
              </w:rPr>
              <w:t>费</w:t>
            </w:r>
          </w:p>
        </w:tc>
        <w:tc>
          <w:tcPr>
            <w:tcW w:w="1204" w:type="dxa"/>
            <w:vMerge w:val="restart"/>
            <w:tcBorders>
              <w:top w:val="nil"/>
              <w:left w:val="nil"/>
              <w:bottom w:val="single" w:color="000000" w:sz="4" w:space="0"/>
              <w:right w:val="single" w:color="000000" w:sz="4" w:space="0"/>
            </w:tcBorders>
            <w:shd w:val="clear" w:color="auto" w:fill="auto"/>
            <w:vAlign w:val="center"/>
          </w:tcPr>
          <w:p w14:paraId="76D81DF8">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公务接待费</w:t>
            </w:r>
          </w:p>
        </w:tc>
        <w:tc>
          <w:tcPr>
            <w:tcW w:w="1134" w:type="dxa"/>
            <w:vMerge w:val="restart"/>
            <w:tcBorders>
              <w:top w:val="nil"/>
              <w:left w:val="nil"/>
              <w:bottom w:val="single" w:color="000000" w:sz="4" w:space="0"/>
              <w:right w:val="single" w:color="000000" w:sz="4" w:space="0"/>
            </w:tcBorders>
            <w:shd w:val="clear" w:color="auto" w:fill="auto"/>
            <w:vAlign w:val="center"/>
          </w:tcPr>
          <w:p w14:paraId="01F8967A">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合计</w:t>
            </w:r>
          </w:p>
        </w:tc>
        <w:tc>
          <w:tcPr>
            <w:tcW w:w="1276" w:type="dxa"/>
            <w:vMerge w:val="restart"/>
            <w:tcBorders>
              <w:top w:val="nil"/>
              <w:left w:val="nil"/>
              <w:bottom w:val="single" w:color="000000" w:sz="4" w:space="0"/>
              <w:right w:val="single" w:color="000000" w:sz="4" w:space="0"/>
            </w:tcBorders>
            <w:shd w:val="clear" w:color="auto" w:fill="auto"/>
            <w:vAlign w:val="center"/>
          </w:tcPr>
          <w:p w14:paraId="42FFF8FD">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因公出国（境）费</w:t>
            </w:r>
          </w:p>
        </w:tc>
        <w:tc>
          <w:tcPr>
            <w:tcW w:w="3402" w:type="dxa"/>
            <w:gridSpan w:val="3"/>
            <w:tcBorders>
              <w:top w:val="nil"/>
              <w:left w:val="nil"/>
              <w:bottom w:val="single" w:color="000000" w:sz="4" w:space="0"/>
              <w:right w:val="single" w:color="000000" w:sz="4" w:space="0"/>
            </w:tcBorders>
            <w:shd w:val="clear" w:color="auto" w:fill="auto"/>
            <w:vAlign w:val="center"/>
          </w:tcPr>
          <w:p w14:paraId="2F4260F9">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公务用车购置及运行</w:t>
            </w:r>
            <w:r>
              <w:rPr>
                <w:rFonts w:hint="eastAsia" w:ascii="宋体" w:hAnsi="宋体" w:eastAsia="宋体" w:cs="Arial"/>
                <w:b w:val="0"/>
                <w:bCs w:val="0"/>
                <w:color w:val="000000"/>
                <w:kern w:val="0"/>
                <w:sz w:val="22"/>
                <w:lang w:eastAsia="zh-CN"/>
              </w:rPr>
              <w:t>维护</w:t>
            </w:r>
            <w:r>
              <w:rPr>
                <w:rFonts w:hint="eastAsia" w:ascii="宋体" w:hAnsi="宋体" w:eastAsia="宋体" w:cs="Arial"/>
                <w:b w:val="0"/>
                <w:bCs w:val="0"/>
                <w:color w:val="000000"/>
                <w:kern w:val="0"/>
                <w:sz w:val="22"/>
              </w:rPr>
              <w:t>费</w:t>
            </w:r>
          </w:p>
        </w:tc>
        <w:tc>
          <w:tcPr>
            <w:tcW w:w="1276" w:type="dxa"/>
            <w:vMerge w:val="restart"/>
            <w:tcBorders>
              <w:top w:val="nil"/>
              <w:left w:val="nil"/>
              <w:bottom w:val="single" w:color="000000" w:sz="4" w:space="0"/>
              <w:right w:val="single" w:color="000000" w:sz="4" w:space="0"/>
            </w:tcBorders>
            <w:shd w:val="clear" w:color="auto" w:fill="auto"/>
            <w:vAlign w:val="center"/>
          </w:tcPr>
          <w:p w14:paraId="2835682A">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公务接待费</w:t>
            </w:r>
          </w:p>
        </w:tc>
      </w:tr>
      <w:tr w14:paraId="22CC75E1">
        <w:tblPrEx>
          <w:tblCellMar>
            <w:top w:w="0" w:type="dxa"/>
            <w:left w:w="108" w:type="dxa"/>
            <w:bottom w:w="0" w:type="dxa"/>
            <w:right w:w="108" w:type="dxa"/>
          </w:tblCellMar>
        </w:tblPrEx>
        <w:trPr>
          <w:trHeight w:val="615" w:hRule="atLeast"/>
          <w:jc w:val="center"/>
        </w:trPr>
        <w:tc>
          <w:tcPr>
            <w:tcW w:w="1120" w:type="dxa"/>
            <w:vMerge w:val="continue"/>
            <w:tcBorders>
              <w:top w:val="nil"/>
              <w:left w:val="single" w:color="000000" w:sz="4" w:space="0"/>
              <w:bottom w:val="single" w:color="000000" w:sz="4" w:space="0"/>
              <w:right w:val="single" w:color="000000" w:sz="4" w:space="0"/>
            </w:tcBorders>
            <w:shd w:val="clear" w:color="auto" w:fill="auto"/>
            <w:vAlign w:val="center"/>
          </w:tcPr>
          <w:p w14:paraId="6F58EDA1">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p>
        </w:tc>
        <w:tc>
          <w:tcPr>
            <w:tcW w:w="1120" w:type="dxa"/>
            <w:vMerge w:val="continue"/>
            <w:tcBorders>
              <w:top w:val="nil"/>
              <w:left w:val="nil"/>
              <w:bottom w:val="single" w:color="000000" w:sz="4" w:space="0"/>
              <w:right w:val="single" w:color="000000" w:sz="4" w:space="0"/>
            </w:tcBorders>
            <w:shd w:val="clear" w:color="auto" w:fill="auto"/>
            <w:vAlign w:val="center"/>
          </w:tcPr>
          <w:p w14:paraId="6793C04F">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p>
        </w:tc>
        <w:tc>
          <w:tcPr>
            <w:tcW w:w="1120" w:type="dxa"/>
            <w:tcBorders>
              <w:top w:val="nil"/>
              <w:left w:val="nil"/>
              <w:bottom w:val="single" w:color="000000" w:sz="4" w:space="0"/>
              <w:right w:val="single" w:color="000000" w:sz="4" w:space="0"/>
            </w:tcBorders>
            <w:shd w:val="clear" w:color="auto" w:fill="auto"/>
            <w:vAlign w:val="center"/>
          </w:tcPr>
          <w:p w14:paraId="28406943">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小计</w:t>
            </w:r>
          </w:p>
        </w:tc>
        <w:tc>
          <w:tcPr>
            <w:tcW w:w="1120" w:type="dxa"/>
            <w:tcBorders>
              <w:top w:val="nil"/>
              <w:left w:val="nil"/>
              <w:bottom w:val="single" w:color="000000" w:sz="4" w:space="0"/>
              <w:right w:val="single" w:color="000000" w:sz="4" w:space="0"/>
            </w:tcBorders>
            <w:shd w:val="clear" w:color="auto" w:fill="auto"/>
            <w:vAlign w:val="center"/>
          </w:tcPr>
          <w:p w14:paraId="2E16A7B7">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公务用车购置费</w:t>
            </w:r>
          </w:p>
        </w:tc>
        <w:tc>
          <w:tcPr>
            <w:tcW w:w="1120" w:type="dxa"/>
            <w:tcBorders>
              <w:top w:val="nil"/>
              <w:left w:val="nil"/>
              <w:bottom w:val="single" w:color="000000" w:sz="4" w:space="0"/>
              <w:right w:val="single" w:color="000000" w:sz="4" w:space="0"/>
            </w:tcBorders>
            <w:shd w:val="clear" w:color="auto" w:fill="auto"/>
            <w:vAlign w:val="center"/>
          </w:tcPr>
          <w:p w14:paraId="1C678C8D">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公务用车运行</w:t>
            </w:r>
            <w:r>
              <w:rPr>
                <w:rFonts w:hint="eastAsia" w:ascii="宋体" w:hAnsi="宋体" w:eastAsia="宋体" w:cs="Arial"/>
                <w:b w:val="0"/>
                <w:bCs w:val="0"/>
                <w:color w:val="000000"/>
                <w:kern w:val="0"/>
                <w:sz w:val="22"/>
                <w:lang w:eastAsia="zh-CN"/>
              </w:rPr>
              <w:t>维护</w:t>
            </w:r>
            <w:r>
              <w:rPr>
                <w:rFonts w:hint="eastAsia" w:ascii="宋体" w:hAnsi="宋体" w:eastAsia="宋体" w:cs="Arial"/>
                <w:b w:val="0"/>
                <w:bCs w:val="0"/>
                <w:color w:val="000000"/>
                <w:kern w:val="0"/>
                <w:sz w:val="22"/>
              </w:rPr>
              <w:t>费</w:t>
            </w:r>
          </w:p>
        </w:tc>
        <w:tc>
          <w:tcPr>
            <w:tcW w:w="1204" w:type="dxa"/>
            <w:vMerge w:val="continue"/>
            <w:tcBorders>
              <w:top w:val="nil"/>
              <w:left w:val="nil"/>
              <w:bottom w:val="single" w:color="000000" w:sz="4" w:space="0"/>
              <w:right w:val="single" w:color="000000" w:sz="4" w:space="0"/>
            </w:tcBorders>
            <w:shd w:val="clear" w:color="auto" w:fill="auto"/>
            <w:vAlign w:val="center"/>
          </w:tcPr>
          <w:p w14:paraId="59CF3038">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p>
        </w:tc>
        <w:tc>
          <w:tcPr>
            <w:tcW w:w="1134" w:type="dxa"/>
            <w:vMerge w:val="continue"/>
            <w:tcBorders>
              <w:top w:val="nil"/>
              <w:left w:val="nil"/>
              <w:bottom w:val="single" w:color="000000" w:sz="4" w:space="0"/>
              <w:right w:val="single" w:color="000000" w:sz="4" w:space="0"/>
            </w:tcBorders>
            <w:shd w:val="clear" w:color="auto" w:fill="auto"/>
            <w:vAlign w:val="center"/>
          </w:tcPr>
          <w:p w14:paraId="602F9F17">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p>
        </w:tc>
        <w:tc>
          <w:tcPr>
            <w:tcW w:w="1276" w:type="dxa"/>
            <w:vMerge w:val="continue"/>
            <w:tcBorders>
              <w:top w:val="nil"/>
              <w:left w:val="nil"/>
              <w:bottom w:val="single" w:color="000000" w:sz="4" w:space="0"/>
              <w:right w:val="single" w:color="000000" w:sz="4" w:space="0"/>
            </w:tcBorders>
            <w:shd w:val="clear" w:color="auto" w:fill="auto"/>
            <w:vAlign w:val="center"/>
          </w:tcPr>
          <w:p w14:paraId="78E06A82">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p>
        </w:tc>
        <w:tc>
          <w:tcPr>
            <w:tcW w:w="1134" w:type="dxa"/>
            <w:tcBorders>
              <w:top w:val="nil"/>
              <w:left w:val="nil"/>
              <w:bottom w:val="single" w:color="000000" w:sz="4" w:space="0"/>
              <w:right w:val="single" w:color="000000" w:sz="4" w:space="0"/>
            </w:tcBorders>
            <w:shd w:val="clear" w:color="auto" w:fill="auto"/>
            <w:vAlign w:val="center"/>
          </w:tcPr>
          <w:p w14:paraId="189C54C6">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小计</w:t>
            </w:r>
          </w:p>
        </w:tc>
        <w:tc>
          <w:tcPr>
            <w:tcW w:w="1134" w:type="dxa"/>
            <w:tcBorders>
              <w:top w:val="nil"/>
              <w:left w:val="nil"/>
              <w:bottom w:val="single" w:color="000000" w:sz="4" w:space="0"/>
              <w:right w:val="single" w:color="000000" w:sz="4" w:space="0"/>
            </w:tcBorders>
            <w:shd w:val="clear" w:color="auto" w:fill="auto"/>
            <w:vAlign w:val="center"/>
          </w:tcPr>
          <w:p w14:paraId="50DDF8D0">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公务用车购置费</w:t>
            </w:r>
          </w:p>
        </w:tc>
        <w:tc>
          <w:tcPr>
            <w:tcW w:w="1134" w:type="dxa"/>
            <w:tcBorders>
              <w:top w:val="nil"/>
              <w:left w:val="nil"/>
              <w:bottom w:val="single" w:color="000000" w:sz="4" w:space="0"/>
              <w:right w:val="single" w:color="000000" w:sz="4" w:space="0"/>
            </w:tcBorders>
            <w:shd w:val="clear" w:color="auto" w:fill="auto"/>
            <w:vAlign w:val="center"/>
          </w:tcPr>
          <w:p w14:paraId="651A46D9">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公务用车运行</w:t>
            </w:r>
            <w:r>
              <w:rPr>
                <w:rFonts w:hint="eastAsia" w:ascii="宋体" w:hAnsi="宋体" w:eastAsia="宋体" w:cs="Arial"/>
                <w:b w:val="0"/>
                <w:bCs w:val="0"/>
                <w:color w:val="000000"/>
                <w:kern w:val="0"/>
                <w:sz w:val="22"/>
                <w:lang w:eastAsia="zh-CN"/>
              </w:rPr>
              <w:t>维护</w:t>
            </w:r>
            <w:r>
              <w:rPr>
                <w:rFonts w:hint="eastAsia" w:ascii="宋体" w:hAnsi="宋体" w:eastAsia="宋体" w:cs="Arial"/>
                <w:b w:val="0"/>
                <w:bCs w:val="0"/>
                <w:color w:val="000000"/>
                <w:kern w:val="0"/>
                <w:sz w:val="22"/>
              </w:rPr>
              <w:t>费</w:t>
            </w:r>
          </w:p>
        </w:tc>
        <w:tc>
          <w:tcPr>
            <w:tcW w:w="1276" w:type="dxa"/>
            <w:vMerge w:val="continue"/>
            <w:tcBorders>
              <w:top w:val="nil"/>
              <w:left w:val="nil"/>
              <w:bottom w:val="single" w:color="000000" w:sz="4" w:space="0"/>
              <w:right w:val="single" w:color="000000" w:sz="4" w:space="0"/>
            </w:tcBorders>
            <w:shd w:val="clear" w:color="auto" w:fill="auto"/>
            <w:vAlign w:val="center"/>
          </w:tcPr>
          <w:p w14:paraId="05146E6F">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p>
        </w:tc>
      </w:tr>
      <w:tr w14:paraId="5277AD20">
        <w:tblPrEx>
          <w:tblCellMar>
            <w:top w:w="0" w:type="dxa"/>
            <w:left w:w="108" w:type="dxa"/>
            <w:bottom w:w="0" w:type="dxa"/>
            <w:right w:w="108" w:type="dxa"/>
          </w:tblCellMar>
        </w:tblPrEx>
        <w:trPr>
          <w:trHeight w:val="308" w:hRule="atLeast"/>
          <w:jc w:val="center"/>
        </w:trPr>
        <w:tc>
          <w:tcPr>
            <w:tcW w:w="1120" w:type="dxa"/>
            <w:tcBorders>
              <w:top w:val="nil"/>
              <w:left w:val="single" w:color="000000" w:sz="4" w:space="0"/>
              <w:bottom w:val="single" w:color="000000" w:sz="4" w:space="0"/>
              <w:right w:val="single" w:color="000000" w:sz="4" w:space="0"/>
            </w:tcBorders>
            <w:shd w:val="clear" w:color="auto" w:fill="auto"/>
            <w:vAlign w:val="center"/>
          </w:tcPr>
          <w:p w14:paraId="36D396C8">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1</w:t>
            </w:r>
          </w:p>
        </w:tc>
        <w:tc>
          <w:tcPr>
            <w:tcW w:w="1120" w:type="dxa"/>
            <w:tcBorders>
              <w:top w:val="nil"/>
              <w:left w:val="nil"/>
              <w:bottom w:val="single" w:color="000000" w:sz="4" w:space="0"/>
              <w:right w:val="single" w:color="000000" w:sz="4" w:space="0"/>
            </w:tcBorders>
            <w:shd w:val="clear" w:color="auto" w:fill="auto"/>
            <w:vAlign w:val="center"/>
          </w:tcPr>
          <w:p w14:paraId="03C23FD3">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2</w:t>
            </w:r>
          </w:p>
        </w:tc>
        <w:tc>
          <w:tcPr>
            <w:tcW w:w="1120" w:type="dxa"/>
            <w:tcBorders>
              <w:top w:val="nil"/>
              <w:left w:val="nil"/>
              <w:bottom w:val="single" w:color="000000" w:sz="4" w:space="0"/>
              <w:right w:val="single" w:color="000000" w:sz="4" w:space="0"/>
            </w:tcBorders>
            <w:shd w:val="clear" w:color="auto" w:fill="auto"/>
            <w:vAlign w:val="center"/>
          </w:tcPr>
          <w:p w14:paraId="377FFC14">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3</w:t>
            </w:r>
          </w:p>
        </w:tc>
        <w:tc>
          <w:tcPr>
            <w:tcW w:w="1120" w:type="dxa"/>
            <w:tcBorders>
              <w:top w:val="nil"/>
              <w:left w:val="nil"/>
              <w:bottom w:val="single" w:color="000000" w:sz="4" w:space="0"/>
              <w:right w:val="single" w:color="000000" w:sz="4" w:space="0"/>
            </w:tcBorders>
            <w:shd w:val="clear" w:color="auto" w:fill="auto"/>
            <w:vAlign w:val="center"/>
          </w:tcPr>
          <w:p w14:paraId="14BC489B">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4</w:t>
            </w:r>
          </w:p>
        </w:tc>
        <w:tc>
          <w:tcPr>
            <w:tcW w:w="1120" w:type="dxa"/>
            <w:tcBorders>
              <w:top w:val="nil"/>
              <w:left w:val="nil"/>
              <w:bottom w:val="single" w:color="000000" w:sz="4" w:space="0"/>
              <w:right w:val="single" w:color="000000" w:sz="4" w:space="0"/>
            </w:tcBorders>
            <w:shd w:val="clear" w:color="auto" w:fill="auto"/>
            <w:vAlign w:val="center"/>
          </w:tcPr>
          <w:p w14:paraId="61B24BAF">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5</w:t>
            </w:r>
          </w:p>
        </w:tc>
        <w:tc>
          <w:tcPr>
            <w:tcW w:w="1204" w:type="dxa"/>
            <w:tcBorders>
              <w:top w:val="nil"/>
              <w:left w:val="nil"/>
              <w:bottom w:val="single" w:color="000000" w:sz="4" w:space="0"/>
              <w:right w:val="single" w:color="000000" w:sz="4" w:space="0"/>
            </w:tcBorders>
            <w:shd w:val="clear" w:color="auto" w:fill="auto"/>
            <w:vAlign w:val="center"/>
          </w:tcPr>
          <w:p w14:paraId="58FCC9A0">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6</w:t>
            </w:r>
          </w:p>
        </w:tc>
        <w:tc>
          <w:tcPr>
            <w:tcW w:w="1134" w:type="dxa"/>
            <w:tcBorders>
              <w:top w:val="nil"/>
              <w:left w:val="nil"/>
              <w:bottom w:val="single" w:color="000000" w:sz="4" w:space="0"/>
              <w:right w:val="single" w:color="000000" w:sz="4" w:space="0"/>
            </w:tcBorders>
            <w:shd w:val="clear" w:color="auto" w:fill="auto"/>
            <w:vAlign w:val="center"/>
          </w:tcPr>
          <w:p w14:paraId="66356C19">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7</w:t>
            </w:r>
          </w:p>
        </w:tc>
        <w:tc>
          <w:tcPr>
            <w:tcW w:w="1276" w:type="dxa"/>
            <w:tcBorders>
              <w:top w:val="nil"/>
              <w:left w:val="nil"/>
              <w:bottom w:val="single" w:color="000000" w:sz="4" w:space="0"/>
              <w:right w:val="single" w:color="000000" w:sz="4" w:space="0"/>
            </w:tcBorders>
            <w:shd w:val="clear" w:color="auto" w:fill="auto"/>
            <w:vAlign w:val="center"/>
          </w:tcPr>
          <w:p w14:paraId="261EF08A">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8</w:t>
            </w:r>
          </w:p>
        </w:tc>
        <w:tc>
          <w:tcPr>
            <w:tcW w:w="1134" w:type="dxa"/>
            <w:tcBorders>
              <w:top w:val="nil"/>
              <w:left w:val="nil"/>
              <w:bottom w:val="single" w:color="000000" w:sz="4" w:space="0"/>
              <w:right w:val="single" w:color="000000" w:sz="4" w:space="0"/>
            </w:tcBorders>
            <w:shd w:val="clear" w:color="auto" w:fill="auto"/>
            <w:vAlign w:val="center"/>
          </w:tcPr>
          <w:p w14:paraId="0E744B9E">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9</w:t>
            </w:r>
          </w:p>
        </w:tc>
        <w:tc>
          <w:tcPr>
            <w:tcW w:w="1134" w:type="dxa"/>
            <w:tcBorders>
              <w:top w:val="nil"/>
              <w:left w:val="nil"/>
              <w:bottom w:val="single" w:color="000000" w:sz="4" w:space="0"/>
              <w:right w:val="single" w:color="000000" w:sz="4" w:space="0"/>
            </w:tcBorders>
            <w:shd w:val="clear" w:color="auto" w:fill="auto"/>
            <w:vAlign w:val="center"/>
          </w:tcPr>
          <w:p w14:paraId="0C028F39">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10</w:t>
            </w:r>
          </w:p>
        </w:tc>
        <w:tc>
          <w:tcPr>
            <w:tcW w:w="1134" w:type="dxa"/>
            <w:tcBorders>
              <w:top w:val="nil"/>
              <w:left w:val="nil"/>
              <w:bottom w:val="single" w:color="000000" w:sz="4" w:space="0"/>
              <w:right w:val="single" w:color="000000" w:sz="4" w:space="0"/>
            </w:tcBorders>
            <w:shd w:val="clear" w:color="auto" w:fill="auto"/>
            <w:vAlign w:val="center"/>
          </w:tcPr>
          <w:p w14:paraId="0E99EE22">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11</w:t>
            </w:r>
          </w:p>
        </w:tc>
        <w:tc>
          <w:tcPr>
            <w:tcW w:w="1276" w:type="dxa"/>
            <w:tcBorders>
              <w:top w:val="nil"/>
              <w:left w:val="nil"/>
              <w:bottom w:val="single" w:color="000000" w:sz="4" w:space="0"/>
              <w:right w:val="single" w:color="000000" w:sz="4" w:space="0"/>
            </w:tcBorders>
            <w:shd w:val="clear" w:color="auto" w:fill="auto"/>
            <w:vAlign w:val="center"/>
          </w:tcPr>
          <w:p w14:paraId="7E58098A">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宋体" w:cs="Arial"/>
                <w:b w:val="0"/>
                <w:bCs w:val="0"/>
                <w:color w:val="000000"/>
                <w:kern w:val="0"/>
                <w:sz w:val="22"/>
              </w:rPr>
            </w:pPr>
            <w:r>
              <w:rPr>
                <w:rFonts w:hint="eastAsia" w:ascii="宋体" w:hAnsi="宋体" w:eastAsia="宋体" w:cs="Arial"/>
                <w:b w:val="0"/>
                <w:bCs w:val="0"/>
                <w:color w:val="000000"/>
                <w:kern w:val="0"/>
                <w:sz w:val="22"/>
              </w:rPr>
              <w:t>12</w:t>
            </w:r>
          </w:p>
        </w:tc>
      </w:tr>
      <w:tr w14:paraId="757D4038">
        <w:tblPrEx>
          <w:tblCellMar>
            <w:top w:w="0" w:type="dxa"/>
            <w:left w:w="108" w:type="dxa"/>
            <w:bottom w:w="0" w:type="dxa"/>
            <w:right w:w="108" w:type="dxa"/>
          </w:tblCellMar>
        </w:tblPrEx>
        <w:trPr>
          <w:trHeight w:val="308" w:hRule="atLeast"/>
          <w:jc w:val="center"/>
        </w:trPr>
        <w:tc>
          <w:tcPr>
            <w:tcW w:w="1120" w:type="dxa"/>
            <w:tcBorders>
              <w:top w:val="nil"/>
              <w:left w:val="single" w:color="000000" w:sz="4" w:space="0"/>
              <w:bottom w:val="single" w:color="000000" w:sz="4" w:space="0"/>
              <w:right w:val="single" w:color="000000" w:sz="4" w:space="0"/>
            </w:tcBorders>
            <w:shd w:val="clear" w:color="auto" w:fill="auto"/>
            <w:noWrap/>
            <w:vAlign w:val="center"/>
          </w:tcPr>
          <w:p w14:paraId="136676A7">
            <w:pPr>
              <w:keepNext w:val="0"/>
              <w:keepLines w:val="0"/>
              <w:widowControl/>
              <w:suppressLineNumbers w:val="0"/>
              <w:jc w:val="right"/>
              <w:textAlignment w:val="center"/>
              <w:rPr>
                <w:rFonts w:hint="default" w:ascii="宋体" w:hAnsi="宋体" w:eastAsia="宋体" w:cs="Arial"/>
                <w:b w:val="0"/>
                <w:bCs w:val="0"/>
                <w:color w:val="000000"/>
                <w:kern w:val="0"/>
                <w:sz w:val="22"/>
                <w:lang w:val="en-US"/>
              </w:rPr>
            </w:pPr>
            <w:r>
              <w:rPr>
                <w:rFonts w:hint="eastAsia" w:ascii="宋体" w:hAnsi="宋体" w:eastAsia="宋体" w:cs="宋体"/>
                <w:i w:val="0"/>
                <w:iCs w:val="0"/>
                <w:color w:val="000000"/>
                <w:kern w:val="0"/>
                <w:sz w:val="22"/>
                <w:szCs w:val="22"/>
                <w:u w:val="none"/>
                <w:lang w:val="en-US" w:eastAsia="zh-CN" w:bidi="ar"/>
              </w:rPr>
              <w:t>111.06</w:t>
            </w:r>
          </w:p>
        </w:tc>
        <w:tc>
          <w:tcPr>
            <w:tcW w:w="1120" w:type="dxa"/>
            <w:tcBorders>
              <w:top w:val="nil"/>
              <w:left w:val="nil"/>
              <w:bottom w:val="single" w:color="000000" w:sz="4" w:space="0"/>
              <w:right w:val="single" w:color="000000" w:sz="4" w:space="0"/>
            </w:tcBorders>
            <w:shd w:val="clear" w:color="auto" w:fill="auto"/>
            <w:noWrap/>
            <w:vAlign w:val="center"/>
          </w:tcPr>
          <w:p w14:paraId="28BEEE2F">
            <w:pPr>
              <w:keepNext w:val="0"/>
              <w:keepLines w:val="0"/>
              <w:widowControl/>
              <w:suppressLineNumbers w:val="0"/>
              <w:jc w:val="right"/>
              <w:textAlignment w:val="center"/>
              <w:rPr>
                <w:rFonts w:ascii="宋体" w:hAnsi="宋体" w:eastAsia="宋体" w:cs="Arial"/>
                <w:b w:val="0"/>
                <w:bCs w:val="0"/>
                <w:color w:val="000000"/>
                <w:kern w:val="0"/>
                <w:sz w:val="22"/>
              </w:rPr>
            </w:pPr>
          </w:p>
        </w:tc>
        <w:tc>
          <w:tcPr>
            <w:tcW w:w="1120" w:type="dxa"/>
            <w:tcBorders>
              <w:top w:val="nil"/>
              <w:left w:val="nil"/>
              <w:bottom w:val="single" w:color="000000" w:sz="4" w:space="0"/>
              <w:right w:val="single" w:color="000000" w:sz="4" w:space="0"/>
            </w:tcBorders>
            <w:shd w:val="clear" w:color="auto" w:fill="auto"/>
            <w:noWrap/>
            <w:vAlign w:val="center"/>
          </w:tcPr>
          <w:p w14:paraId="56882622">
            <w:pPr>
              <w:keepNext w:val="0"/>
              <w:keepLines w:val="0"/>
              <w:widowControl/>
              <w:suppressLineNumbers w:val="0"/>
              <w:jc w:val="right"/>
              <w:textAlignment w:val="center"/>
              <w:rPr>
                <w:rFonts w:hint="default" w:ascii="宋体" w:hAnsi="宋体" w:eastAsia="宋体" w:cs="Arial"/>
                <w:b w:val="0"/>
                <w:bCs w:val="0"/>
                <w:color w:val="000000"/>
                <w:kern w:val="0"/>
                <w:sz w:val="22"/>
                <w:lang w:val="en-US"/>
              </w:rPr>
            </w:pPr>
            <w:r>
              <w:rPr>
                <w:rFonts w:hint="eastAsia" w:ascii="宋体" w:hAnsi="宋体" w:eastAsia="宋体" w:cs="宋体"/>
                <w:i w:val="0"/>
                <w:iCs w:val="0"/>
                <w:color w:val="000000"/>
                <w:kern w:val="0"/>
                <w:sz w:val="22"/>
                <w:szCs w:val="22"/>
                <w:u w:val="none"/>
                <w:lang w:val="en-US" w:eastAsia="zh-CN" w:bidi="ar"/>
              </w:rPr>
              <w:t>105.38</w:t>
            </w:r>
          </w:p>
        </w:tc>
        <w:tc>
          <w:tcPr>
            <w:tcW w:w="1120" w:type="dxa"/>
            <w:tcBorders>
              <w:top w:val="nil"/>
              <w:left w:val="nil"/>
              <w:bottom w:val="single" w:color="000000" w:sz="4" w:space="0"/>
              <w:right w:val="single" w:color="000000" w:sz="4" w:space="0"/>
            </w:tcBorders>
            <w:shd w:val="clear" w:color="auto" w:fill="auto"/>
            <w:noWrap/>
            <w:vAlign w:val="center"/>
          </w:tcPr>
          <w:p w14:paraId="4D34E1E2">
            <w:pPr>
              <w:keepNext w:val="0"/>
              <w:keepLines w:val="0"/>
              <w:widowControl/>
              <w:suppressLineNumbers w:val="0"/>
              <w:jc w:val="right"/>
              <w:textAlignment w:val="center"/>
              <w:rPr>
                <w:rFonts w:hint="default" w:ascii="宋体" w:hAnsi="宋体" w:eastAsia="宋体" w:cs="Arial"/>
                <w:b w:val="0"/>
                <w:bCs w:val="0"/>
                <w:color w:val="000000"/>
                <w:kern w:val="0"/>
                <w:sz w:val="22"/>
                <w:lang w:val="en-US"/>
              </w:rPr>
            </w:pPr>
            <w:r>
              <w:rPr>
                <w:rFonts w:hint="eastAsia" w:ascii="宋体" w:hAnsi="宋体" w:eastAsia="宋体" w:cs="宋体"/>
                <w:i w:val="0"/>
                <w:iCs w:val="0"/>
                <w:color w:val="000000"/>
                <w:kern w:val="0"/>
                <w:sz w:val="22"/>
                <w:szCs w:val="22"/>
                <w:u w:val="none"/>
                <w:lang w:val="en-US" w:eastAsia="zh-CN" w:bidi="ar"/>
              </w:rPr>
              <w:t>50.97</w:t>
            </w:r>
          </w:p>
        </w:tc>
        <w:tc>
          <w:tcPr>
            <w:tcW w:w="1120" w:type="dxa"/>
            <w:tcBorders>
              <w:top w:val="nil"/>
              <w:left w:val="nil"/>
              <w:bottom w:val="single" w:color="000000" w:sz="4" w:space="0"/>
              <w:right w:val="single" w:color="000000" w:sz="4" w:space="0"/>
            </w:tcBorders>
            <w:shd w:val="clear" w:color="auto" w:fill="auto"/>
            <w:noWrap/>
            <w:vAlign w:val="center"/>
          </w:tcPr>
          <w:p w14:paraId="0DEF78D2">
            <w:pPr>
              <w:keepNext w:val="0"/>
              <w:keepLines w:val="0"/>
              <w:widowControl/>
              <w:suppressLineNumbers w:val="0"/>
              <w:jc w:val="right"/>
              <w:textAlignment w:val="center"/>
              <w:rPr>
                <w:rFonts w:hint="default" w:ascii="宋体" w:hAnsi="宋体" w:eastAsia="宋体" w:cs="Arial"/>
                <w:b w:val="0"/>
                <w:bCs w:val="0"/>
                <w:color w:val="000000"/>
                <w:kern w:val="0"/>
                <w:sz w:val="22"/>
                <w:lang w:val="en-US"/>
              </w:rPr>
            </w:pPr>
            <w:r>
              <w:rPr>
                <w:rFonts w:hint="eastAsia" w:ascii="宋体" w:hAnsi="宋体" w:eastAsia="宋体" w:cs="宋体"/>
                <w:i w:val="0"/>
                <w:iCs w:val="0"/>
                <w:color w:val="000000"/>
                <w:kern w:val="0"/>
                <w:sz w:val="22"/>
                <w:szCs w:val="22"/>
                <w:u w:val="none"/>
                <w:lang w:val="en-US" w:eastAsia="zh-CN" w:bidi="ar"/>
              </w:rPr>
              <w:t>54.41</w:t>
            </w:r>
          </w:p>
        </w:tc>
        <w:tc>
          <w:tcPr>
            <w:tcW w:w="1204" w:type="dxa"/>
            <w:tcBorders>
              <w:top w:val="nil"/>
              <w:left w:val="nil"/>
              <w:bottom w:val="single" w:color="000000" w:sz="4" w:space="0"/>
              <w:right w:val="single" w:color="000000" w:sz="4" w:space="0"/>
            </w:tcBorders>
            <w:shd w:val="clear" w:color="auto" w:fill="auto"/>
            <w:noWrap/>
            <w:vAlign w:val="center"/>
          </w:tcPr>
          <w:p w14:paraId="3DD53CE2">
            <w:pPr>
              <w:keepNext w:val="0"/>
              <w:keepLines w:val="0"/>
              <w:widowControl/>
              <w:suppressLineNumbers w:val="0"/>
              <w:jc w:val="right"/>
              <w:textAlignment w:val="center"/>
              <w:rPr>
                <w:rFonts w:hint="default" w:ascii="宋体" w:hAnsi="宋体" w:eastAsia="宋体" w:cs="Arial"/>
                <w:b w:val="0"/>
                <w:bCs w:val="0"/>
                <w:color w:val="000000"/>
                <w:kern w:val="0"/>
                <w:sz w:val="22"/>
                <w:lang w:val="en-US"/>
              </w:rPr>
            </w:pPr>
            <w:r>
              <w:rPr>
                <w:rFonts w:hint="eastAsia" w:ascii="宋体" w:hAnsi="宋体" w:eastAsia="宋体" w:cs="宋体"/>
                <w:i w:val="0"/>
                <w:iCs w:val="0"/>
                <w:color w:val="000000"/>
                <w:kern w:val="0"/>
                <w:sz w:val="22"/>
                <w:szCs w:val="22"/>
                <w:u w:val="none"/>
                <w:lang w:val="en-US" w:eastAsia="zh-CN" w:bidi="ar"/>
              </w:rPr>
              <w:t>5.68</w:t>
            </w:r>
          </w:p>
        </w:tc>
        <w:tc>
          <w:tcPr>
            <w:tcW w:w="1134" w:type="dxa"/>
            <w:tcBorders>
              <w:top w:val="nil"/>
              <w:left w:val="nil"/>
              <w:bottom w:val="single" w:color="000000" w:sz="4" w:space="0"/>
              <w:right w:val="single" w:color="000000" w:sz="4" w:space="0"/>
            </w:tcBorders>
            <w:shd w:val="clear" w:color="auto" w:fill="auto"/>
            <w:noWrap/>
            <w:vAlign w:val="center"/>
          </w:tcPr>
          <w:p w14:paraId="20C3C340">
            <w:pPr>
              <w:keepNext w:val="0"/>
              <w:keepLines w:val="0"/>
              <w:widowControl/>
              <w:suppressLineNumbers w:val="0"/>
              <w:jc w:val="right"/>
              <w:textAlignment w:val="center"/>
              <w:rPr>
                <w:rFonts w:hint="default" w:ascii="宋体" w:hAnsi="宋体" w:eastAsia="宋体" w:cs="Arial"/>
                <w:b w:val="0"/>
                <w:bCs w:val="0"/>
                <w:color w:val="000000"/>
                <w:kern w:val="0"/>
                <w:sz w:val="22"/>
                <w:lang w:val="en-US"/>
              </w:rPr>
            </w:pPr>
            <w:r>
              <w:rPr>
                <w:rFonts w:hint="eastAsia" w:ascii="宋体" w:hAnsi="宋体" w:eastAsia="宋体" w:cs="宋体"/>
                <w:i w:val="0"/>
                <w:iCs w:val="0"/>
                <w:color w:val="000000"/>
                <w:kern w:val="0"/>
                <w:sz w:val="22"/>
                <w:szCs w:val="22"/>
                <w:u w:val="none"/>
                <w:lang w:val="en-US" w:eastAsia="zh-CN" w:bidi="ar"/>
              </w:rPr>
              <w:t>100.94</w:t>
            </w:r>
          </w:p>
        </w:tc>
        <w:tc>
          <w:tcPr>
            <w:tcW w:w="1276" w:type="dxa"/>
            <w:tcBorders>
              <w:top w:val="nil"/>
              <w:left w:val="nil"/>
              <w:bottom w:val="single" w:color="000000" w:sz="4" w:space="0"/>
              <w:right w:val="single" w:color="000000" w:sz="4" w:space="0"/>
            </w:tcBorders>
            <w:shd w:val="clear" w:color="auto" w:fill="auto"/>
            <w:noWrap/>
            <w:vAlign w:val="center"/>
          </w:tcPr>
          <w:p w14:paraId="759435F1">
            <w:pPr>
              <w:keepNext w:val="0"/>
              <w:keepLines w:val="0"/>
              <w:widowControl/>
              <w:suppressLineNumbers w:val="0"/>
              <w:jc w:val="right"/>
              <w:textAlignment w:val="center"/>
              <w:rPr>
                <w:rFonts w:ascii="宋体" w:hAnsi="宋体" w:eastAsia="宋体" w:cs="Arial"/>
                <w:b w:val="0"/>
                <w:bCs w:val="0"/>
                <w:color w:val="000000"/>
                <w:kern w:val="0"/>
                <w:sz w:val="22"/>
              </w:rPr>
            </w:pPr>
          </w:p>
        </w:tc>
        <w:tc>
          <w:tcPr>
            <w:tcW w:w="1134" w:type="dxa"/>
            <w:tcBorders>
              <w:top w:val="nil"/>
              <w:left w:val="nil"/>
              <w:bottom w:val="single" w:color="000000" w:sz="4" w:space="0"/>
              <w:right w:val="single" w:color="000000" w:sz="4" w:space="0"/>
            </w:tcBorders>
            <w:shd w:val="clear" w:color="auto" w:fill="auto"/>
            <w:noWrap/>
            <w:vAlign w:val="center"/>
          </w:tcPr>
          <w:p w14:paraId="5BC5D3B0">
            <w:pPr>
              <w:keepNext w:val="0"/>
              <w:keepLines w:val="0"/>
              <w:widowControl/>
              <w:suppressLineNumbers w:val="0"/>
              <w:jc w:val="right"/>
              <w:textAlignment w:val="center"/>
              <w:rPr>
                <w:rFonts w:hint="default" w:ascii="宋体" w:hAnsi="宋体" w:eastAsia="宋体" w:cs="Arial"/>
                <w:b w:val="0"/>
                <w:bCs w:val="0"/>
                <w:color w:val="000000"/>
                <w:kern w:val="0"/>
                <w:sz w:val="22"/>
                <w:lang w:val="en-US"/>
              </w:rPr>
            </w:pPr>
            <w:r>
              <w:rPr>
                <w:rFonts w:hint="eastAsia" w:ascii="宋体" w:hAnsi="宋体" w:eastAsia="宋体" w:cs="宋体"/>
                <w:i w:val="0"/>
                <w:iCs w:val="0"/>
                <w:color w:val="000000"/>
                <w:kern w:val="0"/>
                <w:sz w:val="22"/>
                <w:szCs w:val="22"/>
                <w:u w:val="none"/>
                <w:lang w:val="en-US" w:eastAsia="zh-CN" w:bidi="ar"/>
              </w:rPr>
              <w:t>100.90</w:t>
            </w:r>
          </w:p>
        </w:tc>
        <w:tc>
          <w:tcPr>
            <w:tcW w:w="1134" w:type="dxa"/>
            <w:tcBorders>
              <w:top w:val="nil"/>
              <w:left w:val="nil"/>
              <w:bottom w:val="single" w:color="000000" w:sz="4" w:space="0"/>
              <w:right w:val="single" w:color="000000" w:sz="4" w:space="0"/>
            </w:tcBorders>
            <w:shd w:val="clear" w:color="auto" w:fill="auto"/>
            <w:noWrap/>
            <w:vAlign w:val="center"/>
          </w:tcPr>
          <w:p w14:paraId="2B7255AC">
            <w:pPr>
              <w:keepNext w:val="0"/>
              <w:keepLines w:val="0"/>
              <w:widowControl/>
              <w:suppressLineNumbers w:val="0"/>
              <w:jc w:val="right"/>
              <w:textAlignment w:val="center"/>
              <w:rPr>
                <w:rFonts w:hint="default" w:ascii="宋体" w:hAnsi="宋体" w:eastAsia="宋体" w:cs="Arial"/>
                <w:b w:val="0"/>
                <w:bCs w:val="0"/>
                <w:color w:val="000000"/>
                <w:kern w:val="0"/>
                <w:sz w:val="22"/>
                <w:lang w:val="en-US"/>
              </w:rPr>
            </w:pPr>
            <w:r>
              <w:rPr>
                <w:rFonts w:hint="eastAsia" w:ascii="宋体" w:hAnsi="宋体" w:eastAsia="宋体" w:cs="宋体"/>
                <w:i w:val="0"/>
                <w:iCs w:val="0"/>
                <w:color w:val="000000"/>
                <w:kern w:val="0"/>
                <w:sz w:val="22"/>
                <w:szCs w:val="22"/>
                <w:u w:val="none"/>
                <w:lang w:val="en-US" w:eastAsia="zh-CN" w:bidi="ar"/>
              </w:rPr>
              <w:t>50.97</w:t>
            </w:r>
          </w:p>
        </w:tc>
        <w:tc>
          <w:tcPr>
            <w:tcW w:w="1134" w:type="dxa"/>
            <w:tcBorders>
              <w:top w:val="nil"/>
              <w:left w:val="nil"/>
              <w:bottom w:val="single" w:color="000000" w:sz="4" w:space="0"/>
              <w:right w:val="single" w:color="000000" w:sz="4" w:space="0"/>
            </w:tcBorders>
            <w:shd w:val="clear" w:color="auto" w:fill="auto"/>
            <w:noWrap/>
            <w:vAlign w:val="center"/>
          </w:tcPr>
          <w:p w14:paraId="582C0D87">
            <w:pPr>
              <w:keepNext w:val="0"/>
              <w:keepLines w:val="0"/>
              <w:widowControl/>
              <w:suppressLineNumbers w:val="0"/>
              <w:jc w:val="right"/>
              <w:textAlignment w:val="center"/>
              <w:rPr>
                <w:rFonts w:hint="default" w:ascii="宋体" w:hAnsi="宋体" w:eastAsia="宋体" w:cs="Arial"/>
                <w:b w:val="0"/>
                <w:bCs w:val="0"/>
                <w:color w:val="000000"/>
                <w:kern w:val="0"/>
                <w:sz w:val="22"/>
                <w:lang w:val="en-US"/>
              </w:rPr>
            </w:pPr>
            <w:r>
              <w:rPr>
                <w:rFonts w:hint="eastAsia" w:ascii="宋体" w:hAnsi="宋体" w:eastAsia="宋体" w:cs="宋体"/>
                <w:i w:val="0"/>
                <w:iCs w:val="0"/>
                <w:color w:val="000000"/>
                <w:kern w:val="0"/>
                <w:sz w:val="22"/>
                <w:szCs w:val="22"/>
                <w:u w:val="none"/>
                <w:lang w:val="en-US" w:eastAsia="zh-CN" w:bidi="ar"/>
              </w:rPr>
              <w:t>49.93</w:t>
            </w:r>
          </w:p>
        </w:tc>
        <w:tc>
          <w:tcPr>
            <w:tcW w:w="1276" w:type="dxa"/>
            <w:tcBorders>
              <w:top w:val="nil"/>
              <w:left w:val="nil"/>
              <w:bottom w:val="single" w:color="000000" w:sz="4" w:space="0"/>
              <w:right w:val="single" w:color="000000" w:sz="4" w:space="0"/>
            </w:tcBorders>
            <w:shd w:val="clear" w:color="auto" w:fill="auto"/>
            <w:noWrap/>
            <w:vAlign w:val="center"/>
          </w:tcPr>
          <w:p w14:paraId="312E21B9">
            <w:pPr>
              <w:keepNext w:val="0"/>
              <w:keepLines w:val="0"/>
              <w:widowControl/>
              <w:suppressLineNumbers w:val="0"/>
              <w:jc w:val="right"/>
              <w:textAlignment w:val="center"/>
              <w:rPr>
                <w:rFonts w:hint="default" w:ascii="宋体" w:hAnsi="宋体" w:eastAsia="宋体" w:cs="Arial"/>
                <w:b w:val="0"/>
                <w:bCs w:val="0"/>
                <w:color w:val="000000"/>
                <w:kern w:val="0"/>
                <w:sz w:val="22"/>
                <w:lang w:val="en-US"/>
              </w:rPr>
            </w:pPr>
            <w:r>
              <w:rPr>
                <w:rFonts w:hint="eastAsia" w:ascii="宋体" w:hAnsi="宋体" w:eastAsia="宋体" w:cs="宋体"/>
                <w:i w:val="0"/>
                <w:iCs w:val="0"/>
                <w:color w:val="000000"/>
                <w:kern w:val="0"/>
                <w:sz w:val="22"/>
                <w:szCs w:val="22"/>
                <w:u w:val="none"/>
                <w:lang w:val="en-US" w:eastAsia="zh-CN" w:bidi="ar"/>
              </w:rPr>
              <w:t>0.03</w:t>
            </w:r>
          </w:p>
        </w:tc>
      </w:tr>
      <w:tr w14:paraId="360312E8">
        <w:tblPrEx>
          <w:tblCellMar>
            <w:top w:w="0" w:type="dxa"/>
            <w:left w:w="108" w:type="dxa"/>
            <w:bottom w:w="0" w:type="dxa"/>
            <w:right w:w="108" w:type="dxa"/>
          </w:tblCellMar>
        </w:tblPrEx>
        <w:trPr>
          <w:trHeight w:val="615" w:hRule="atLeast"/>
          <w:jc w:val="center"/>
        </w:trPr>
        <w:tc>
          <w:tcPr>
            <w:tcW w:w="13892" w:type="dxa"/>
            <w:gridSpan w:val="12"/>
            <w:tcBorders>
              <w:top w:val="nil"/>
              <w:left w:val="nil"/>
              <w:bottom w:val="nil"/>
              <w:right w:val="nil"/>
            </w:tcBorders>
            <w:shd w:val="clear" w:color="auto" w:fill="auto"/>
            <w:vAlign w:val="center"/>
          </w:tcPr>
          <w:p w14:paraId="5F3B4AA6">
            <w:pPr>
              <w:keepNext w:val="0"/>
              <w:keepLines w:val="0"/>
              <w:pageBreakBefore w:val="0"/>
              <w:widowControl/>
              <w:kinsoku/>
              <w:wordWrap/>
              <w:overflowPunct/>
              <w:topLinePunct w:val="0"/>
              <w:autoSpaceDE/>
              <w:autoSpaceDN/>
              <w:bidi w:val="0"/>
              <w:adjustRightInd/>
              <w:snapToGrid/>
              <w:spacing w:line="400" w:lineRule="exact"/>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w:t>
            </w:r>
            <w:r>
              <w:rPr>
                <w:rFonts w:hint="eastAsia" w:ascii="宋体" w:hAnsi="宋体" w:eastAsia="宋体" w:cs="Arial"/>
                <w:color w:val="000000"/>
                <w:kern w:val="0"/>
                <w:sz w:val="22"/>
                <w:lang w:eastAsia="zh-CN"/>
              </w:rPr>
              <w:t>财政拨款</w:t>
            </w:r>
            <w:r>
              <w:rPr>
                <w:rFonts w:hint="eastAsia" w:ascii="宋体" w:hAnsi="宋体" w:eastAsia="宋体" w:cs="Arial"/>
                <w:color w:val="000000"/>
                <w:kern w:val="0"/>
                <w:sz w:val="22"/>
              </w:rPr>
              <w:t>“三公”经费支出预决算情况。其中</w:t>
            </w:r>
            <w:r>
              <w:rPr>
                <w:rFonts w:hint="eastAsia" w:ascii="宋体" w:hAnsi="宋体" w:eastAsia="宋体" w:cs="Arial"/>
                <w:color w:val="000000"/>
                <w:kern w:val="0"/>
                <w:sz w:val="22"/>
                <w:lang w:eastAsia="zh-CN"/>
              </w:rPr>
              <w:t>，</w:t>
            </w:r>
            <w:r>
              <w:rPr>
                <w:rFonts w:hint="eastAsia" w:ascii="宋体" w:hAnsi="宋体" w:eastAsia="宋体" w:cs="Arial"/>
                <w:color w:val="000000"/>
                <w:kern w:val="0"/>
                <w:sz w:val="22"/>
              </w:rPr>
              <w:t>预算数为“三公”经费全年预算数，反映按规定程序调整后的预算数；决算数是包括当年财政拨款和以前年度结转资金安排的实际支出。</w:t>
            </w:r>
          </w:p>
        </w:tc>
      </w:tr>
    </w:tbl>
    <w:p w14:paraId="5AB25D3F">
      <w:pPr>
        <w:spacing w:beforeLines="100" w:afterLines="100" w:line="520" w:lineRule="exact"/>
        <w:jc w:val="center"/>
        <w:outlineLvl w:val="9"/>
        <w:rPr>
          <w:rFonts w:ascii="Times New Roman" w:hAnsi="Times New Roman" w:eastAsia="方正小标宋_GBK" w:cs="Times New Roman"/>
          <w:color w:val="000000"/>
          <w:kern w:val="0"/>
          <w:sz w:val="32"/>
          <w:szCs w:val="32"/>
        </w:rPr>
      </w:pPr>
    </w:p>
    <w:p w14:paraId="3F563824">
      <w:pPr>
        <w:spacing w:beforeLines="100" w:afterLines="100" w:line="520" w:lineRule="exact"/>
        <w:jc w:val="both"/>
        <w:outlineLvl w:val="9"/>
        <w:rPr>
          <w:rFonts w:ascii="Times New Roman" w:hAnsi="Times New Roman" w:eastAsia="方正小标宋_GBK" w:cs="Times New Roman"/>
          <w:color w:val="000000"/>
          <w:kern w:val="0"/>
          <w:sz w:val="32"/>
          <w:szCs w:val="32"/>
        </w:rPr>
        <w:sectPr>
          <w:pgSz w:w="16838" w:h="11906" w:orient="landscape"/>
          <w:pgMar w:top="1797" w:right="1440" w:bottom="1797" w:left="1440" w:header="851" w:footer="992" w:gutter="0"/>
          <w:cols w:space="425" w:num="1"/>
          <w:docGrid w:type="linesAndChars" w:linePitch="312" w:charSpace="0"/>
        </w:sectPr>
      </w:pPr>
    </w:p>
    <w:p w14:paraId="6120645B">
      <w:pPr>
        <w:pStyle w:val="3"/>
        <w:keepNext/>
        <w:keepLines/>
        <w:pageBreakBefore w:val="0"/>
        <w:widowControl w:val="0"/>
        <w:kinsoku/>
        <w:wordWrap/>
        <w:overflowPunct/>
        <w:topLinePunct w:val="0"/>
        <w:autoSpaceDE/>
        <w:autoSpaceDN/>
        <w:bidi w:val="0"/>
        <w:adjustRightInd/>
        <w:snapToGrid/>
        <w:jc w:val="center"/>
        <w:textAlignment w:val="auto"/>
        <w:outlineLvl w:val="0"/>
        <w:rPr>
          <w:rFonts w:hint="eastAsia" w:ascii="黑体" w:hAnsi="黑体" w:eastAsia="黑体" w:cs="黑体"/>
          <w:sz w:val="32"/>
          <w:szCs w:val="32"/>
        </w:rPr>
      </w:pPr>
      <w:bookmarkStart w:id="14" w:name="_Toc251403246"/>
      <w:r>
        <w:rPr>
          <w:rFonts w:hint="eastAsia" w:ascii="黑体" w:hAnsi="黑体" w:eastAsia="黑体" w:cs="黑体"/>
          <w:sz w:val="32"/>
          <w:szCs w:val="32"/>
        </w:rPr>
        <w:t xml:space="preserve">第三部分 </w:t>
      </w:r>
      <w:r>
        <w:rPr>
          <w:rFonts w:hint="eastAsia" w:ascii="黑体" w:hAnsi="黑体" w:eastAsia="黑体" w:cs="黑体"/>
          <w:sz w:val="32"/>
          <w:szCs w:val="32"/>
          <w:lang w:val="en-US" w:eastAsia="zh-CN"/>
        </w:rPr>
        <w:t>2025年</w:t>
      </w:r>
      <w:r>
        <w:rPr>
          <w:rFonts w:hint="eastAsia" w:ascii="黑体" w:hAnsi="黑体" w:eastAsia="黑体" w:cs="黑体"/>
          <w:sz w:val="32"/>
          <w:szCs w:val="32"/>
        </w:rPr>
        <w:t>度部门决算情况说明</w:t>
      </w:r>
      <w:bookmarkEnd w:id="14"/>
    </w:p>
    <w:p w14:paraId="055BBB07">
      <w:pPr>
        <w:rPr>
          <w:rFonts w:hint="eastAsia" w:ascii="仿宋_GB2312" w:hAnsi="仿宋_GB2312" w:eastAsia="仿宋_GB2312" w:cs="仿宋_GB2312"/>
          <w:sz w:val="32"/>
          <w:szCs w:val="32"/>
        </w:rPr>
      </w:pPr>
    </w:p>
    <w:p w14:paraId="53AA88DB">
      <w:pPr>
        <w:pStyle w:val="4"/>
        <w:bidi w:val="0"/>
        <w:jc w:val="both"/>
        <w:outlineLvl w:val="1"/>
        <w:rPr>
          <w:rFonts w:hint="eastAsia" w:eastAsia="黑体"/>
          <w:lang w:val="en-US" w:eastAsia="zh-CN"/>
        </w:rPr>
      </w:pPr>
      <w:bookmarkStart w:id="15" w:name="_Toc335162901"/>
      <w:r>
        <w:rPr>
          <w:rFonts w:hint="eastAsia"/>
        </w:rPr>
        <w:t>一、收入支出总体情况说明</w:t>
      </w:r>
      <w:bookmarkEnd w:id="15"/>
    </w:p>
    <w:p w14:paraId="0A83409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lang w:val="en-US"/>
        </w:rPr>
        <w:t>2025年</w:t>
      </w:r>
      <w:r>
        <w:rPr>
          <w:rFonts w:hint="eastAsia" w:ascii="仿宋_GB2312" w:hAnsi="仿宋_GB2312" w:eastAsia="仿宋_GB2312" w:cs="仿宋_GB2312"/>
          <w:color w:val="000000"/>
          <w:sz w:val="32"/>
          <w:szCs w:val="32"/>
        </w:rPr>
        <w:t>度收入总计20551.67万元，其中，本年收入16136.93万元；支出总计20551.67万元，其中，本年支出15405.33万元。与</w:t>
      </w:r>
      <w:r>
        <w:rPr>
          <w:rFonts w:hint="default" w:ascii="仿宋_GB2312" w:hAnsi="仿宋_GB2312" w:eastAsia="仿宋_GB2312" w:cs="仿宋_GB2312"/>
          <w:color w:val="000000"/>
          <w:sz w:val="32"/>
          <w:szCs w:val="32"/>
          <w:lang w:val="en-US" w:eastAsia="zh-CN"/>
        </w:rPr>
        <w:t>2024年</w:t>
      </w:r>
      <w:r>
        <w:rPr>
          <w:rFonts w:hint="eastAsia" w:ascii="仿宋_GB2312" w:hAnsi="仿宋_GB2312" w:eastAsia="仿宋_GB2312" w:cs="仿宋_GB2312"/>
          <w:color w:val="000000"/>
          <w:sz w:val="32"/>
          <w:szCs w:val="32"/>
        </w:rPr>
        <w:t>相比，收、支总计各</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929.36</w:t>
      </w:r>
      <w:r>
        <w:rPr>
          <w:rFonts w:hint="eastAsia" w:ascii="仿宋_GB2312" w:hAnsi="仿宋_GB2312" w:eastAsia="仿宋_GB2312" w:cs="仿宋_GB2312"/>
          <w:color w:val="000000"/>
          <w:sz w:val="32"/>
          <w:szCs w:val="32"/>
        </w:rPr>
        <w:t>万元。</w:t>
      </w:r>
    </w:p>
    <w:p w14:paraId="1439752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楷体" w:hAnsi="楷体" w:eastAsia="楷体" w:cs="楷体"/>
          <w:color w:val="000000"/>
          <w:sz w:val="32"/>
          <w:szCs w:val="32"/>
        </w:rPr>
      </w:pPr>
      <w:r>
        <w:rPr>
          <w:rFonts w:hint="eastAsia" w:ascii="楷体" w:hAnsi="楷体" w:eastAsia="楷体" w:cs="楷体"/>
          <w:color w:val="000000"/>
          <w:sz w:val="32"/>
          <w:szCs w:val="32"/>
        </w:rPr>
        <w:t>（一）本年收入。</w:t>
      </w:r>
    </w:p>
    <w:p w14:paraId="68CACFA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lang w:val="en-US"/>
        </w:rPr>
        <w:t>202</w:t>
      </w:r>
      <w:r>
        <w:rPr>
          <w:rFonts w:hint="eastAsia" w:ascii="仿宋_GB2312" w:hAnsi="仿宋_GB2312" w:eastAsia="仿宋_GB2312" w:cs="仿宋_GB2312"/>
          <w:color w:val="000000"/>
          <w:sz w:val="32"/>
          <w:szCs w:val="32"/>
          <w:lang w:val="en-US" w:eastAsia="zh-CN"/>
        </w:rPr>
        <w:t>5</w:t>
      </w:r>
      <w:r>
        <w:rPr>
          <w:rFonts w:hint="default" w:ascii="仿宋_GB2312" w:hAnsi="仿宋_GB2312" w:eastAsia="仿宋_GB2312" w:cs="仿宋_GB2312"/>
          <w:color w:val="000000"/>
          <w:sz w:val="32"/>
          <w:szCs w:val="32"/>
          <w:lang w:val="en-US"/>
        </w:rPr>
        <w:t>年</w:t>
      </w:r>
      <w:r>
        <w:rPr>
          <w:rFonts w:hint="eastAsia" w:ascii="仿宋_GB2312" w:hAnsi="仿宋_GB2312" w:eastAsia="仿宋_GB2312" w:cs="仿宋_GB2312"/>
          <w:color w:val="000000"/>
          <w:sz w:val="32"/>
          <w:szCs w:val="32"/>
        </w:rPr>
        <w:t>度本年收入16136.93万元，具体情况如下：</w:t>
      </w:r>
    </w:p>
    <w:p w14:paraId="6038664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1.财政拨款收入</w:t>
      </w:r>
      <w:r>
        <w:rPr>
          <w:rFonts w:hint="eastAsia" w:ascii="仿宋_GB2312" w:hAnsi="仿宋_GB2312" w:eastAsia="仿宋_GB2312" w:cs="仿宋_GB2312"/>
          <w:color w:val="000000"/>
          <w:sz w:val="32"/>
          <w:szCs w:val="32"/>
          <w:lang w:val="en-US" w:eastAsia="zh-CN"/>
        </w:rPr>
        <w:t>11542.91</w:t>
      </w:r>
      <w:r>
        <w:rPr>
          <w:rFonts w:hint="eastAsia" w:ascii="仿宋_GB2312" w:hAnsi="仿宋_GB2312" w:eastAsia="仿宋_GB2312" w:cs="仿宋_GB2312"/>
          <w:color w:val="000000"/>
          <w:sz w:val="32"/>
          <w:szCs w:val="32"/>
        </w:rPr>
        <w:t>万元。系</w:t>
      </w:r>
      <w:r>
        <w:rPr>
          <w:rFonts w:hint="eastAsia" w:ascii="仿宋_GB2312" w:hAnsi="仿宋_GB2312" w:eastAsia="仿宋_GB2312" w:cs="仿宋_GB2312"/>
          <w:color w:val="000000"/>
          <w:sz w:val="32"/>
          <w:szCs w:val="32"/>
          <w:lang w:val="en-US" w:eastAsia="zh-CN"/>
        </w:rPr>
        <w:t>国家统计局</w:t>
      </w:r>
      <w:r>
        <w:rPr>
          <w:rFonts w:hint="eastAsia" w:ascii="仿宋_GB2312" w:hAnsi="仿宋_GB2312" w:eastAsia="仿宋_GB2312" w:cs="仿宋_GB2312"/>
          <w:color w:val="000000"/>
          <w:sz w:val="32"/>
          <w:szCs w:val="32"/>
        </w:rPr>
        <w:t>吉林调查总队本级和直属各级（市、县）调查队本年从中央财政取得的资金，占本年收入的</w:t>
      </w:r>
      <w:r>
        <w:rPr>
          <w:rFonts w:hint="eastAsia" w:ascii="仿宋_GB2312" w:hAnsi="仿宋_GB2312" w:eastAsia="仿宋_GB2312" w:cs="仿宋_GB2312"/>
          <w:color w:val="000000"/>
          <w:sz w:val="32"/>
          <w:szCs w:val="32"/>
          <w:lang w:val="en-US" w:eastAsia="zh-CN"/>
        </w:rPr>
        <w:t>71.53</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highlight w:val="none"/>
        </w:rPr>
        <w:t>，较</w:t>
      </w:r>
      <w:r>
        <w:rPr>
          <w:rFonts w:hint="default" w:ascii="仿宋_GB2312" w:hAnsi="仿宋_GB2312" w:eastAsia="仿宋_GB2312" w:cs="仿宋_GB2312"/>
          <w:color w:val="000000"/>
          <w:sz w:val="32"/>
          <w:szCs w:val="32"/>
          <w:highlight w:val="none"/>
          <w:lang w:val="en-US" w:eastAsia="zh-CN"/>
        </w:rPr>
        <w:t>202</w:t>
      </w:r>
      <w:r>
        <w:rPr>
          <w:rFonts w:hint="eastAsia" w:ascii="仿宋_GB2312" w:hAnsi="仿宋_GB2312" w:eastAsia="仿宋_GB2312" w:cs="仿宋_GB2312"/>
          <w:color w:val="000000"/>
          <w:sz w:val="32"/>
          <w:szCs w:val="32"/>
          <w:highlight w:val="none"/>
          <w:lang w:val="en-US" w:eastAsia="zh-CN"/>
        </w:rPr>
        <w:t>4</w:t>
      </w:r>
      <w:r>
        <w:rPr>
          <w:rFonts w:hint="default" w:ascii="仿宋_GB2312" w:hAnsi="仿宋_GB2312" w:eastAsia="仿宋_GB2312" w:cs="仿宋_GB2312"/>
          <w:color w:val="000000"/>
          <w:sz w:val="32"/>
          <w:szCs w:val="32"/>
          <w:highlight w:val="none"/>
          <w:lang w:val="en-US" w:eastAsia="zh-CN"/>
        </w:rPr>
        <w:t>年</w:t>
      </w:r>
      <w:r>
        <w:rPr>
          <w:rFonts w:hint="eastAsia" w:ascii="仿宋_GB2312" w:hAnsi="仿宋_GB2312" w:eastAsia="仿宋_GB2312" w:cs="仿宋_GB2312"/>
          <w:color w:val="000000"/>
          <w:sz w:val="32"/>
          <w:szCs w:val="32"/>
          <w:highlight w:val="none"/>
        </w:rPr>
        <w:t>决算数</w:t>
      </w:r>
      <w:r>
        <w:rPr>
          <w:rFonts w:hint="eastAsia" w:ascii="仿宋_GB2312" w:hAnsi="仿宋_GB2312" w:eastAsia="仿宋_GB2312" w:cs="仿宋_GB2312"/>
          <w:color w:val="000000"/>
          <w:sz w:val="32"/>
          <w:szCs w:val="32"/>
          <w:highlight w:val="none"/>
          <w:lang w:val="en-US" w:eastAsia="zh-CN"/>
        </w:rPr>
        <w:t>增加271.26万元，增长2.41</w:t>
      </w:r>
      <w:r>
        <w:rPr>
          <w:rFonts w:hint="eastAsia" w:ascii="仿宋_GB2312" w:hAnsi="仿宋_GB2312" w:eastAsia="仿宋_GB2312" w:cs="仿宋_GB2312"/>
          <w:color w:val="000000"/>
          <w:sz w:val="32"/>
          <w:szCs w:val="32"/>
          <w:highlight w:val="none"/>
        </w:rPr>
        <w:t>%。主要原</w:t>
      </w:r>
      <w:r>
        <w:rPr>
          <w:rFonts w:hint="eastAsia" w:ascii="仿宋_GB2312" w:hAnsi="仿宋_GB2312" w:eastAsia="仿宋_GB2312" w:cs="仿宋_GB2312"/>
          <w:color w:val="000000"/>
          <w:sz w:val="32"/>
          <w:szCs w:val="32"/>
          <w:lang w:val="en-US" w:eastAsia="zh-CN"/>
        </w:rPr>
        <w:t>因是一般公共服务支出中一般行政管理事务及社会保障和就业支出预算增加。</w:t>
      </w:r>
    </w:p>
    <w:p w14:paraId="74D1911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highlight w:val="none"/>
        </w:rPr>
        <w:t>2.其他收入</w:t>
      </w:r>
      <w:r>
        <w:rPr>
          <w:rFonts w:hint="eastAsia" w:ascii="仿宋_GB2312" w:hAnsi="仿宋_GB2312" w:eastAsia="仿宋_GB2312" w:cs="仿宋_GB2312"/>
          <w:color w:val="000000"/>
          <w:sz w:val="32"/>
          <w:szCs w:val="32"/>
          <w:highlight w:val="none"/>
          <w:lang w:val="en-US" w:eastAsia="zh-CN"/>
        </w:rPr>
        <w:t>4594.02</w:t>
      </w:r>
      <w:r>
        <w:rPr>
          <w:rFonts w:hint="eastAsia" w:ascii="仿宋_GB2312" w:hAnsi="仿宋_GB2312" w:eastAsia="仿宋_GB2312" w:cs="仿宋_GB2312"/>
          <w:color w:val="000000"/>
          <w:sz w:val="32"/>
          <w:szCs w:val="32"/>
          <w:highlight w:val="none"/>
        </w:rPr>
        <w:t>万元。系国家统计局吉林调查总队本级和直属各级（市、县）调查队在一般公共预算财政拨款收入以外的收入，占本年收入的</w:t>
      </w:r>
      <w:r>
        <w:rPr>
          <w:rFonts w:hint="eastAsia" w:ascii="仿宋_GB2312" w:hAnsi="仿宋_GB2312" w:eastAsia="仿宋_GB2312" w:cs="仿宋_GB2312"/>
          <w:color w:val="000000"/>
          <w:sz w:val="32"/>
          <w:szCs w:val="32"/>
          <w:highlight w:val="none"/>
          <w:lang w:val="en-US" w:eastAsia="zh-CN"/>
        </w:rPr>
        <w:t>28.47</w:t>
      </w:r>
      <w:r>
        <w:rPr>
          <w:rFonts w:hint="eastAsia" w:ascii="仿宋_GB2312" w:hAnsi="仿宋_GB2312" w:eastAsia="仿宋_GB2312" w:cs="仿宋_GB2312"/>
          <w:color w:val="000000"/>
          <w:sz w:val="32"/>
          <w:szCs w:val="32"/>
          <w:highlight w:val="none"/>
        </w:rPr>
        <w:t>%，较</w:t>
      </w:r>
      <w:r>
        <w:rPr>
          <w:rFonts w:hint="default" w:ascii="仿宋_GB2312" w:hAnsi="仿宋_GB2312" w:eastAsia="仿宋_GB2312" w:cs="仿宋_GB2312"/>
          <w:color w:val="000000"/>
          <w:sz w:val="32"/>
          <w:szCs w:val="32"/>
          <w:highlight w:val="none"/>
          <w:lang w:val="en-US" w:eastAsia="zh-CN"/>
        </w:rPr>
        <w:t>202</w:t>
      </w:r>
      <w:r>
        <w:rPr>
          <w:rFonts w:hint="eastAsia" w:ascii="仿宋_GB2312" w:hAnsi="仿宋_GB2312" w:eastAsia="仿宋_GB2312" w:cs="仿宋_GB2312"/>
          <w:color w:val="000000"/>
          <w:sz w:val="32"/>
          <w:szCs w:val="32"/>
          <w:highlight w:val="none"/>
          <w:lang w:val="en-US" w:eastAsia="zh-CN"/>
        </w:rPr>
        <w:t>4</w:t>
      </w:r>
      <w:r>
        <w:rPr>
          <w:rFonts w:hint="default" w:ascii="仿宋_GB2312" w:hAnsi="仿宋_GB2312" w:eastAsia="仿宋_GB2312" w:cs="仿宋_GB2312"/>
          <w:color w:val="000000"/>
          <w:sz w:val="32"/>
          <w:szCs w:val="32"/>
          <w:highlight w:val="none"/>
          <w:lang w:val="en-US" w:eastAsia="zh-CN"/>
        </w:rPr>
        <w:t>年</w:t>
      </w:r>
      <w:r>
        <w:rPr>
          <w:rFonts w:hint="eastAsia" w:ascii="仿宋_GB2312" w:hAnsi="仿宋_GB2312" w:eastAsia="仿宋_GB2312" w:cs="仿宋_GB2312"/>
          <w:color w:val="000000"/>
          <w:sz w:val="32"/>
          <w:szCs w:val="32"/>
          <w:highlight w:val="none"/>
        </w:rPr>
        <w:t>决算数</w:t>
      </w:r>
      <w:r>
        <w:rPr>
          <w:rFonts w:hint="eastAsia" w:ascii="仿宋_GB2312" w:hAnsi="仿宋_GB2312" w:eastAsia="仿宋_GB2312" w:cs="仿宋_GB2312"/>
          <w:color w:val="000000"/>
          <w:sz w:val="32"/>
          <w:szCs w:val="32"/>
          <w:highlight w:val="none"/>
          <w:lang w:val="en-US" w:eastAsia="zh-CN"/>
        </w:rPr>
        <w:t>增加336.97</w:t>
      </w:r>
      <w:r>
        <w:rPr>
          <w:rFonts w:hint="eastAsia" w:ascii="仿宋_GB2312" w:hAnsi="仿宋" w:eastAsia="仿宋_GB2312" w:cs="仿宋"/>
          <w:sz w:val="32"/>
          <w:szCs w:val="32"/>
          <w:highlight w:val="none"/>
        </w:rPr>
        <w:t>万元</w:t>
      </w:r>
      <w:r>
        <w:rPr>
          <w:rFonts w:hint="eastAsia" w:ascii="仿宋_GB2312" w:hAnsi="仿宋" w:eastAsia="仿宋_GB2312" w:cs="仿宋"/>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增长7.92</w:t>
      </w:r>
      <w:r>
        <w:rPr>
          <w:rFonts w:hint="eastAsia" w:ascii="仿宋_GB2312" w:hAnsi="仿宋_GB2312" w:eastAsia="仿宋_GB2312" w:cs="仿宋_GB2312"/>
          <w:color w:val="000000"/>
          <w:sz w:val="32"/>
          <w:szCs w:val="32"/>
          <w:highlight w:val="none"/>
        </w:rPr>
        <w:t>%。主要原因是</w:t>
      </w:r>
      <w:r>
        <w:rPr>
          <w:rFonts w:hint="eastAsia" w:ascii="仿宋_GB2312" w:hAnsi="仿宋_GB2312" w:eastAsia="仿宋_GB2312" w:cs="仿宋_GB2312"/>
          <w:color w:val="000000"/>
          <w:sz w:val="32"/>
          <w:szCs w:val="32"/>
          <w:highlight w:val="none"/>
          <w:lang w:eastAsia="zh-CN"/>
        </w:rPr>
        <w:t>地方政府部门委托调查任务增加，地方经费相应增加。</w:t>
      </w:r>
    </w:p>
    <w:p w14:paraId="0684E63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楷体" w:hAnsi="楷体" w:eastAsia="楷体" w:cs="楷体"/>
          <w:color w:val="000000"/>
          <w:sz w:val="32"/>
          <w:szCs w:val="32"/>
        </w:rPr>
      </w:pPr>
      <w:r>
        <w:rPr>
          <w:rFonts w:hint="eastAsia" w:ascii="楷体" w:hAnsi="楷体" w:eastAsia="楷体" w:cs="楷体"/>
          <w:color w:val="000000"/>
          <w:sz w:val="32"/>
          <w:szCs w:val="32"/>
        </w:rPr>
        <w:t>（二）本年支出。</w:t>
      </w:r>
    </w:p>
    <w:p w14:paraId="0A9F141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lang w:val="en-US"/>
        </w:rPr>
        <w:t>202</w:t>
      </w:r>
      <w:r>
        <w:rPr>
          <w:rFonts w:hint="eastAsia" w:ascii="仿宋_GB2312" w:hAnsi="仿宋_GB2312" w:eastAsia="仿宋_GB2312" w:cs="仿宋_GB2312"/>
          <w:color w:val="000000"/>
          <w:sz w:val="32"/>
          <w:szCs w:val="32"/>
          <w:lang w:val="en-US" w:eastAsia="zh-CN"/>
        </w:rPr>
        <w:t>5</w:t>
      </w:r>
      <w:r>
        <w:rPr>
          <w:rFonts w:hint="default" w:ascii="仿宋_GB2312" w:hAnsi="仿宋_GB2312" w:eastAsia="仿宋_GB2312" w:cs="仿宋_GB2312"/>
          <w:color w:val="000000"/>
          <w:sz w:val="32"/>
          <w:szCs w:val="32"/>
          <w:lang w:val="en-US"/>
        </w:rPr>
        <w:t>年</w:t>
      </w:r>
      <w:r>
        <w:rPr>
          <w:rFonts w:hint="eastAsia" w:ascii="仿宋_GB2312" w:hAnsi="仿宋_GB2312" w:eastAsia="仿宋_GB2312" w:cs="仿宋_GB2312"/>
          <w:color w:val="000000"/>
          <w:sz w:val="32"/>
          <w:szCs w:val="32"/>
        </w:rPr>
        <w:t>度本年支出</w:t>
      </w:r>
      <w:r>
        <w:rPr>
          <w:rFonts w:hint="eastAsia" w:ascii="仿宋_GB2312" w:hAnsi="仿宋_GB2312" w:eastAsia="仿宋_GB2312" w:cs="仿宋_GB2312"/>
          <w:color w:val="000000"/>
          <w:sz w:val="32"/>
          <w:szCs w:val="32"/>
          <w:lang w:val="en-US" w:eastAsia="zh-CN"/>
        </w:rPr>
        <w:t>15405.33</w:t>
      </w:r>
      <w:r>
        <w:rPr>
          <w:rFonts w:hint="eastAsia" w:ascii="仿宋_GB2312" w:hAnsi="仿宋_GB2312" w:eastAsia="仿宋_GB2312" w:cs="仿宋_GB2312"/>
          <w:color w:val="000000"/>
          <w:sz w:val="32"/>
          <w:szCs w:val="32"/>
        </w:rPr>
        <w:t>万元，具体情况如下：</w:t>
      </w:r>
    </w:p>
    <w:p w14:paraId="4840262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1.一般公共服务支出（类）</w:t>
      </w:r>
      <w:r>
        <w:rPr>
          <w:rFonts w:hint="eastAsia" w:ascii="仿宋_GB2312" w:hAnsi="仿宋_GB2312" w:eastAsia="仿宋_GB2312" w:cs="仿宋_GB2312"/>
          <w:color w:val="000000"/>
          <w:sz w:val="32"/>
          <w:szCs w:val="32"/>
          <w:lang w:val="en-US" w:eastAsia="zh-CN"/>
        </w:rPr>
        <w:t>13184.8</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主要是保障国家统计局吉林调查总队正常运转的基本支出以及完成经常性统计调查任务的支出</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sz w:val="32"/>
          <w:szCs w:val="32"/>
        </w:rPr>
        <w:t>占全年总支出</w:t>
      </w:r>
      <w:r>
        <w:rPr>
          <w:rFonts w:hint="eastAsia" w:ascii="仿宋_GB2312" w:hAnsi="仿宋_GB2312" w:eastAsia="仿宋_GB2312" w:cs="仿宋_GB2312"/>
          <w:sz w:val="32"/>
          <w:szCs w:val="32"/>
          <w:lang w:val="en-US" w:eastAsia="zh-CN"/>
        </w:rPr>
        <w:t>85.59</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。较</w:t>
      </w:r>
      <w:r>
        <w:rPr>
          <w:rFonts w:hint="default" w:ascii="仿宋_GB2312" w:hAnsi="仿宋_GB2312" w:eastAsia="仿宋_GB2312" w:cs="仿宋_GB2312"/>
          <w:color w:val="000000"/>
          <w:sz w:val="32"/>
          <w:szCs w:val="32"/>
          <w:lang w:val="en-US" w:eastAsia="zh-CN"/>
        </w:rPr>
        <w:t>202</w:t>
      </w:r>
      <w:r>
        <w:rPr>
          <w:rFonts w:hint="eastAsia" w:ascii="仿宋_GB2312" w:hAnsi="仿宋_GB2312" w:eastAsia="仿宋_GB2312" w:cs="仿宋_GB2312"/>
          <w:color w:val="000000"/>
          <w:sz w:val="32"/>
          <w:szCs w:val="32"/>
          <w:lang w:val="en-US" w:eastAsia="zh-CN"/>
        </w:rPr>
        <w:t>4</w:t>
      </w:r>
      <w:r>
        <w:rPr>
          <w:rFonts w:hint="default"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决算数</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489.12万元，增长3.85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主要原因是人员经费中抚恤金支出及经常性统计调查样本轮换支出增加。</w:t>
      </w:r>
    </w:p>
    <w:p w14:paraId="1C0B191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2.社会保障和就业支出（类）</w:t>
      </w:r>
      <w:r>
        <w:rPr>
          <w:rFonts w:hint="eastAsia" w:ascii="仿宋_GB2312" w:hAnsi="仿宋_GB2312" w:eastAsia="仿宋_GB2312" w:cs="仿宋_GB2312"/>
          <w:color w:val="000000"/>
          <w:sz w:val="32"/>
          <w:szCs w:val="32"/>
          <w:lang w:val="en-US" w:eastAsia="zh-CN"/>
        </w:rPr>
        <w:t>1123.21</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主要是</w:t>
      </w:r>
      <w:r>
        <w:rPr>
          <w:rFonts w:ascii="仿宋_GB2312" w:hAnsi="宋体" w:eastAsia="仿宋_GB2312" w:cs="仿宋_GB2312"/>
          <w:color w:val="000000"/>
          <w:kern w:val="0"/>
          <w:sz w:val="31"/>
          <w:szCs w:val="31"/>
          <w:lang w:val="en-US" w:eastAsia="zh-CN" w:bidi="ar"/>
        </w:rPr>
        <w:t>基本养老保险缴费、职业年金缴费支出</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sz w:val="32"/>
          <w:szCs w:val="32"/>
        </w:rPr>
        <w:t>占全年总支出</w:t>
      </w:r>
      <w:r>
        <w:rPr>
          <w:rFonts w:hint="eastAsia" w:ascii="仿宋_GB2312" w:hAnsi="仿宋_GB2312" w:eastAsia="仿宋_GB2312" w:cs="仿宋_GB2312"/>
          <w:sz w:val="32"/>
          <w:szCs w:val="32"/>
          <w:lang w:val="en-US" w:eastAsia="zh-CN"/>
        </w:rPr>
        <w:t>7.29</w:t>
      </w:r>
      <w:r>
        <w:rPr>
          <w:rFonts w:hint="eastAsia" w:ascii="仿宋_GB2312" w:hAnsi="仿宋_GB2312" w:eastAsia="仿宋_GB2312" w:cs="仿宋_GB2312"/>
          <w:sz w:val="32"/>
          <w:szCs w:val="32"/>
        </w:rPr>
        <w:t>%</w:t>
      </w:r>
      <w:r>
        <w:rPr>
          <w:rFonts w:ascii="仿宋_GB2312" w:hAnsi="宋体" w:eastAsia="仿宋_GB2312" w:cs="仿宋_GB2312"/>
          <w:color w:val="000000"/>
          <w:kern w:val="0"/>
          <w:sz w:val="31"/>
          <w:szCs w:val="31"/>
          <w:lang w:val="en-US" w:eastAsia="zh-CN" w:bidi="ar"/>
        </w:rPr>
        <w:t>。</w:t>
      </w:r>
      <w:r>
        <w:rPr>
          <w:rFonts w:hint="eastAsia" w:ascii="仿宋_GB2312" w:hAnsi="仿宋_GB2312" w:eastAsia="仿宋_GB2312" w:cs="仿宋_GB2312"/>
          <w:color w:val="000000"/>
          <w:sz w:val="32"/>
          <w:szCs w:val="32"/>
        </w:rPr>
        <w:t>较</w:t>
      </w:r>
      <w:r>
        <w:rPr>
          <w:rFonts w:hint="default" w:ascii="仿宋_GB2312" w:hAnsi="仿宋_GB2312" w:eastAsia="仿宋_GB2312" w:cs="仿宋_GB2312"/>
          <w:color w:val="000000"/>
          <w:sz w:val="32"/>
          <w:szCs w:val="32"/>
          <w:lang w:val="en-US" w:eastAsia="zh-CN"/>
        </w:rPr>
        <w:t>202</w:t>
      </w:r>
      <w:r>
        <w:rPr>
          <w:rFonts w:hint="eastAsia" w:ascii="仿宋_GB2312" w:hAnsi="仿宋_GB2312" w:eastAsia="仿宋_GB2312" w:cs="仿宋_GB2312"/>
          <w:color w:val="000000"/>
          <w:sz w:val="32"/>
          <w:szCs w:val="32"/>
          <w:lang w:val="en-US" w:eastAsia="zh-CN"/>
        </w:rPr>
        <w:t>4</w:t>
      </w:r>
      <w:r>
        <w:rPr>
          <w:rFonts w:hint="default"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决算数</w:t>
      </w:r>
      <w:r>
        <w:rPr>
          <w:rFonts w:hint="eastAsia" w:ascii="仿宋_GB2312" w:hAnsi="仿宋_GB2312" w:eastAsia="仿宋_GB2312" w:cs="仿宋_GB2312"/>
          <w:color w:val="000000"/>
          <w:sz w:val="32"/>
          <w:szCs w:val="32"/>
          <w:lang w:val="en-US" w:eastAsia="zh-CN"/>
        </w:rPr>
        <w:t>减少86.61万元，</w:t>
      </w:r>
      <w:r>
        <w:rPr>
          <w:rFonts w:hint="eastAsia" w:ascii="仿宋_GB2312" w:hAnsi="仿宋_GB2312" w:eastAsia="仿宋_GB2312" w:cs="仿宋_GB2312"/>
          <w:color w:val="000000"/>
          <w:sz w:val="32"/>
          <w:szCs w:val="32"/>
          <w:lang w:eastAsia="zh-CN"/>
        </w:rPr>
        <w:t>降低</w:t>
      </w:r>
      <w:r>
        <w:rPr>
          <w:rFonts w:hint="eastAsia" w:ascii="仿宋_GB2312" w:hAnsi="仿宋_GB2312" w:eastAsia="仿宋_GB2312" w:cs="仿宋_GB2312"/>
          <w:color w:val="000000"/>
          <w:sz w:val="32"/>
          <w:szCs w:val="32"/>
          <w:lang w:val="en-US" w:eastAsia="zh-CN"/>
        </w:rPr>
        <w:t>7.16</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eastAsia="zh-CN"/>
        </w:rPr>
        <w:t>国家统计局吉林调查队系统养老保险清算工作基本完成，养老保险缴费、职业年金缴费支出减少。</w:t>
      </w:r>
    </w:p>
    <w:p w14:paraId="0369DEF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卫生健康支出（类）</w:t>
      </w:r>
      <w:r>
        <w:rPr>
          <w:rFonts w:hint="eastAsia" w:ascii="仿宋_GB2312" w:hAnsi="仿宋_GB2312" w:eastAsia="仿宋_GB2312" w:cs="仿宋_GB2312"/>
          <w:color w:val="000000"/>
          <w:sz w:val="32"/>
          <w:szCs w:val="32"/>
          <w:lang w:val="en-US" w:eastAsia="zh-CN"/>
        </w:rPr>
        <w:t>434.73</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sz w:val="32"/>
          <w:szCs w:val="32"/>
        </w:rPr>
        <w:t>占全年总支出</w:t>
      </w:r>
      <w:r>
        <w:rPr>
          <w:rFonts w:hint="eastAsia" w:ascii="仿宋_GB2312" w:hAnsi="仿宋_GB2312" w:eastAsia="仿宋_GB2312" w:cs="仿宋_GB2312"/>
          <w:sz w:val="32"/>
          <w:szCs w:val="32"/>
          <w:lang w:val="en-US" w:eastAsia="zh-CN"/>
        </w:rPr>
        <w:t>2.82</w:t>
      </w:r>
      <w:r>
        <w:rPr>
          <w:rFonts w:hint="eastAsia" w:ascii="仿宋_GB2312" w:hAnsi="仿宋_GB2312" w:eastAsia="仿宋_GB2312" w:cs="仿宋_GB2312"/>
          <w:sz w:val="32"/>
          <w:szCs w:val="32"/>
        </w:rPr>
        <w:t>%</w:t>
      </w:r>
      <w:r>
        <w:rPr>
          <w:rFonts w:ascii="仿宋_GB2312" w:hAnsi="宋体" w:eastAsia="仿宋_GB2312" w:cs="仿宋_GB2312"/>
          <w:color w:val="000000"/>
          <w:kern w:val="0"/>
          <w:sz w:val="31"/>
          <w:szCs w:val="31"/>
          <w:lang w:val="en-US" w:eastAsia="zh-CN" w:bidi="ar"/>
        </w:rPr>
        <w:t>。</w:t>
      </w:r>
      <w:r>
        <w:rPr>
          <w:rFonts w:hint="eastAsia" w:ascii="仿宋_GB2312" w:hAnsi="仿宋_GB2312" w:eastAsia="仿宋_GB2312" w:cs="仿宋_GB2312"/>
          <w:color w:val="000000"/>
          <w:sz w:val="32"/>
          <w:szCs w:val="32"/>
        </w:rPr>
        <w:t>较</w:t>
      </w:r>
      <w:r>
        <w:rPr>
          <w:rFonts w:hint="default" w:ascii="仿宋_GB2312" w:hAnsi="仿宋_GB2312" w:eastAsia="仿宋_GB2312" w:cs="仿宋_GB2312"/>
          <w:color w:val="000000"/>
          <w:sz w:val="32"/>
          <w:szCs w:val="32"/>
          <w:lang w:val="en-US" w:eastAsia="zh-CN"/>
        </w:rPr>
        <w:t>202</w:t>
      </w:r>
      <w:r>
        <w:rPr>
          <w:rFonts w:hint="eastAsia" w:ascii="仿宋_GB2312" w:hAnsi="仿宋_GB2312" w:eastAsia="仿宋_GB2312" w:cs="仿宋_GB2312"/>
          <w:color w:val="000000"/>
          <w:sz w:val="32"/>
          <w:szCs w:val="32"/>
          <w:lang w:val="en-US" w:eastAsia="zh-CN"/>
        </w:rPr>
        <w:t>4</w:t>
      </w:r>
      <w:r>
        <w:rPr>
          <w:rFonts w:hint="default"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决算数</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4.63万元，</w:t>
      </w:r>
      <w:r>
        <w:rPr>
          <w:rFonts w:hint="eastAsia" w:ascii="仿宋_GB2312" w:hAnsi="仿宋_GB2312" w:eastAsia="仿宋_GB2312" w:cs="仿宋_GB2312"/>
          <w:color w:val="000000"/>
          <w:sz w:val="32"/>
          <w:szCs w:val="32"/>
          <w:lang w:eastAsia="zh-CN"/>
        </w:rPr>
        <w:t>降低</w:t>
      </w:r>
      <w:r>
        <w:rPr>
          <w:rFonts w:hint="eastAsia" w:ascii="仿宋_GB2312" w:hAnsi="仿宋_GB2312" w:eastAsia="仿宋_GB2312" w:cs="仿宋_GB2312"/>
          <w:color w:val="000000"/>
          <w:sz w:val="32"/>
          <w:szCs w:val="32"/>
          <w:lang w:val="en-US" w:eastAsia="zh-CN"/>
        </w:rPr>
        <w:t>1.05</w:t>
      </w:r>
      <w:r>
        <w:rPr>
          <w:rFonts w:hint="eastAsia" w:ascii="仿宋_GB2312" w:hAnsi="仿宋_GB2312" w:eastAsia="仿宋_GB2312" w:cs="仿宋_GB2312"/>
          <w:color w:val="000000"/>
          <w:sz w:val="32"/>
          <w:szCs w:val="32"/>
        </w:rPr>
        <w:t>%。主要原因是</w:t>
      </w:r>
      <w:r>
        <w:rPr>
          <w:rFonts w:hint="eastAsia" w:ascii="仿宋_GB2312" w:hAnsi="宋体" w:eastAsia="仿宋_GB2312" w:cs="仿宋_GB2312"/>
          <w:color w:val="000000"/>
          <w:kern w:val="0"/>
          <w:sz w:val="31"/>
          <w:szCs w:val="31"/>
          <w:lang w:val="en-US" w:eastAsia="zh-CN" w:bidi="ar"/>
        </w:rPr>
        <w:t>医疗保险支出减少</w:t>
      </w:r>
      <w:r>
        <w:rPr>
          <w:rFonts w:hint="eastAsia" w:ascii="仿宋_GB2312" w:hAnsi="仿宋_GB2312" w:eastAsia="仿宋_GB2312" w:cs="仿宋_GB2312"/>
          <w:color w:val="000000"/>
          <w:sz w:val="32"/>
          <w:szCs w:val="32"/>
        </w:rPr>
        <w:t>。</w:t>
      </w:r>
    </w:p>
    <w:p w14:paraId="33C8385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.住房保障支出（类）</w:t>
      </w:r>
      <w:r>
        <w:rPr>
          <w:rFonts w:hint="eastAsia" w:ascii="仿宋_GB2312" w:hAnsi="仿宋_GB2312" w:eastAsia="仿宋_GB2312" w:cs="仿宋_GB2312"/>
          <w:color w:val="000000"/>
          <w:sz w:val="32"/>
          <w:szCs w:val="32"/>
          <w:lang w:val="en-US" w:eastAsia="zh-CN"/>
        </w:rPr>
        <w:t>662.59</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sz w:val="32"/>
          <w:szCs w:val="32"/>
        </w:rPr>
        <w:t>占全年总支出</w:t>
      </w:r>
      <w:r>
        <w:rPr>
          <w:rFonts w:hint="eastAsia" w:ascii="仿宋_GB2312" w:hAnsi="仿宋_GB2312" w:eastAsia="仿宋_GB2312" w:cs="仿宋_GB2312"/>
          <w:sz w:val="32"/>
          <w:szCs w:val="32"/>
          <w:lang w:val="en-US" w:eastAsia="zh-CN"/>
        </w:rPr>
        <w:t>4.30</w:t>
      </w:r>
      <w:r>
        <w:rPr>
          <w:rFonts w:hint="eastAsia" w:ascii="仿宋_GB2312" w:hAnsi="仿宋_GB2312" w:eastAsia="仿宋_GB2312" w:cs="仿宋_GB2312"/>
          <w:sz w:val="32"/>
          <w:szCs w:val="32"/>
        </w:rPr>
        <w:t>%</w:t>
      </w:r>
      <w:r>
        <w:rPr>
          <w:rFonts w:ascii="仿宋_GB2312" w:hAnsi="宋体" w:eastAsia="仿宋_GB2312" w:cs="仿宋_GB2312"/>
          <w:color w:val="000000"/>
          <w:kern w:val="0"/>
          <w:sz w:val="31"/>
          <w:szCs w:val="31"/>
          <w:lang w:val="en-US" w:eastAsia="zh-CN" w:bidi="ar"/>
        </w:rPr>
        <w:t>。</w:t>
      </w:r>
      <w:r>
        <w:rPr>
          <w:rFonts w:hint="eastAsia" w:ascii="仿宋_GB2312" w:hAnsi="仿宋_GB2312" w:eastAsia="仿宋_GB2312" w:cs="仿宋_GB2312"/>
          <w:color w:val="000000"/>
          <w:sz w:val="32"/>
          <w:szCs w:val="32"/>
        </w:rPr>
        <w:t>较</w:t>
      </w:r>
      <w:r>
        <w:rPr>
          <w:rFonts w:hint="default" w:ascii="仿宋_GB2312" w:hAnsi="仿宋_GB2312" w:eastAsia="仿宋_GB2312" w:cs="仿宋_GB2312"/>
          <w:color w:val="000000"/>
          <w:sz w:val="32"/>
          <w:szCs w:val="32"/>
          <w:lang w:val="en-US" w:eastAsia="zh-CN"/>
        </w:rPr>
        <w:t>202</w:t>
      </w:r>
      <w:r>
        <w:rPr>
          <w:rFonts w:hint="eastAsia" w:ascii="仿宋_GB2312" w:hAnsi="仿宋_GB2312" w:eastAsia="仿宋_GB2312" w:cs="仿宋_GB2312"/>
          <w:color w:val="000000"/>
          <w:sz w:val="32"/>
          <w:szCs w:val="32"/>
          <w:lang w:val="en-US" w:eastAsia="zh-CN"/>
        </w:rPr>
        <w:t>4</w:t>
      </w:r>
      <w:r>
        <w:rPr>
          <w:rFonts w:hint="default"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决算数</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29.26万元，</w:t>
      </w:r>
      <w:r>
        <w:rPr>
          <w:rFonts w:hint="eastAsia" w:ascii="仿宋_GB2312" w:hAnsi="仿宋_GB2312" w:eastAsia="仿宋_GB2312" w:cs="仿宋_GB2312"/>
          <w:color w:val="000000"/>
          <w:sz w:val="32"/>
          <w:szCs w:val="32"/>
          <w:lang w:eastAsia="zh-CN"/>
        </w:rPr>
        <w:t>降低</w:t>
      </w:r>
      <w:r>
        <w:rPr>
          <w:rFonts w:hint="eastAsia" w:ascii="仿宋_GB2312" w:hAnsi="仿宋_GB2312" w:eastAsia="仿宋_GB2312" w:cs="仿宋_GB2312"/>
          <w:color w:val="000000"/>
          <w:sz w:val="32"/>
          <w:szCs w:val="32"/>
          <w:lang w:val="en-US" w:eastAsia="zh-CN"/>
        </w:rPr>
        <w:t>4.23</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eastAsia="zh-CN"/>
        </w:rPr>
        <w:t>住房公积金和购房补贴支出</w:t>
      </w:r>
      <w:r>
        <w:rPr>
          <w:rFonts w:hint="eastAsia" w:ascii="仿宋_GB2312" w:hAnsi="仿宋_GB2312" w:eastAsia="仿宋_GB2312" w:cs="仿宋_GB2312"/>
          <w:color w:val="000000" w:themeColor="text1"/>
          <w:sz w:val="32"/>
          <w:szCs w:val="32"/>
          <w:lang w:eastAsia="zh-CN"/>
        </w:rPr>
        <w:t>减少。</w:t>
      </w:r>
    </w:p>
    <w:p w14:paraId="37D41D29">
      <w:pPr>
        <w:pStyle w:val="4"/>
        <w:bidi w:val="0"/>
        <w:jc w:val="both"/>
        <w:outlineLvl w:val="1"/>
        <w:rPr>
          <w:rFonts w:hint="eastAsia"/>
        </w:rPr>
      </w:pPr>
      <w:bookmarkStart w:id="16" w:name="_Toc1490469741"/>
      <w:r>
        <w:rPr>
          <w:rFonts w:hint="eastAsia"/>
        </w:rPr>
        <w:t>二、一般公共预算财政拨款支出情况说明</w:t>
      </w:r>
      <w:bookmarkEnd w:id="16"/>
    </w:p>
    <w:p w14:paraId="7D90D99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按照党中央、国务院关于党政机关习惯过紧日子的有关要求，厉行节约办一切事业，严控一般性支出。同时坚持有保有压，优化支出结构，提高资金使用效率，合理保障第四次全国农业普查准备阶段以及住户、劳动力、价格调查样本轮换等新增重点统计工作任务经费需求。</w:t>
      </w:r>
    </w:p>
    <w:p w14:paraId="04F1F6F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eastAsia="zh-CN"/>
        </w:rPr>
      </w:pPr>
      <w:r>
        <w:rPr>
          <w:rFonts w:hint="default" w:ascii="仿宋_GB2312" w:hAnsi="仿宋_GB2312" w:eastAsia="仿宋_GB2312" w:cs="仿宋_GB2312"/>
          <w:color w:val="000000"/>
          <w:sz w:val="32"/>
          <w:szCs w:val="32"/>
          <w:lang w:val="en-US" w:eastAsia="zh-CN"/>
        </w:rPr>
        <w:t>202</w:t>
      </w:r>
      <w:r>
        <w:rPr>
          <w:rFonts w:hint="eastAsia" w:ascii="仿宋_GB2312" w:hAnsi="仿宋_GB2312" w:eastAsia="仿宋_GB2312" w:cs="仿宋_GB2312"/>
          <w:color w:val="000000"/>
          <w:sz w:val="32"/>
          <w:szCs w:val="32"/>
          <w:lang w:val="en-US" w:eastAsia="zh-CN"/>
        </w:rPr>
        <w:t>5</w:t>
      </w:r>
      <w:r>
        <w:rPr>
          <w:rFonts w:hint="default"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度一般公共预算财政拨款支</w:t>
      </w:r>
      <w:r>
        <w:rPr>
          <w:rFonts w:hint="eastAsia" w:ascii="仿宋_GB2312" w:hAnsi="仿宋_GB2312" w:eastAsia="仿宋_GB2312" w:cs="仿宋_GB2312"/>
          <w:color w:val="000000"/>
          <w:sz w:val="32"/>
          <w:szCs w:val="32"/>
          <w:lang w:val="en-US" w:eastAsia="zh-CN"/>
        </w:rPr>
        <w:t>出11361.34万</w:t>
      </w:r>
      <w:r>
        <w:rPr>
          <w:rFonts w:hint="eastAsia" w:ascii="仿宋_GB2312" w:hAnsi="仿宋_GB2312" w:eastAsia="仿宋_GB2312" w:cs="仿宋_GB2312"/>
          <w:color w:val="000000"/>
          <w:sz w:val="32"/>
          <w:szCs w:val="32"/>
        </w:rPr>
        <w:t>元，具体情况如下：</w:t>
      </w:r>
    </w:p>
    <w:p w14:paraId="747EAC6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楷体" w:hAnsi="楷体" w:eastAsia="楷体" w:cs="楷体"/>
          <w:color w:val="000000"/>
          <w:sz w:val="32"/>
          <w:szCs w:val="32"/>
        </w:rPr>
      </w:pPr>
      <w:r>
        <w:rPr>
          <w:rFonts w:hint="eastAsia" w:ascii="楷体" w:hAnsi="楷体" w:eastAsia="楷体" w:cs="楷体"/>
          <w:color w:val="000000"/>
          <w:sz w:val="32"/>
          <w:szCs w:val="32"/>
        </w:rPr>
        <w:t>（一）一般公共服务支出（类）统计信息事务（款）。</w:t>
      </w:r>
    </w:p>
    <w:p w14:paraId="2BA177B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rPr>
        <w:t>1.行政运行（项）。</w:t>
      </w:r>
      <w:r>
        <w:rPr>
          <w:rFonts w:hint="eastAsia" w:ascii="仿宋_GB2312" w:hAnsi="仿宋_GB2312" w:eastAsia="仿宋_GB2312" w:cs="仿宋_GB2312"/>
          <w:color w:val="auto"/>
          <w:sz w:val="32"/>
          <w:szCs w:val="32"/>
          <w:highlight w:val="none"/>
        </w:rPr>
        <w:t>年初预算数为</w:t>
      </w:r>
      <w:r>
        <w:rPr>
          <w:rFonts w:hint="eastAsia" w:ascii="仿宋_GB2312" w:hAnsi="仿宋_GB2312" w:eastAsia="仿宋_GB2312" w:cs="仿宋_GB2312"/>
          <w:color w:val="auto"/>
          <w:sz w:val="32"/>
          <w:szCs w:val="32"/>
          <w:highlight w:val="none"/>
          <w:lang w:val="en-US" w:eastAsia="zh-CN"/>
        </w:rPr>
        <w:t>6955.44</w:t>
      </w:r>
      <w:r>
        <w:rPr>
          <w:rFonts w:hint="eastAsia" w:ascii="仿宋_GB2312" w:hAnsi="仿宋_GB2312" w:eastAsia="仿宋_GB2312" w:cs="仿宋_GB2312"/>
          <w:color w:val="auto"/>
          <w:sz w:val="32"/>
          <w:szCs w:val="32"/>
          <w:highlight w:val="none"/>
        </w:rPr>
        <w:t>万元，支出决算数为</w:t>
      </w:r>
      <w:r>
        <w:rPr>
          <w:rFonts w:hint="eastAsia" w:ascii="仿宋_GB2312" w:hAnsi="仿宋_GB2312" w:eastAsia="仿宋_GB2312" w:cs="仿宋_GB2312"/>
          <w:color w:val="auto"/>
          <w:sz w:val="32"/>
          <w:szCs w:val="32"/>
          <w:highlight w:val="none"/>
          <w:lang w:val="en-US" w:eastAsia="zh-CN"/>
        </w:rPr>
        <w:t>7171.48</w:t>
      </w:r>
      <w:r>
        <w:rPr>
          <w:rFonts w:hint="eastAsia" w:ascii="仿宋_GB2312" w:hAnsi="仿宋_GB2312" w:eastAsia="仿宋_GB2312" w:cs="仿宋_GB2312"/>
          <w:color w:val="auto"/>
          <w:sz w:val="32"/>
          <w:szCs w:val="32"/>
          <w:highlight w:val="none"/>
        </w:rPr>
        <w:t>万元，完成年初预算的</w:t>
      </w:r>
      <w:r>
        <w:rPr>
          <w:rFonts w:hint="eastAsia" w:ascii="仿宋_GB2312" w:hAnsi="仿宋_GB2312" w:eastAsia="仿宋_GB2312" w:cs="仿宋_GB2312"/>
          <w:color w:val="auto"/>
          <w:sz w:val="32"/>
          <w:szCs w:val="32"/>
          <w:highlight w:val="none"/>
          <w:lang w:val="en-US" w:eastAsia="zh-CN"/>
        </w:rPr>
        <w:t>103.11%。</w:t>
      </w:r>
      <w:r>
        <w:rPr>
          <w:rFonts w:hint="eastAsia" w:ascii="仿宋_GB2312" w:hAnsi="仿宋_GB2312" w:eastAsia="仿宋_GB2312" w:cs="仿宋_GB2312"/>
          <w:color w:val="auto"/>
          <w:sz w:val="32"/>
          <w:szCs w:val="32"/>
          <w:highlight w:val="none"/>
        </w:rPr>
        <w:t>决算数</w:t>
      </w:r>
      <w:r>
        <w:rPr>
          <w:rFonts w:hint="eastAsia" w:ascii="仿宋_GB2312" w:hAnsi="仿宋_GB2312" w:eastAsia="仿宋_GB2312" w:cs="仿宋_GB2312"/>
          <w:color w:val="auto"/>
          <w:sz w:val="32"/>
          <w:szCs w:val="32"/>
          <w:highlight w:val="none"/>
          <w:lang w:val="en-US" w:eastAsia="zh-CN"/>
        </w:rPr>
        <w:t>大</w:t>
      </w:r>
      <w:r>
        <w:rPr>
          <w:rFonts w:hint="eastAsia" w:ascii="仿宋_GB2312" w:hAnsi="仿宋_GB2312" w:eastAsia="仿宋_GB2312" w:cs="仿宋_GB2312"/>
          <w:color w:val="auto"/>
          <w:sz w:val="32"/>
          <w:szCs w:val="32"/>
          <w:highlight w:val="none"/>
          <w:lang w:eastAsia="zh-CN"/>
        </w:rPr>
        <w:t>于</w:t>
      </w:r>
      <w:r>
        <w:rPr>
          <w:rFonts w:hint="eastAsia" w:ascii="仿宋_GB2312" w:hAnsi="仿宋_GB2312" w:eastAsia="仿宋_GB2312" w:cs="仿宋_GB2312"/>
          <w:color w:val="auto"/>
          <w:sz w:val="32"/>
          <w:szCs w:val="32"/>
          <w:highlight w:val="none"/>
        </w:rPr>
        <w:t>预算数的主要原因是</w:t>
      </w:r>
      <w:r>
        <w:rPr>
          <w:rFonts w:ascii="仿宋_GB2312" w:hAnsi="宋体" w:eastAsia="仿宋_GB2312" w:cs="仿宋_GB2312"/>
          <w:color w:val="000000"/>
          <w:kern w:val="0"/>
          <w:sz w:val="31"/>
          <w:szCs w:val="31"/>
          <w:lang w:val="en-US" w:eastAsia="zh-CN" w:bidi="ar"/>
        </w:rPr>
        <w:t>2025 年度执行中按规定使用</w:t>
      </w:r>
      <w:r>
        <w:rPr>
          <w:rFonts w:hint="eastAsia" w:ascii="仿宋_GB2312" w:hAnsi="宋体" w:eastAsia="仿宋_GB2312" w:cs="仿宋_GB2312"/>
          <w:color w:val="000000"/>
          <w:kern w:val="0"/>
          <w:sz w:val="31"/>
          <w:szCs w:val="31"/>
          <w:lang w:val="en-US" w:eastAsia="zh-CN" w:bidi="ar"/>
        </w:rPr>
        <w:t>了以前年度结转资金</w:t>
      </w:r>
      <w:r>
        <w:rPr>
          <w:rFonts w:hint="eastAsia" w:ascii="仿宋_GB2312" w:hAnsi="仿宋_GB2312" w:eastAsia="仿宋_GB2312" w:cs="仿宋_GB2312"/>
          <w:color w:val="auto"/>
          <w:sz w:val="32"/>
          <w:szCs w:val="32"/>
          <w:highlight w:val="none"/>
        </w:rPr>
        <w:t>。</w:t>
      </w:r>
    </w:p>
    <w:p w14:paraId="435C0CA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000000"/>
          <w:sz w:val="32"/>
          <w:szCs w:val="32"/>
          <w:highlight w:val="none"/>
        </w:rPr>
        <w:t>2.</w:t>
      </w:r>
      <w:r>
        <w:rPr>
          <w:rFonts w:hint="eastAsia" w:ascii="仿宋_GB2312" w:hAnsi="仿宋_GB2312" w:eastAsia="仿宋_GB2312" w:cs="仿宋_GB2312"/>
          <w:color w:val="auto"/>
          <w:sz w:val="32"/>
          <w:szCs w:val="32"/>
          <w:highlight w:val="none"/>
        </w:rPr>
        <w:t>一般行政管理事务（项）。年初预算数为</w:t>
      </w:r>
      <w:r>
        <w:rPr>
          <w:rFonts w:hint="eastAsia" w:ascii="仿宋_GB2312" w:hAnsi="仿宋_GB2312" w:eastAsia="仿宋_GB2312" w:cs="仿宋_GB2312"/>
          <w:color w:val="auto"/>
          <w:sz w:val="32"/>
          <w:szCs w:val="32"/>
          <w:highlight w:val="none"/>
          <w:lang w:val="en-US" w:eastAsia="zh-CN"/>
        </w:rPr>
        <w:t>77.00</w:t>
      </w:r>
      <w:r>
        <w:rPr>
          <w:rFonts w:hint="eastAsia" w:ascii="仿宋_GB2312" w:hAnsi="仿宋_GB2312" w:eastAsia="仿宋_GB2312" w:cs="仿宋_GB2312"/>
          <w:color w:val="auto"/>
          <w:sz w:val="32"/>
          <w:szCs w:val="32"/>
          <w:highlight w:val="none"/>
        </w:rPr>
        <w:t>万元，支出决算数为</w:t>
      </w:r>
      <w:r>
        <w:rPr>
          <w:rFonts w:hint="eastAsia" w:ascii="仿宋_GB2312" w:hAnsi="仿宋_GB2312" w:eastAsia="仿宋_GB2312" w:cs="仿宋_GB2312"/>
          <w:color w:val="auto"/>
          <w:sz w:val="32"/>
          <w:szCs w:val="32"/>
          <w:highlight w:val="none"/>
          <w:lang w:val="en-US" w:eastAsia="zh-CN"/>
        </w:rPr>
        <w:t>38.49</w:t>
      </w:r>
      <w:r>
        <w:rPr>
          <w:rFonts w:hint="eastAsia" w:ascii="仿宋_GB2312" w:hAnsi="仿宋_GB2312" w:eastAsia="仿宋_GB2312" w:cs="仿宋_GB2312"/>
          <w:color w:val="auto"/>
          <w:sz w:val="32"/>
          <w:szCs w:val="32"/>
          <w:highlight w:val="none"/>
        </w:rPr>
        <w:t>万元，完成年初预算的</w:t>
      </w:r>
      <w:r>
        <w:rPr>
          <w:rFonts w:hint="eastAsia" w:ascii="仿宋_GB2312" w:hAnsi="仿宋_GB2312" w:eastAsia="仿宋_GB2312" w:cs="仿宋_GB2312"/>
          <w:color w:val="auto"/>
          <w:sz w:val="32"/>
          <w:szCs w:val="32"/>
          <w:highlight w:val="none"/>
          <w:lang w:val="en-US" w:eastAsia="zh-CN"/>
        </w:rPr>
        <w:t>49.99</w:t>
      </w:r>
      <w:r>
        <w:rPr>
          <w:rFonts w:hint="eastAsia" w:ascii="仿宋_GB2312" w:hAnsi="仿宋_GB2312" w:eastAsia="仿宋_GB2312" w:cs="仿宋_GB2312"/>
          <w:color w:val="auto"/>
          <w:sz w:val="32"/>
          <w:szCs w:val="32"/>
          <w:highlight w:val="none"/>
        </w:rPr>
        <w:t>%。决算数</w:t>
      </w:r>
      <w:r>
        <w:rPr>
          <w:rFonts w:hint="eastAsia" w:ascii="仿宋_GB2312" w:hAnsi="仿宋_GB2312" w:eastAsia="仿宋_GB2312" w:cs="仿宋_GB2312"/>
          <w:color w:val="auto"/>
          <w:sz w:val="32"/>
          <w:szCs w:val="32"/>
          <w:highlight w:val="none"/>
          <w:lang w:eastAsia="zh-CN"/>
        </w:rPr>
        <w:t>小</w:t>
      </w:r>
      <w:r>
        <w:rPr>
          <w:rFonts w:hint="eastAsia" w:ascii="仿宋_GB2312" w:hAnsi="仿宋_GB2312" w:eastAsia="仿宋_GB2312" w:cs="仿宋_GB2312"/>
          <w:color w:val="auto"/>
          <w:sz w:val="32"/>
          <w:szCs w:val="32"/>
          <w:highlight w:val="none"/>
        </w:rPr>
        <w:t>于预算数的主要原因是</w:t>
      </w:r>
      <w:r>
        <w:rPr>
          <w:rFonts w:hint="eastAsia" w:ascii="仿宋_GB2312" w:hAnsi="仿宋_GB2312" w:eastAsia="仿宋_GB2312" w:cs="仿宋_GB2312"/>
          <w:color w:val="auto"/>
          <w:sz w:val="32"/>
          <w:szCs w:val="32"/>
          <w:highlight w:val="none"/>
          <w:lang w:val="en-US" w:eastAsia="zh-CN"/>
        </w:rPr>
        <w:t>根据工作安排和合同进度，资金结转下年使用。</w:t>
      </w:r>
    </w:p>
    <w:p w14:paraId="4A32E24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000000"/>
          <w:sz w:val="32"/>
          <w:szCs w:val="32"/>
          <w:highlight w:val="none"/>
        </w:rPr>
        <w:t>3.</w:t>
      </w:r>
      <w:r>
        <w:rPr>
          <w:rFonts w:hint="eastAsia" w:ascii="仿宋_GB2312" w:hAnsi="仿宋_GB2312" w:eastAsia="仿宋_GB2312" w:cs="仿宋_GB2312"/>
          <w:color w:val="auto"/>
          <w:sz w:val="32"/>
          <w:szCs w:val="32"/>
          <w:highlight w:val="none"/>
        </w:rPr>
        <w:t>专项统计业务（项）。年初预算数为</w:t>
      </w:r>
      <w:r>
        <w:rPr>
          <w:rFonts w:hint="eastAsia" w:ascii="仿宋_GB2312" w:hAnsi="仿宋_GB2312" w:eastAsia="仿宋_GB2312" w:cs="仿宋_GB2312"/>
          <w:color w:val="auto"/>
          <w:sz w:val="32"/>
          <w:szCs w:val="32"/>
          <w:highlight w:val="none"/>
          <w:lang w:val="en-US" w:eastAsia="zh-CN"/>
        </w:rPr>
        <w:t>370.00</w:t>
      </w:r>
      <w:r>
        <w:rPr>
          <w:rFonts w:hint="eastAsia" w:ascii="仿宋_GB2312" w:hAnsi="仿宋_GB2312" w:eastAsia="仿宋_GB2312" w:cs="仿宋_GB2312"/>
          <w:color w:val="auto"/>
          <w:sz w:val="32"/>
          <w:szCs w:val="32"/>
          <w:highlight w:val="none"/>
        </w:rPr>
        <w:t>万元，支出决算数为</w:t>
      </w:r>
      <w:r>
        <w:rPr>
          <w:rFonts w:hint="eastAsia" w:ascii="仿宋_GB2312" w:hAnsi="仿宋_GB2312" w:eastAsia="仿宋_GB2312" w:cs="仿宋_GB2312"/>
          <w:color w:val="auto"/>
          <w:sz w:val="32"/>
          <w:szCs w:val="32"/>
          <w:highlight w:val="none"/>
          <w:lang w:val="en-US" w:eastAsia="zh-CN"/>
        </w:rPr>
        <w:t>370.16</w:t>
      </w:r>
      <w:r>
        <w:rPr>
          <w:rFonts w:hint="eastAsia" w:ascii="仿宋_GB2312" w:hAnsi="仿宋_GB2312" w:eastAsia="仿宋_GB2312" w:cs="仿宋_GB2312"/>
          <w:color w:val="auto"/>
          <w:sz w:val="32"/>
          <w:szCs w:val="32"/>
          <w:highlight w:val="none"/>
        </w:rPr>
        <w:t>万元，完成年初预算的</w:t>
      </w:r>
      <w:r>
        <w:rPr>
          <w:rFonts w:hint="eastAsia" w:ascii="仿宋_GB2312" w:hAnsi="仿宋_GB2312" w:eastAsia="仿宋_GB2312" w:cs="仿宋_GB2312"/>
          <w:color w:val="auto"/>
          <w:sz w:val="32"/>
          <w:szCs w:val="32"/>
          <w:highlight w:val="none"/>
          <w:lang w:val="en-US" w:eastAsia="zh-CN"/>
        </w:rPr>
        <w:t>100.04</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p>
    <w:p w14:paraId="30D5969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000000"/>
          <w:sz w:val="32"/>
          <w:szCs w:val="32"/>
          <w:highlight w:val="none"/>
        </w:rPr>
        <w:t>4.</w:t>
      </w:r>
      <w:r>
        <w:rPr>
          <w:rFonts w:hint="eastAsia" w:ascii="仿宋_GB2312" w:hAnsi="仿宋_GB2312" w:eastAsia="仿宋_GB2312" w:cs="仿宋_GB2312"/>
          <w:color w:val="auto"/>
          <w:sz w:val="32"/>
          <w:szCs w:val="32"/>
          <w:highlight w:val="none"/>
        </w:rPr>
        <w:t>统计</w:t>
      </w:r>
      <w:r>
        <w:rPr>
          <w:rFonts w:hint="eastAsia" w:ascii="仿宋_GB2312" w:hAnsi="仿宋_GB2312" w:eastAsia="仿宋_GB2312" w:cs="仿宋_GB2312"/>
          <w:color w:val="auto"/>
          <w:sz w:val="32"/>
          <w:szCs w:val="32"/>
          <w:highlight w:val="none"/>
          <w:lang w:val="en-US" w:eastAsia="zh-CN"/>
        </w:rPr>
        <w:t>管理</w:t>
      </w:r>
      <w:r>
        <w:rPr>
          <w:rFonts w:hint="eastAsia" w:ascii="仿宋_GB2312" w:hAnsi="仿宋_GB2312" w:eastAsia="仿宋_GB2312" w:cs="仿宋_GB2312"/>
          <w:color w:val="auto"/>
          <w:sz w:val="32"/>
          <w:szCs w:val="32"/>
          <w:highlight w:val="none"/>
        </w:rPr>
        <w:t>（项）。年初预算数为</w:t>
      </w:r>
      <w:r>
        <w:rPr>
          <w:rFonts w:hint="eastAsia" w:ascii="仿宋_GB2312" w:hAnsi="仿宋_GB2312" w:eastAsia="仿宋_GB2312" w:cs="仿宋_GB2312"/>
          <w:color w:val="auto"/>
          <w:sz w:val="32"/>
          <w:szCs w:val="32"/>
          <w:highlight w:val="none"/>
          <w:lang w:val="en-US" w:eastAsia="zh-CN"/>
        </w:rPr>
        <w:t>127.00</w:t>
      </w:r>
      <w:r>
        <w:rPr>
          <w:rFonts w:hint="eastAsia" w:ascii="仿宋_GB2312" w:hAnsi="仿宋_GB2312" w:eastAsia="仿宋_GB2312" w:cs="仿宋_GB2312"/>
          <w:color w:val="auto"/>
          <w:sz w:val="32"/>
          <w:szCs w:val="32"/>
          <w:highlight w:val="none"/>
        </w:rPr>
        <w:t>万元，支出决算数为</w:t>
      </w:r>
      <w:r>
        <w:rPr>
          <w:rFonts w:hint="eastAsia" w:ascii="仿宋_GB2312" w:hAnsi="仿宋_GB2312" w:eastAsia="仿宋_GB2312" w:cs="仿宋_GB2312"/>
          <w:color w:val="auto"/>
          <w:sz w:val="32"/>
          <w:szCs w:val="32"/>
          <w:highlight w:val="none"/>
          <w:lang w:val="en-US" w:eastAsia="zh-CN"/>
        </w:rPr>
        <w:t>127.00</w:t>
      </w:r>
      <w:r>
        <w:rPr>
          <w:rFonts w:hint="eastAsia" w:ascii="仿宋_GB2312" w:hAnsi="仿宋_GB2312" w:eastAsia="仿宋_GB2312" w:cs="仿宋_GB2312"/>
          <w:color w:val="auto"/>
          <w:sz w:val="32"/>
          <w:szCs w:val="32"/>
          <w:highlight w:val="none"/>
        </w:rPr>
        <w:t>万元，完成年初预算的</w:t>
      </w:r>
      <w:r>
        <w:rPr>
          <w:rFonts w:hint="eastAsia" w:ascii="仿宋_GB2312" w:hAnsi="仿宋_GB2312" w:eastAsia="仿宋_GB2312" w:cs="仿宋_GB2312"/>
          <w:color w:val="auto"/>
          <w:sz w:val="32"/>
          <w:szCs w:val="32"/>
          <w:highlight w:val="none"/>
          <w:lang w:val="en-US" w:eastAsia="zh-CN"/>
        </w:rPr>
        <w:t>100.00</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p>
    <w:p w14:paraId="67FE2A7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FF0000"/>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5.专项普查活动（项）。年初预算数为1.18万元，支出决算数为1.18万元，完成年初预算100.00%。</w:t>
      </w:r>
    </w:p>
    <w:p w14:paraId="145E42B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000000"/>
          <w:sz w:val="32"/>
          <w:szCs w:val="32"/>
          <w:highlight w:val="none"/>
          <w:lang w:val="en-US" w:eastAsia="zh-CN"/>
        </w:rPr>
        <w:t>6</w:t>
      </w:r>
      <w:r>
        <w:rPr>
          <w:rFonts w:hint="eastAsia" w:ascii="仿宋_GB2312" w:hAnsi="仿宋_GB2312" w:eastAsia="仿宋_GB2312" w:cs="仿宋_GB2312"/>
          <w:color w:val="000000"/>
          <w:sz w:val="32"/>
          <w:szCs w:val="32"/>
          <w:highlight w:val="none"/>
        </w:rPr>
        <w:t>.统计抽样调查（项）。</w:t>
      </w:r>
      <w:r>
        <w:rPr>
          <w:rFonts w:hint="eastAsia" w:ascii="仿宋_GB2312" w:hAnsi="仿宋_GB2312" w:eastAsia="仿宋_GB2312" w:cs="仿宋_GB2312"/>
          <w:color w:val="auto"/>
          <w:sz w:val="32"/>
          <w:szCs w:val="32"/>
          <w:highlight w:val="none"/>
        </w:rPr>
        <w:t>年初预算数为</w:t>
      </w:r>
      <w:r>
        <w:rPr>
          <w:rFonts w:hint="eastAsia" w:ascii="仿宋_GB2312" w:hAnsi="仿宋_GB2312" w:eastAsia="仿宋_GB2312" w:cs="仿宋_GB2312"/>
          <w:color w:val="auto"/>
          <w:sz w:val="32"/>
          <w:szCs w:val="32"/>
          <w:highlight w:val="none"/>
          <w:lang w:val="en-US" w:eastAsia="zh-CN"/>
        </w:rPr>
        <w:t>1420.76</w:t>
      </w:r>
      <w:r>
        <w:rPr>
          <w:rFonts w:hint="eastAsia" w:ascii="仿宋_GB2312" w:hAnsi="仿宋_GB2312" w:eastAsia="仿宋_GB2312" w:cs="仿宋_GB2312"/>
          <w:color w:val="auto"/>
          <w:sz w:val="32"/>
          <w:szCs w:val="32"/>
          <w:highlight w:val="none"/>
        </w:rPr>
        <w:t>万元，支出决算数为</w:t>
      </w:r>
      <w:r>
        <w:rPr>
          <w:rFonts w:hint="eastAsia" w:ascii="仿宋_GB2312" w:hAnsi="仿宋_GB2312" w:eastAsia="仿宋_GB2312" w:cs="仿宋_GB2312"/>
          <w:color w:val="auto"/>
          <w:sz w:val="32"/>
          <w:szCs w:val="32"/>
          <w:highlight w:val="none"/>
          <w:lang w:val="en-US" w:eastAsia="zh-CN"/>
        </w:rPr>
        <w:t>1432.49</w:t>
      </w:r>
      <w:r>
        <w:rPr>
          <w:rFonts w:hint="eastAsia" w:ascii="仿宋_GB2312" w:hAnsi="仿宋_GB2312" w:eastAsia="仿宋_GB2312" w:cs="仿宋_GB2312"/>
          <w:color w:val="auto"/>
          <w:sz w:val="32"/>
          <w:szCs w:val="32"/>
          <w:highlight w:val="none"/>
        </w:rPr>
        <w:t>万元，完成年初预算的</w:t>
      </w:r>
      <w:r>
        <w:rPr>
          <w:rFonts w:hint="eastAsia" w:ascii="仿宋_GB2312" w:hAnsi="仿宋_GB2312" w:eastAsia="仿宋_GB2312" w:cs="仿宋_GB2312"/>
          <w:color w:val="auto"/>
          <w:sz w:val="32"/>
          <w:szCs w:val="32"/>
          <w:highlight w:val="none"/>
          <w:lang w:val="en-US" w:eastAsia="zh-CN"/>
        </w:rPr>
        <w:t>100.83</w:t>
      </w:r>
      <w:r>
        <w:rPr>
          <w:rFonts w:hint="eastAsia" w:ascii="仿宋_GB2312" w:hAnsi="仿宋_GB2312" w:eastAsia="仿宋_GB2312" w:cs="仿宋_GB2312"/>
          <w:color w:val="auto"/>
          <w:sz w:val="32"/>
          <w:szCs w:val="32"/>
          <w:highlight w:val="none"/>
        </w:rPr>
        <w:t>%。决算数大于预算数的主要原因是</w:t>
      </w:r>
      <w:r>
        <w:rPr>
          <w:rFonts w:hint="default" w:ascii="仿宋_GB2312" w:hAnsi="仿宋_GB2312" w:eastAsia="仿宋_GB2312" w:cs="仿宋_GB2312"/>
          <w:color w:val="auto"/>
          <w:sz w:val="32"/>
          <w:szCs w:val="32"/>
          <w:highlight w:val="none"/>
          <w:lang w:val="en-US" w:eastAsia="zh-CN"/>
        </w:rPr>
        <w:t>202</w:t>
      </w:r>
      <w:r>
        <w:rPr>
          <w:rFonts w:hint="eastAsia" w:ascii="仿宋_GB2312" w:hAnsi="仿宋_GB2312" w:eastAsia="仿宋_GB2312" w:cs="仿宋_GB2312"/>
          <w:color w:val="auto"/>
          <w:sz w:val="32"/>
          <w:szCs w:val="32"/>
          <w:highlight w:val="none"/>
          <w:lang w:val="en-US" w:eastAsia="zh-CN"/>
        </w:rPr>
        <w:t>5</w:t>
      </w:r>
      <w:r>
        <w:rPr>
          <w:rFonts w:hint="default" w:ascii="仿宋_GB2312" w:hAnsi="仿宋_GB2312" w:eastAsia="仿宋_GB2312" w:cs="仿宋_GB2312"/>
          <w:color w:val="auto"/>
          <w:sz w:val="32"/>
          <w:szCs w:val="32"/>
          <w:highlight w:val="none"/>
          <w:lang w:val="en-US" w:eastAsia="zh-CN"/>
        </w:rPr>
        <w:t>年</w:t>
      </w:r>
      <w:r>
        <w:rPr>
          <w:rFonts w:hint="eastAsia" w:ascii="仿宋_GB2312" w:hAnsi="仿宋_GB2312" w:eastAsia="仿宋_GB2312" w:cs="仿宋_GB2312"/>
          <w:color w:val="auto"/>
          <w:sz w:val="32"/>
          <w:szCs w:val="32"/>
          <w:highlight w:val="none"/>
        </w:rPr>
        <w:t>执行中</w:t>
      </w:r>
      <w:r>
        <w:rPr>
          <w:rFonts w:ascii="仿宋_GB2312" w:hAnsi="宋体" w:eastAsia="仿宋_GB2312" w:cs="仿宋_GB2312"/>
          <w:color w:val="auto"/>
          <w:kern w:val="0"/>
          <w:sz w:val="31"/>
          <w:szCs w:val="31"/>
          <w:highlight w:val="none"/>
          <w:lang w:val="en-US" w:eastAsia="zh-CN" w:bidi="ar"/>
        </w:rPr>
        <w:t>根据业务需要新增安排</w:t>
      </w:r>
      <w:r>
        <w:rPr>
          <w:rFonts w:hint="eastAsia" w:ascii="仿宋_GB2312" w:hAnsi="宋体" w:eastAsia="仿宋_GB2312" w:cs="仿宋_GB2312"/>
          <w:color w:val="auto"/>
          <w:kern w:val="0"/>
          <w:sz w:val="31"/>
          <w:szCs w:val="31"/>
          <w:highlight w:val="none"/>
          <w:lang w:val="en-US" w:eastAsia="zh-CN" w:bidi="ar"/>
        </w:rPr>
        <w:t>统计调查业务经费</w:t>
      </w:r>
      <w:r>
        <w:rPr>
          <w:rFonts w:hint="eastAsia" w:ascii="仿宋_GB2312" w:hAnsi="仿宋_GB2312" w:eastAsia="仿宋_GB2312" w:cs="仿宋_GB2312"/>
          <w:color w:val="auto"/>
          <w:sz w:val="32"/>
          <w:szCs w:val="32"/>
          <w:highlight w:val="none"/>
        </w:rPr>
        <w:t>。</w:t>
      </w:r>
    </w:p>
    <w:p w14:paraId="0D4957D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楷体" w:hAnsi="楷体" w:eastAsia="楷体" w:cs="楷体"/>
          <w:color w:val="000000"/>
          <w:sz w:val="32"/>
          <w:szCs w:val="32"/>
          <w:highlight w:val="none"/>
          <w:lang w:val="en-US" w:eastAsia="zh-CN"/>
        </w:rPr>
      </w:pPr>
      <w:r>
        <w:rPr>
          <w:rFonts w:hint="eastAsia" w:ascii="楷体" w:hAnsi="楷体" w:eastAsia="楷体" w:cs="楷体"/>
          <w:color w:val="000000"/>
          <w:sz w:val="32"/>
          <w:szCs w:val="32"/>
          <w:highlight w:val="none"/>
        </w:rPr>
        <w:t>（二）</w:t>
      </w:r>
      <w:r>
        <w:rPr>
          <w:rFonts w:hint="eastAsia" w:ascii="楷体" w:hAnsi="楷体" w:eastAsia="楷体" w:cs="楷体"/>
          <w:color w:val="000000"/>
          <w:sz w:val="32"/>
          <w:szCs w:val="32"/>
          <w:highlight w:val="none"/>
          <w:lang w:val="en-US" w:eastAsia="zh-CN"/>
        </w:rPr>
        <w:t>社会保障和就业支出（类）行政事业单位养老支出（款）。</w:t>
      </w:r>
    </w:p>
    <w:p w14:paraId="44C4098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1"/>
          <w:szCs w:val="31"/>
          <w:highlight w:val="none"/>
          <w:lang w:val="en-US" w:eastAsia="zh-CN" w:bidi="ar"/>
        </w:rPr>
      </w:pPr>
      <w:r>
        <w:rPr>
          <w:rFonts w:hint="eastAsia" w:ascii="仿宋_GB2312" w:hAnsi="仿宋_GB2312" w:eastAsia="仿宋_GB2312" w:cs="仿宋_GB2312"/>
          <w:color w:val="auto"/>
          <w:sz w:val="32"/>
          <w:szCs w:val="32"/>
          <w:highlight w:val="none"/>
          <w:lang w:val="en-US" w:eastAsia="zh-CN"/>
        </w:rPr>
        <w:t>1.机关</w:t>
      </w:r>
      <w:r>
        <w:rPr>
          <w:rFonts w:ascii="仿宋_GB2312" w:hAnsi="宋体" w:eastAsia="仿宋_GB2312" w:cs="仿宋_GB2312"/>
          <w:color w:val="auto"/>
          <w:kern w:val="0"/>
          <w:sz w:val="31"/>
          <w:szCs w:val="31"/>
          <w:highlight w:val="none"/>
          <w:lang w:val="en-US" w:eastAsia="zh-CN" w:bidi="ar"/>
        </w:rPr>
        <w:t>事业单位基本养老保险缴费支出（项）。年初预</w:t>
      </w:r>
      <w:r>
        <w:rPr>
          <w:rFonts w:hint="eastAsia" w:ascii="仿宋_GB2312" w:hAnsi="宋体" w:eastAsia="仿宋_GB2312" w:cs="仿宋_GB2312"/>
          <w:color w:val="auto"/>
          <w:kern w:val="0"/>
          <w:sz w:val="31"/>
          <w:szCs w:val="31"/>
          <w:highlight w:val="none"/>
          <w:lang w:val="en-US" w:eastAsia="zh-CN" w:bidi="ar"/>
        </w:rPr>
        <w:t>算数为697.17万元，支出决算数为711.09万元，完成年初预算的101.99%。</w:t>
      </w:r>
      <w:r>
        <w:rPr>
          <w:rFonts w:ascii="仿宋_GB2312" w:hAnsi="宋体" w:eastAsia="仿宋_GB2312" w:cs="仿宋_GB2312"/>
          <w:color w:val="auto"/>
          <w:kern w:val="0"/>
          <w:sz w:val="31"/>
          <w:szCs w:val="31"/>
          <w:highlight w:val="none"/>
          <w:lang w:val="en-US" w:eastAsia="zh-CN" w:bidi="ar"/>
        </w:rPr>
        <w:t>决算数</w:t>
      </w:r>
      <w:r>
        <w:rPr>
          <w:rFonts w:hint="eastAsia" w:ascii="仿宋_GB2312" w:hAnsi="宋体" w:eastAsia="仿宋_GB2312" w:cs="仿宋_GB2312"/>
          <w:color w:val="auto"/>
          <w:kern w:val="0"/>
          <w:sz w:val="31"/>
          <w:szCs w:val="31"/>
          <w:highlight w:val="none"/>
          <w:lang w:val="en-US" w:eastAsia="zh-CN" w:bidi="ar"/>
        </w:rPr>
        <w:t>大于预算数的主要原因是</w:t>
      </w:r>
      <w:r>
        <w:rPr>
          <w:rFonts w:ascii="仿宋_GB2312" w:hAnsi="宋体" w:eastAsia="仿宋_GB2312" w:cs="仿宋_GB2312"/>
          <w:color w:val="000000"/>
          <w:kern w:val="0"/>
          <w:sz w:val="31"/>
          <w:szCs w:val="31"/>
          <w:lang w:val="en-US" w:eastAsia="zh-CN" w:bidi="ar"/>
        </w:rPr>
        <w:t>2025 年度执行中按规定使用</w:t>
      </w:r>
      <w:r>
        <w:rPr>
          <w:rFonts w:hint="eastAsia" w:ascii="仿宋_GB2312" w:hAnsi="宋体" w:eastAsia="仿宋_GB2312" w:cs="仿宋_GB2312"/>
          <w:color w:val="000000"/>
          <w:kern w:val="0"/>
          <w:sz w:val="31"/>
          <w:szCs w:val="31"/>
          <w:lang w:val="en-US" w:eastAsia="zh-CN" w:bidi="ar"/>
        </w:rPr>
        <w:t>了以前年度结转资金</w:t>
      </w:r>
      <w:r>
        <w:rPr>
          <w:rFonts w:hint="eastAsia" w:ascii="仿宋_GB2312" w:hAnsi="仿宋_GB2312" w:eastAsia="仿宋_GB2312" w:cs="仿宋_GB2312"/>
          <w:color w:val="auto"/>
          <w:sz w:val="32"/>
          <w:szCs w:val="32"/>
          <w:highlight w:val="none"/>
        </w:rPr>
        <w:t>。</w:t>
      </w:r>
    </w:p>
    <w:p w14:paraId="3B613EE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FF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2.</w:t>
      </w:r>
      <w:r>
        <w:rPr>
          <w:rFonts w:ascii="仿宋_GB2312" w:hAnsi="宋体" w:eastAsia="仿宋_GB2312" w:cs="仿宋_GB2312"/>
          <w:color w:val="auto"/>
          <w:kern w:val="0"/>
          <w:sz w:val="31"/>
          <w:szCs w:val="31"/>
          <w:highlight w:val="none"/>
          <w:lang w:val="en-US" w:eastAsia="zh-CN" w:bidi="ar"/>
        </w:rPr>
        <w:t>机关事业单位职业年金缴费支出（项）。年初预算数</w:t>
      </w:r>
      <w:r>
        <w:rPr>
          <w:rFonts w:hint="eastAsia" w:ascii="仿宋_GB2312" w:hAnsi="宋体" w:eastAsia="仿宋_GB2312" w:cs="仿宋_GB2312"/>
          <w:color w:val="auto"/>
          <w:kern w:val="0"/>
          <w:sz w:val="31"/>
          <w:szCs w:val="31"/>
          <w:highlight w:val="none"/>
          <w:lang w:val="en-US" w:eastAsia="zh-CN" w:bidi="ar"/>
        </w:rPr>
        <w:t>为442.68万元，支出决算数为412.12万元，完成年初预算的93.09%。决算数小于预算数的主要原因是根据工作需要，部分经费结转下年继续使用</w:t>
      </w:r>
      <w:r>
        <w:rPr>
          <w:rFonts w:hint="eastAsia" w:ascii="仿宋_GB2312" w:hAnsi="仿宋_GB2312" w:eastAsia="仿宋_GB2312" w:cs="仿宋_GB2312"/>
          <w:color w:val="auto"/>
          <w:sz w:val="32"/>
          <w:szCs w:val="32"/>
          <w:highlight w:val="none"/>
        </w:rPr>
        <w:t>。</w:t>
      </w:r>
    </w:p>
    <w:p w14:paraId="5FF650E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楷体" w:hAnsi="楷体" w:eastAsia="楷体" w:cs="楷体"/>
          <w:color w:val="000000"/>
          <w:sz w:val="32"/>
          <w:szCs w:val="32"/>
          <w:highlight w:val="none"/>
          <w:lang w:eastAsia="zh-CN"/>
        </w:rPr>
      </w:pPr>
      <w:r>
        <w:rPr>
          <w:rFonts w:hint="eastAsia" w:ascii="楷体" w:hAnsi="楷体" w:eastAsia="楷体" w:cs="楷体"/>
          <w:color w:val="000000"/>
          <w:sz w:val="32"/>
          <w:szCs w:val="32"/>
          <w:highlight w:val="none"/>
          <w:lang w:eastAsia="zh-CN"/>
        </w:rPr>
        <w:t>（</w:t>
      </w:r>
      <w:r>
        <w:rPr>
          <w:rFonts w:hint="eastAsia" w:ascii="楷体" w:hAnsi="楷体" w:eastAsia="楷体" w:cs="楷体"/>
          <w:color w:val="000000"/>
          <w:sz w:val="32"/>
          <w:szCs w:val="32"/>
          <w:highlight w:val="none"/>
          <w:lang w:val="en-US" w:eastAsia="zh-CN"/>
        </w:rPr>
        <w:t>三</w:t>
      </w:r>
      <w:r>
        <w:rPr>
          <w:rFonts w:hint="eastAsia" w:ascii="楷体" w:hAnsi="楷体" w:eastAsia="楷体" w:cs="楷体"/>
          <w:color w:val="000000"/>
          <w:sz w:val="32"/>
          <w:szCs w:val="32"/>
          <w:highlight w:val="none"/>
          <w:lang w:eastAsia="zh-CN"/>
        </w:rPr>
        <w:t>）</w:t>
      </w:r>
      <w:r>
        <w:rPr>
          <w:rFonts w:hint="eastAsia" w:ascii="楷体" w:hAnsi="楷体" w:eastAsia="楷体" w:cs="楷体"/>
          <w:color w:val="000000"/>
          <w:sz w:val="32"/>
          <w:szCs w:val="32"/>
          <w:highlight w:val="none"/>
        </w:rPr>
        <w:t>卫生健康支出（类）行政事业单位医疗（款）</w:t>
      </w:r>
      <w:r>
        <w:rPr>
          <w:rFonts w:hint="eastAsia" w:ascii="楷体" w:hAnsi="楷体" w:eastAsia="楷体" w:cs="楷体"/>
          <w:color w:val="000000"/>
          <w:sz w:val="32"/>
          <w:szCs w:val="32"/>
          <w:highlight w:val="none"/>
          <w:lang w:eastAsia="zh-CN"/>
        </w:rPr>
        <w:t>。</w:t>
      </w:r>
    </w:p>
    <w:p w14:paraId="333E43D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行政单位医疗（项）。年初预算数为</w:t>
      </w:r>
      <w:r>
        <w:rPr>
          <w:rFonts w:hint="eastAsia" w:ascii="仿宋_GB2312" w:hAnsi="仿宋_GB2312" w:eastAsia="仿宋_GB2312" w:cs="仿宋_GB2312"/>
          <w:color w:val="auto"/>
          <w:sz w:val="32"/>
          <w:szCs w:val="32"/>
          <w:highlight w:val="none"/>
          <w:lang w:val="en-US" w:eastAsia="zh-CN"/>
        </w:rPr>
        <w:t>399.09</w:t>
      </w:r>
      <w:r>
        <w:rPr>
          <w:rFonts w:hint="eastAsia" w:ascii="仿宋_GB2312" w:hAnsi="仿宋_GB2312" w:eastAsia="仿宋_GB2312" w:cs="仿宋_GB2312"/>
          <w:color w:val="auto"/>
          <w:sz w:val="32"/>
          <w:szCs w:val="32"/>
          <w:highlight w:val="none"/>
        </w:rPr>
        <w:t>万元，支出决算数为</w:t>
      </w:r>
      <w:r>
        <w:rPr>
          <w:rFonts w:hint="eastAsia" w:ascii="仿宋_GB2312" w:hAnsi="仿宋_GB2312" w:eastAsia="仿宋_GB2312" w:cs="仿宋_GB2312"/>
          <w:color w:val="auto"/>
          <w:sz w:val="32"/>
          <w:szCs w:val="32"/>
          <w:highlight w:val="none"/>
          <w:lang w:val="en-US" w:eastAsia="zh-CN"/>
        </w:rPr>
        <w:t>426.29</w:t>
      </w:r>
      <w:r>
        <w:rPr>
          <w:rFonts w:hint="eastAsia" w:ascii="仿宋_GB2312" w:hAnsi="仿宋_GB2312" w:eastAsia="仿宋_GB2312" w:cs="仿宋_GB2312"/>
          <w:color w:val="auto"/>
          <w:sz w:val="32"/>
          <w:szCs w:val="32"/>
          <w:highlight w:val="none"/>
        </w:rPr>
        <w:t>万元，完成年初预算的</w:t>
      </w:r>
      <w:r>
        <w:rPr>
          <w:rFonts w:hint="eastAsia" w:ascii="仿宋_GB2312" w:hAnsi="仿宋_GB2312" w:eastAsia="仿宋_GB2312" w:cs="仿宋_GB2312"/>
          <w:color w:val="auto"/>
          <w:sz w:val="32"/>
          <w:szCs w:val="32"/>
          <w:highlight w:val="none"/>
          <w:lang w:val="en-US" w:eastAsia="zh-CN"/>
        </w:rPr>
        <w:t>106.82</w:t>
      </w:r>
      <w:r>
        <w:rPr>
          <w:rFonts w:hint="eastAsia" w:ascii="仿宋_GB2312" w:hAnsi="仿宋_GB2312" w:eastAsia="仿宋_GB2312" w:cs="仿宋_GB2312"/>
          <w:color w:val="auto"/>
          <w:sz w:val="32"/>
          <w:szCs w:val="32"/>
          <w:highlight w:val="none"/>
        </w:rPr>
        <w:t>%。决算数</w:t>
      </w:r>
      <w:r>
        <w:rPr>
          <w:rFonts w:hint="eastAsia" w:ascii="仿宋_GB2312" w:hAnsi="仿宋_GB2312" w:eastAsia="仿宋_GB2312" w:cs="仿宋_GB2312"/>
          <w:color w:val="auto"/>
          <w:sz w:val="32"/>
          <w:szCs w:val="32"/>
          <w:highlight w:val="none"/>
          <w:lang w:val="en-US" w:eastAsia="zh-CN"/>
        </w:rPr>
        <w:t>大</w:t>
      </w:r>
      <w:r>
        <w:rPr>
          <w:rFonts w:hint="eastAsia" w:ascii="仿宋_GB2312" w:hAnsi="仿宋_GB2312" w:eastAsia="仿宋_GB2312" w:cs="仿宋_GB2312"/>
          <w:color w:val="auto"/>
          <w:sz w:val="32"/>
          <w:szCs w:val="32"/>
          <w:highlight w:val="none"/>
        </w:rPr>
        <w:t>于预算数的主要原因</w:t>
      </w:r>
      <w:r>
        <w:rPr>
          <w:rFonts w:hint="eastAsia" w:ascii="仿宋_GB2312" w:hAnsi="仿宋_GB2312" w:eastAsia="仿宋_GB2312" w:cs="仿宋_GB2312"/>
          <w:color w:val="auto"/>
          <w:sz w:val="32"/>
          <w:szCs w:val="32"/>
          <w:highlight w:val="none"/>
          <w:lang w:eastAsia="zh-CN"/>
        </w:rPr>
        <w:t>是</w:t>
      </w:r>
      <w:r>
        <w:rPr>
          <w:rFonts w:ascii="仿宋_GB2312" w:hAnsi="宋体" w:eastAsia="仿宋_GB2312" w:cs="仿宋_GB2312"/>
          <w:color w:val="000000"/>
          <w:kern w:val="0"/>
          <w:sz w:val="31"/>
          <w:szCs w:val="31"/>
          <w:lang w:val="en-US" w:eastAsia="zh-CN" w:bidi="ar"/>
        </w:rPr>
        <w:t>2025 年度执行中按规定使用</w:t>
      </w:r>
      <w:r>
        <w:rPr>
          <w:rFonts w:hint="eastAsia" w:ascii="仿宋_GB2312" w:hAnsi="宋体" w:eastAsia="仿宋_GB2312" w:cs="仿宋_GB2312"/>
          <w:color w:val="000000"/>
          <w:kern w:val="0"/>
          <w:sz w:val="31"/>
          <w:szCs w:val="31"/>
          <w:lang w:val="en-US" w:eastAsia="zh-CN" w:bidi="ar"/>
        </w:rPr>
        <w:t>了以前年度结转资金</w:t>
      </w:r>
      <w:r>
        <w:rPr>
          <w:rFonts w:hint="eastAsia" w:ascii="仿宋_GB2312" w:hAnsi="仿宋_GB2312" w:eastAsia="仿宋_GB2312" w:cs="仿宋_GB2312"/>
          <w:color w:val="auto"/>
          <w:sz w:val="32"/>
          <w:szCs w:val="32"/>
          <w:highlight w:val="none"/>
          <w:lang w:eastAsia="zh-CN"/>
        </w:rPr>
        <w:t>。</w:t>
      </w:r>
    </w:p>
    <w:p w14:paraId="4200E58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lang w:eastAsia="zh-CN"/>
        </w:rPr>
        <w:t>其他</w:t>
      </w:r>
      <w:r>
        <w:rPr>
          <w:rFonts w:hint="eastAsia" w:ascii="仿宋_GB2312" w:hAnsi="仿宋_GB2312" w:eastAsia="仿宋_GB2312" w:cs="仿宋_GB2312"/>
          <w:color w:val="000000"/>
          <w:sz w:val="32"/>
          <w:szCs w:val="32"/>
          <w:highlight w:val="none"/>
        </w:rPr>
        <w:t>行政</w:t>
      </w:r>
      <w:r>
        <w:rPr>
          <w:rFonts w:hint="eastAsia" w:ascii="仿宋_GB2312" w:hAnsi="仿宋_GB2312" w:eastAsia="仿宋_GB2312" w:cs="仿宋_GB2312"/>
          <w:color w:val="000000"/>
          <w:sz w:val="32"/>
          <w:szCs w:val="32"/>
          <w:highlight w:val="none"/>
          <w:lang w:eastAsia="zh-CN"/>
        </w:rPr>
        <w:t>事业</w:t>
      </w:r>
      <w:r>
        <w:rPr>
          <w:rFonts w:hint="eastAsia" w:ascii="仿宋_GB2312" w:hAnsi="仿宋_GB2312" w:eastAsia="仿宋_GB2312" w:cs="仿宋_GB2312"/>
          <w:color w:val="000000"/>
          <w:sz w:val="32"/>
          <w:szCs w:val="32"/>
          <w:highlight w:val="none"/>
        </w:rPr>
        <w:t>单位医疗</w:t>
      </w:r>
      <w:r>
        <w:rPr>
          <w:rFonts w:hint="eastAsia" w:ascii="仿宋_GB2312" w:hAnsi="仿宋_GB2312" w:eastAsia="仿宋_GB2312" w:cs="仿宋_GB2312"/>
          <w:color w:val="000000"/>
          <w:sz w:val="32"/>
          <w:szCs w:val="32"/>
          <w:highlight w:val="none"/>
          <w:lang w:eastAsia="zh-CN"/>
        </w:rPr>
        <w:t>支出</w:t>
      </w:r>
      <w:r>
        <w:rPr>
          <w:rFonts w:hint="eastAsia" w:ascii="仿宋_GB2312" w:hAnsi="仿宋_GB2312" w:eastAsia="仿宋_GB2312" w:cs="仿宋_GB2312"/>
          <w:color w:val="000000"/>
          <w:sz w:val="32"/>
          <w:szCs w:val="32"/>
          <w:highlight w:val="none"/>
        </w:rPr>
        <w:t>（项）。</w:t>
      </w:r>
      <w:r>
        <w:rPr>
          <w:rFonts w:hint="eastAsia" w:ascii="仿宋_GB2312" w:hAnsi="仿宋_GB2312" w:eastAsia="仿宋_GB2312" w:cs="仿宋_GB2312"/>
          <w:color w:val="auto"/>
          <w:sz w:val="32"/>
          <w:szCs w:val="32"/>
          <w:highlight w:val="none"/>
        </w:rPr>
        <w:t>年初预算数为</w:t>
      </w:r>
      <w:r>
        <w:rPr>
          <w:rFonts w:hint="eastAsia" w:ascii="仿宋_GB2312" w:hAnsi="仿宋_GB2312" w:eastAsia="仿宋_GB2312" w:cs="仿宋_GB2312"/>
          <w:color w:val="auto"/>
          <w:sz w:val="32"/>
          <w:szCs w:val="32"/>
          <w:highlight w:val="none"/>
          <w:lang w:val="en-US" w:eastAsia="zh-CN"/>
        </w:rPr>
        <w:t>8.50</w:t>
      </w:r>
      <w:r>
        <w:rPr>
          <w:rFonts w:hint="eastAsia" w:ascii="仿宋_GB2312" w:hAnsi="仿宋_GB2312" w:eastAsia="仿宋_GB2312" w:cs="仿宋_GB2312"/>
          <w:color w:val="auto"/>
          <w:sz w:val="32"/>
          <w:szCs w:val="32"/>
          <w:highlight w:val="none"/>
        </w:rPr>
        <w:t>万元，支出决算数为</w:t>
      </w:r>
      <w:r>
        <w:rPr>
          <w:rFonts w:hint="eastAsia" w:ascii="仿宋_GB2312" w:hAnsi="仿宋_GB2312" w:eastAsia="仿宋_GB2312" w:cs="仿宋_GB2312"/>
          <w:color w:val="auto"/>
          <w:sz w:val="32"/>
          <w:szCs w:val="32"/>
          <w:highlight w:val="none"/>
          <w:lang w:val="en-US" w:eastAsia="zh-CN"/>
        </w:rPr>
        <w:t>8.44</w:t>
      </w:r>
      <w:r>
        <w:rPr>
          <w:rFonts w:hint="eastAsia" w:ascii="仿宋_GB2312" w:hAnsi="仿宋_GB2312" w:eastAsia="仿宋_GB2312" w:cs="仿宋_GB2312"/>
          <w:color w:val="auto"/>
          <w:sz w:val="32"/>
          <w:szCs w:val="32"/>
          <w:highlight w:val="none"/>
        </w:rPr>
        <w:t>万元，完成年初预算的</w:t>
      </w:r>
      <w:r>
        <w:rPr>
          <w:rFonts w:hint="eastAsia" w:ascii="仿宋_GB2312" w:hAnsi="仿宋_GB2312" w:eastAsia="仿宋_GB2312" w:cs="仿宋_GB2312"/>
          <w:color w:val="auto"/>
          <w:sz w:val="32"/>
          <w:szCs w:val="32"/>
          <w:highlight w:val="none"/>
          <w:lang w:val="en-US" w:eastAsia="zh-CN"/>
        </w:rPr>
        <w:t>99.29</w:t>
      </w:r>
      <w:r>
        <w:rPr>
          <w:rFonts w:hint="eastAsia" w:ascii="仿宋_GB2312" w:hAnsi="仿宋_GB2312" w:eastAsia="仿宋_GB2312" w:cs="仿宋_GB2312"/>
          <w:color w:val="auto"/>
          <w:sz w:val="32"/>
          <w:szCs w:val="32"/>
          <w:highlight w:val="none"/>
        </w:rPr>
        <w:t>%。决算数</w:t>
      </w:r>
      <w:r>
        <w:rPr>
          <w:rFonts w:hint="eastAsia" w:ascii="仿宋_GB2312" w:hAnsi="仿宋_GB2312" w:eastAsia="仿宋_GB2312" w:cs="仿宋_GB2312"/>
          <w:color w:val="auto"/>
          <w:sz w:val="32"/>
          <w:szCs w:val="32"/>
          <w:highlight w:val="none"/>
          <w:lang w:eastAsia="zh-CN"/>
        </w:rPr>
        <w:t>小</w:t>
      </w:r>
      <w:r>
        <w:rPr>
          <w:rFonts w:hint="eastAsia" w:ascii="仿宋_GB2312" w:hAnsi="仿宋_GB2312" w:eastAsia="仿宋_GB2312" w:cs="仿宋_GB2312"/>
          <w:color w:val="auto"/>
          <w:sz w:val="32"/>
          <w:szCs w:val="32"/>
          <w:highlight w:val="none"/>
        </w:rPr>
        <w:t>于预算数的主要原因</w:t>
      </w:r>
      <w:r>
        <w:rPr>
          <w:rFonts w:hint="eastAsia" w:ascii="仿宋_GB2312" w:hAnsi="仿宋_GB2312" w:eastAsia="仿宋_GB2312" w:cs="仿宋_GB2312"/>
          <w:color w:val="auto"/>
          <w:sz w:val="32"/>
          <w:szCs w:val="32"/>
          <w:highlight w:val="none"/>
          <w:lang w:eastAsia="zh-CN"/>
        </w:rPr>
        <w:t>是根据工作需要，部分经费结转下年继续使用。</w:t>
      </w:r>
    </w:p>
    <w:p w14:paraId="5A05599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楷体" w:hAnsi="楷体" w:eastAsia="楷体" w:cs="楷体"/>
          <w:color w:val="000000"/>
          <w:sz w:val="32"/>
          <w:szCs w:val="32"/>
          <w:highlight w:val="none"/>
          <w:lang w:eastAsia="zh-CN"/>
        </w:rPr>
      </w:pPr>
      <w:r>
        <w:rPr>
          <w:rFonts w:hint="eastAsia" w:ascii="楷体" w:hAnsi="楷体" w:eastAsia="楷体" w:cs="楷体"/>
          <w:color w:val="000000"/>
          <w:sz w:val="32"/>
          <w:szCs w:val="32"/>
          <w:highlight w:val="none"/>
        </w:rPr>
        <w:t>（</w:t>
      </w:r>
      <w:r>
        <w:rPr>
          <w:rFonts w:hint="eastAsia" w:ascii="楷体" w:hAnsi="楷体" w:eastAsia="楷体" w:cs="楷体"/>
          <w:color w:val="000000"/>
          <w:sz w:val="32"/>
          <w:szCs w:val="32"/>
          <w:highlight w:val="none"/>
          <w:lang w:val="en-US" w:eastAsia="zh-CN"/>
        </w:rPr>
        <w:t>四</w:t>
      </w:r>
      <w:r>
        <w:rPr>
          <w:rFonts w:hint="eastAsia" w:ascii="楷体" w:hAnsi="楷体" w:eastAsia="楷体" w:cs="楷体"/>
          <w:color w:val="000000"/>
          <w:sz w:val="32"/>
          <w:szCs w:val="32"/>
          <w:highlight w:val="none"/>
        </w:rPr>
        <w:t>）住房保障支出（类）住房改革支出（款）</w:t>
      </w:r>
      <w:r>
        <w:rPr>
          <w:rFonts w:hint="eastAsia" w:ascii="楷体" w:hAnsi="楷体" w:eastAsia="楷体" w:cs="楷体"/>
          <w:color w:val="000000"/>
          <w:sz w:val="32"/>
          <w:szCs w:val="32"/>
          <w:highlight w:val="none"/>
          <w:lang w:eastAsia="zh-CN"/>
        </w:rPr>
        <w:t>。</w:t>
      </w:r>
    </w:p>
    <w:p w14:paraId="13DAED1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住房公积金（项）。年初预算数为</w:t>
      </w:r>
      <w:r>
        <w:rPr>
          <w:rFonts w:hint="eastAsia" w:ascii="仿宋_GB2312" w:hAnsi="仿宋_GB2312" w:eastAsia="仿宋_GB2312" w:cs="仿宋_GB2312"/>
          <w:color w:val="auto"/>
          <w:sz w:val="32"/>
          <w:szCs w:val="32"/>
          <w:highlight w:val="none"/>
          <w:lang w:val="en-US" w:eastAsia="zh-CN"/>
        </w:rPr>
        <w:t>661.00</w:t>
      </w:r>
      <w:r>
        <w:rPr>
          <w:rFonts w:hint="eastAsia" w:ascii="仿宋_GB2312" w:hAnsi="仿宋_GB2312" w:eastAsia="仿宋_GB2312" w:cs="仿宋_GB2312"/>
          <w:color w:val="auto"/>
          <w:sz w:val="32"/>
          <w:szCs w:val="32"/>
          <w:highlight w:val="none"/>
        </w:rPr>
        <w:t>万元，支出决算数为</w:t>
      </w:r>
      <w:r>
        <w:rPr>
          <w:rFonts w:hint="eastAsia" w:ascii="仿宋_GB2312" w:hAnsi="仿宋_GB2312" w:eastAsia="仿宋_GB2312" w:cs="仿宋_GB2312"/>
          <w:color w:val="auto"/>
          <w:sz w:val="32"/>
          <w:szCs w:val="32"/>
          <w:highlight w:val="none"/>
          <w:lang w:val="en-US" w:eastAsia="zh-CN"/>
        </w:rPr>
        <w:t>657.90</w:t>
      </w:r>
      <w:r>
        <w:rPr>
          <w:rFonts w:hint="eastAsia" w:ascii="仿宋_GB2312" w:hAnsi="仿宋_GB2312" w:eastAsia="仿宋_GB2312" w:cs="仿宋_GB2312"/>
          <w:color w:val="auto"/>
          <w:sz w:val="32"/>
          <w:szCs w:val="32"/>
          <w:highlight w:val="none"/>
        </w:rPr>
        <w:t>万元，完成年初预算的</w:t>
      </w:r>
      <w:r>
        <w:rPr>
          <w:rFonts w:hint="eastAsia" w:ascii="仿宋_GB2312" w:hAnsi="仿宋_GB2312" w:eastAsia="仿宋_GB2312" w:cs="仿宋_GB2312"/>
          <w:color w:val="auto"/>
          <w:sz w:val="32"/>
          <w:szCs w:val="32"/>
          <w:highlight w:val="none"/>
          <w:lang w:val="en-US" w:eastAsia="zh-CN"/>
        </w:rPr>
        <w:t>99.53</w:t>
      </w:r>
      <w:r>
        <w:rPr>
          <w:rFonts w:hint="eastAsia" w:ascii="仿宋_GB2312" w:hAnsi="仿宋_GB2312" w:eastAsia="仿宋_GB2312" w:cs="仿宋_GB2312"/>
          <w:color w:val="auto"/>
          <w:sz w:val="32"/>
          <w:szCs w:val="32"/>
          <w:highlight w:val="none"/>
        </w:rPr>
        <w:t>%。决算数</w:t>
      </w:r>
      <w:r>
        <w:rPr>
          <w:rFonts w:hint="eastAsia" w:ascii="仿宋_GB2312" w:hAnsi="仿宋_GB2312" w:eastAsia="仿宋_GB2312" w:cs="仿宋_GB2312"/>
          <w:color w:val="auto"/>
          <w:sz w:val="32"/>
          <w:szCs w:val="32"/>
          <w:highlight w:val="none"/>
          <w:lang w:eastAsia="zh-CN"/>
        </w:rPr>
        <w:t>小</w:t>
      </w:r>
      <w:r>
        <w:rPr>
          <w:rFonts w:hint="eastAsia" w:ascii="仿宋_GB2312" w:hAnsi="仿宋_GB2312" w:eastAsia="仿宋_GB2312" w:cs="仿宋_GB2312"/>
          <w:color w:val="auto"/>
          <w:sz w:val="32"/>
          <w:szCs w:val="32"/>
          <w:highlight w:val="none"/>
        </w:rPr>
        <w:t>于预算数的主要原因</w:t>
      </w:r>
      <w:r>
        <w:rPr>
          <w:rFonts w:hint="eastAsia" w:ascii="仿宋_GB2312" w:hAnsi="仿宋_GB2312" w:eastAsia="仿宋_GB2312" w:cs="仿宋_GB2312"/>
          <w:color w:val="auto"/>
          <w:sz w:val="32"/>
          <w:szCs w:val="32"/>
          <w:highlight w:val="none"/>
          <w:lang w:eastAsia="zh-CN"/>
        </w:rPr>
        <w:t>是根据工作需要，部分经费结转下年继续使用。</w:t>
      </w:r>
    </w:p>
    <w:p w14:paraId="516CC12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rPr>
        <w:t>2.购房补贴（项）。年初预算数为</w:t>
      </w:r>
      <w:r>
        <w:rPr>
          <w:rFonts w:hint="eastAsia" w:ascii="仿宋_GB2312" w:hAnsi="仿宋_GB2312" w:eastAsia="仿宋_GB2312" w:cs="仿宋_GB2312"/>
          <w:color w:val="auto"/>
          <w:sz w:val="32"/>
          <w:szCs w:val="32"/>
          <w:highlight w:val="none"/>
          <w:lang w:val="en-US" w:eastAsia="zh-CN"/>
        </w:rPr>
        <w:t>4.69</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rPr>
        <w:t>支出决算数为</w:t>
      </w:r>
      <w:r>
        <w:rPr>
          <w:rFonts w:hint="eastAsia" w:ascii="仿宋_GB2312" w:hAnsi="仿宋_GB2312" w:eastAsia="仿宋_GB2312" w:cs="仿宋_GB2312"/>
          <w:color w:val="auto"/>
          <w:sz w:val="32"/>
          <w:szCs w:val="32"/>
          <w:lang w:val="en-US" w:eastAsia="zh-CN"/>
        </w:rPr>
        <w:t>4.69</w:t>
      </w:r>
      <w:r>
        <w:rPr>
          <w:rFonts w:hint="eastAsia" w:ascii="仿宋_GB2312" w:hAnsi="仿宋_GB2312" w:eastAsia="仿宋_GB2312" w:cs="仿宋_GB2312"/>
          <w:color w:val="auto"/>
          <w:sz w:val="32"/>
          <w:szCs w:val="32"/>
        </w:rPr>
        <w:t>万元，完成年初预算的</w:t>
      </w:r>
      <w:r>
        <w:rPr>
          <w:rFonts w:hint="eastAsia" w:ascii="仿宋_GB2312" w:hAnsi="仿宋_GB2312" w:eastAsia="仿宋_GB2312" w:cs="仿宋_GB2312"/>
          <w:color w:val="auto"/>
          <w:sz w:val="32"/>
          <w:szCs w:val="32"/>
          <w:lang w:val="en-US" w:eastAsia="zh-CN"/>
        </w:rPr>
        <w:t>100.00</w:t>
      </w:r>
      <w:r>
        <w:rPr>
          <w:rFonts w:hint="eastAsia" w:ascii="仿宋_GB2312" w:hAnsi="仿宋_GB2312" w:eastAsia="仿宋_GB2312" w:cs="仿宋_GB2312"/>
          <w:color w:val="auto"/>
          <w:sz w:val="32"/>
          <w:szCs w:val="32"/>
        </w:rPr>
        <w:t>%。</w:t>
      </w:r>
    </w:p>
    <w:p w14:paraId="594967EB">
      <w:pPr>
        <w:pStyle w:val="4"/>
        <w:bidi w:val="0"/>
        <w:jc w:val="both"/>
        <w:outlineLvl w:val="1"/>
        <w:rPr>
          <w:rFonts w:hint="eastAsia" w:ascii="黑体" w:hAnsi="黑体" w:eastAsia="黑体" w:cs="黑体"/>
          <w:color w:val="000000"/>
          <w:szCs w:val="32"/>
        </w:rPr>
      </w:pPr>
      <w:bookmarkStart w:id="17" w:name="_Toc1847081682"/>
      <w:r>
        <w:rPr>
          <w:rFonts w:hint="eastAsia"/>
        </w:rPr>
        <w:t>三、一般公共预算财政拨款基本支出情况说明</w:t>
      </w:r>
      <w:bookmarkEnd w:id="17"/>
    </w:p>
    <w:p w14:paraId="6CE0FA7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国家统计局吉林调查总队</w:t>
      </w:r>
      <w:r>
        <w:rPr>
          <w:rFonts w:hint="default" w:ascii="仿宋_GB2312" w:hAnsi="仿宋_GB2312" w:eastAsia="仿宋_GB2312" w:cs="仿宋_GB2312"/>
          <w:color w:val="000000"/>
          <w:sz w:val="32"/>
          <w:szCs w:val="32"/>
          <w:lang w:val="en-US" w:eastAsia="zh-CN"/>
        </w:rPr>
        <w:t>202</w:t>
      </w:r>
      <w:r>
        <w:rPr>
          <w:rFonts w:hint="eastAsia" w:ascii="仿宋_GB2312" w:hAnsi="仿宋_GB2312" w:eastAsia="仿宋_GB2312" w:cs="仿宋_GB2312"/>
          <w:color w:val="000000"/>
          <w:sz w:val="32"/>
          <w:szCs w:val="32"/>
          <w:lang w:val="en-US" w:eastAsia="zh-CN"/>
        </w:rPr>
        <w:t>5</w:t>
      </w:r>
      <w:r>
        <w:rPr>
          <w:rFonts w:hint="default"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度一般公共预算财政拨款基本支出</w:t>
      </w:r>
      <w:r>
        <w:rPr>
          <w:rFonts w:hint="eastAsia" w:ascii="仿宋_GB2312" w:hAnsi="仿宋_GB2312" w:eastAsia="仿宋_GB2312" w:cs="仿宋_GB2312"/>
          <w:color w:val="000000"/>
          <w:sz w:val="32"/>
          <w:szCs w:val="32"/>
          <w:lang w:val="en-US" w:eastAsia="zh-CN"/>
        </w:rPr>
        <w:t>9392.01</w:t>
      </w:r>
      <w:r>
        <w:rPr>
          <w:rFonts w:hint="eastAsia" w:ascii="仿宋_GB2312" w:hAnsi="仿宋_GB2312" w:eastAsia="仿宋_GB2312" w:cs="仿宋_GB2312"/>
          <w:color w:val="000000"/>
          <w:sz w:val="32"/>
          <w:szCs w:val="32"/>
        </w:rPr>
        <w:t>万元，其中：人员经费</w:t>
      </w:r>
      <w:r>
        <w:rPr>
          <w:rFonts w:hint="eastAsia" w:ascii="仿宋_GB2312" w:hAnsi="仿宋_GB2312" w:eastAsia="仿宋_GB2312" w:cs="仿宋_GB2312"/>
          <w:color w:val="000000"/>
          <w:sz w:val="32"/>
          <w:szCs w:val="32"/>
          <w:highlight w:val="none"/>
          <w:lang w:val="en-US" w:eastAsia="zh-CN"/>
        </w:rPr>
        <w:t>7437.53</w:t>
      </w:r>
      <w:r>
        <w:rPr>
          <w:rFonts w:hint="eastAsia" w:ascii="仿宋_GB2312" w:hAnsi="仿宋_GB2312" w:eastAsia="仿宋_GB2312" w:cs="仿宋_GB2312"/>
          <w:color w:val="000000"/>
          <w:sz w:val="32"/>
          <w:szCs w:val="32"/>
        </w:rPr>
        <w:t>万元，主要包括基本工资、津贴补贴、奖金、机关事业单位基本养老保险缴费</w:t>
      </w:r>
      <w:r>
        <w:rPr>
          <w:rFonts w:hint="eastAsia" w:ascii="仿宋_GB2312" w:hAnsi="仿宋_GB2312" w:eastAsia="仿宋_GB2312" w:cs="仿宋_GB2312"/>
          <w:color w:val="000000"/>
          <w:sz w:val="32"/>
          <w:szCs w:val="32"/>
          <w:lang w:eastAsia="zh-CN"/>
        </w:rPr>
        <w:t>、职业年金缴费、</w:t>
      </w:r>
      <w:r>
        <w:rPr>
          <w:rFonts w:hint="eastAsia" w:ascii="仿宋_GB2312" w:hAnsi="仿宋_GB2312" w:eastAsia="仿宋_GB2312" w:cs="仿宋_GB2312"/>
          <w:color w:val="000000"/>
          <w:sz w:val="32"/>
          <w:szCs w:val="32"/>
        </w:rPr>
        <w:t>职工基本医疗保险缴费、其他社会保障缴费、住房公积金、医疗费、其他工资福利支出、退休费、抚恤金、生活补助、奖励金、其他对个人和家庭的补助；公用经</w:t>
      </w:r>
      <w:r>
        <w:rPr>
          <w:rFonts w:hint="eastAsia" w:ascii="仿宋_GB2312" w:hAnsi="仿宋_GB2312" w:eastAsia="仿宋_GB2312" w:cs="仿宋_GB2312"/>
          <w:color w:val="000000"/>
          <w:sz w:val="32"/>
          <w:szCs w:val="32"/>
          <w:lang w:eastAsia="zh-CN"/>
        </w:rPr>
        <w:t>费</w:t>
      </w:r>
      <w:r>
        <w:rPr>
          <w:rFonts w:hint="eastAsia" w:ascii="仿宋_GB2312" w:hAnsi="仿宋_GB2312" w:eastAsia="仿宋_GB2312" w:cs="仿宋_GB2312"/>
          <w:color w:val="000000"/>
          <w:sz w:val="32"/>
          <w:szCs w:val="32"/>
          <w:lang w:val="en-US" w:eastAsia="zh-CN"/>
        </w:rPr>
        <w:t>1954.48</w:t>
      </w:r>
      <w:r>
        <w:rPr>
          <w:rFonts w:hint="eastAsia" w:ascii="仿宋_GB2312" w:hAnsi="仿宋_GB2312" w:eastAsia="仿宋_GB2312" w:cs="仿宋_GB2312"/>
          <w:color w:val="000000"/>
          <w:sz w:val="32"/>
          <w:szCs w:val="32"/>
          <w:lang w:eastAsia="zh-CN"/>
        </w:rPr>
        <w:t>万</w:t>
      </w:r>
      <w:r>
        <w:rPr>
          <w:rFonts w:hint="eastAsia" w:ascii="仿宋_GB2312" w:hAnsi="仿宋_GB2312" w:eastAsia="仿宋_GB2312" w:cs="仿宋_GB2312"/>
          <w:color w:val="000000"/>
          <w:sz w:val="32"/>
          <w:szCs w:val="32"/>
        </w:rPr>
        <w:t>元，主要包括办公费、印刷费、水费、电费、邮电费、取暖费、物业管理费、差旅费、维修（护）费、租赁费、会议费、培训费、劳务费、委托业务费、工会经费、福利费、公务用车运行维护费、其他交通费用、其他商品和服务支出、办公设备购置、信息网络及软件购置更新、公务用车购置。</w:t>
      </w:r>
    </w:p>
    <w:p w14:paraId="1AF66C2C">
      <w:pPr>
        <w:pStyle w:val="4"/>
        <w:bidi w:val="0"/>
        <w:jc w:val="both"/>
        <w:outlineLvl w:val="1"/>
        <w:rPr>
          <w:rFonts w:hint="eastAsia"/>
        </w:rPr>
      </w:pPr>
      <w:bookmarkStart w:id="18" w:name="_Toc502626647"/>
      <w:r>
        <w:rPr>
          <w:rFonts w:hint="eastAsia"/>
        </w:rPr>
        <w:t>四、财政拨款“三公”经费支出情况说明</w:t>
      </w:r>
      <w:bookmarkEnd w:id="18"/>
    </w:p>
    <w:p w14:paraId="5817049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国家统计局吉林调查总队</w:t>
      </w:r>
      <w:r>
        <w:rPr>
          <w:rFonts w:hint="default" w:ascii="仿宋_GB2312" w:hAnsi="仿宋_GB2312" w:eastAsia="仿宋_GB2312" w:cs="仿宋_GB2312"/>
          <w:color w:val="000000"/>
          <w:sz w:val="32"/>
          <w:szCs w:val="32"/>
          <w:lang w:val="en-US" w:eastAsia="zh-CN"/>
        </w:rPr>
        <w:t>202</w:t>
      </w:r>
      <w:r>
        <w:rPr>
          <w:rFonts w:hint="eastAsia" w:ascii="仿宋_GB2312" w:hAnsi="仿宋_GB2312" w:eastAsia="仿宋_GB2312" w:cs="仿宋_GB2312"/>
          <w:color w:val="000000"/>
          <w:sz w:val="32"/>
          <w:szCs w:val="32"/>
          <w:lang w:val="en-US" w:eastAsia="zh-CN"/>
        </w:rPr>
        <w:t>5</w:t>
      </w:r>
      <w:r>
        <w:rPr>
          <w:rFonts w:hint="default"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度“三公”经费财政拨款预算数为</w:t>
      </w:r>
      <w:r>
        <w:rPr>
          <w:rFonts w:hint="eastAsia" w:ascii="仿宋_GB2312" w:hAnsi="仿宋_GB2312" w:eastAsia="仿宋_GB2312" w:cs="仿宋_GB2312"/>
          <w:color w:val="000000"/>
          <w:sz w:val="32"/>
          <w:szCs w:val="32"/>
          <w:lang w:val="en-US" w:eastAsia="zh-CN"/>
        </w:rPr>
        <w:t>111.06</w:t>
      </w:r>
      <w:r>
        <w:rPr>
          <w:rFonts w:hint="eastAsia" w:ascii="仿宋_GB2312" w:hAnsi="仿宋_GB2312" w:eastAsia="仿宋_GB2312" w:cs="仿宋_GB2312"/>
          <w:color w:val="000000"/>
          <w:sz w:val="32"/>
          <w:szCs w:val="32"/>
        </w:rPr>
        <w:t>万元，决算数为</w:t>
      </w:r>
      <w:r>
        <w:rPr>
          <w:rFonts w:hint="eastAsia" w:ascii="仿宋_GB2312" w:hAnsi="仿宋_GB2312" w:eastAsia="仿宋_GB2312" w:cs="仿宋_GB2312"/>
          <w:color w:val="000000"/>
          <w:sz w:val="32"/>
          <w:szCs w:val="32"/>
          <w:lang w:val="en-US" w:eastAsia="zh-CN"/>
        </w:rPr>
        <w:t>100.94</w:t>
      </w:r>
      <w:r>
        <w:rPr>
          <w:rFonts w:hint="eastAsia" w:ascii="仿宋_GB2312" w:hAnsi="仿宋_GB2312" w:eastAsia="仿宋_GB2312" w:cs="仿宋_GB2312"/>
          <w:color w:val="000000"/>
          <w:sz w:val="32"/>
          <w:szCs w:val="32"/>
        </w:rPr>
        <w:t>万元，完成预算的</w:t>
      </w:r>
      <w:r>
        <w:rPr>
          <w:rFonts w:hint="eastAsia" w:ascii="仿宋_GB2312" w:hAnsi="仿宋_GB2312" w:eastAsia="仿宋_GB2312" w:cs="仿宋_GB2312"/>
          <w:color w:val="000000"/>
          <w:sz w:val="32"/>
          <w:szCs w:val="32"/>
          <w:lang w:val="en-US" w:eastAsia="zh-CN"/>
        </w:rPr>
        <w:t>90.89</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决算数小于预算数的主要原因是</w:t>
      </w:r>
      <w:r>
        <w:rPr>
          <w:rFonts w:hint="eastAsia" w:ascii="仿宋_GB2312" w:hAnsi="仿宋_GB2312" w:eastAsia="仿宋_GB2312" w:cs="仿宋_GB2312"/>
          <w:color w:val="000000"/>
          <w:sz w:val="32"/>
          <w:szCs w:val="32"/>
          <w:lang w:eastAsia="zh-CN"/>
        </w:rPr>
        <w:t>严格</w:t>
      </w:r>
      <w:r>
        <w:rPr>
          <w:rFonts w:hint="eastAsia" w:ascii="仿宋_GB2312" w:hAnsi="仿宋_GB2312" w:eastAsia="仿宋_GB2312" w:cs="仿宋_GB2312"/>
          <w:color w:val="000000"/>
          <w:sz w:val="32"/>
          <w:szCs w:val="32"/>
        </w:rPr>
        <w:t>落实过紧日子要求，</w:t>
      </w:r>
      <w:r>
        <w:rPr>
          <w:rFonts w:hint="eastAsia" w:ascii="仿宋_GB2312" w:hAnsi="仿宋_GB2312" w:eastAsia="仿宋_GB2312" w:cs="仿宋_GB2312"/>
          <w:color w:val="000000"/>
          <w:sz w:val="32"/>
          <w:szCs w:val="32"/>
          <w:lang w:eastAsia="zh-CN"/>
        </w:rPr>
        <w:t>相关支出减少。</w:t>
      </w:r>
    </w:p>
    <w:p w14:paraId="5D3C1425">
      <w:pPr>
        <w:keepNext w:val="0"/>
        <w:keepLines w:val="0"/>
        <w:widowControl/>
        <w:suppressLineNumbers w:val="0"/>
        <w:ind w:firstLine="640" w:firstLineChars="200"/>
        <w:jc w:val="both"/>
        <w:rPr>
          <w:rFonts w:hint="eastAsia" w:ascii="仿宋_GB2312" w:hAnsi="宋体" w:eastAsia="仿宋_GB2312" w:cs="仿宋_GB2312"/>
          <w:color w:val="000000"/>
          <w:kern w:val="0"/>
          <w:sz w:val="31"/>
          <w:szCs w:val="31"/>
          <w:lang w:val="en-US" w:eastAsia="zh-CN" w:bidi="ar"/>
        </w:rPr>
      </w:pPr>
      <w:r>
        <w:rPr>
          <w:rFonts w:hint="eastAsia" w:ascii="仿宋_GB2312" w:hAnsi="仿宋_GB2312" w:eastAsia="仿宋_GB2312" w:cs="仿宋_GB2312"/>
          <w:color w:val="000000"/>
          <w:sz w:val="32"/>
          <w:szCs w:val="32"/>
        </w:rPr>
        <w:t>（一）</w:t>
      </w:r>
      <w:r>
        <w:rPr>
          <w:rFonts w:ascii="仿宋_GB2312" w:hAnsi="宋体" w:eastAsia="仿宋_GB2312" w:cs="仿宋_GB2312"/>
          <w:color w:val="000000"/>
          <w:kern w:val="0"/>
          <w:sz w:val="31"/>
          <w:szCs w:val="31"/>
          <w:lang w:val="en-US" w:eastAsia="zh-CN" w:bidi="ar"/>
        </w:rPr>
        <w:t>因公出国（境）费预算数为</w:t>
      </w:r>
      <w:r>
        <w:rPr>
          <w:rFonts w:hint="eastAsia" w:ascii="仿宋_GB2312" w:hAnsi="宋体" w:eastAsia="仿宋_GB2312" w:cs="仿宋_GB2312"/>
          <w:color w:val="000000"/>
          <w:kern w:val="0"/>
          <w:sz w:val="31"/>
          <w:szCs w:val="31"/>
          <w:lang w:val="en-US" w:eastAsia="zh-CN" w:bidi="ar"/>
        </w:rPr>
        <w:t>0.00</w:t>
      </w:r>
      <w:r>
        <w:rPr>
          <w:rFonts w:ascii="仿宋_GB2312" w:hAnsi="宋体" w:eastAsia="仿宋_GB2312" w:cs="仿宋_GB2312"/>
          <w:color w:val="000000"/>
          <w:kern w:val="0"/>
          <w:sz w:val="31"/>
          <w:szCs w:val="31"/>
          <w:lang w:val="en-US" w:eastAsia="zh-CN" w:bidi="ar"/>
        </w:rPr>
        <w:t>万元，决算数为</w:t>
      </w:r>
      <w:r>
        <w:rPr>
          <w:rFonts w:hint="eastAsia" w:ascii="仿宋_GB2312" w:hAnsi="宋体" w:eastAsia="仿宋_GB2312" w:cs="仿宋_GB2312"/>
          <w:color w:val="000000"/>
          <w:kern w:val="0"/>
          <w:sz w:val="31"/>
          <w:szCs w:val="31"/>
          <w:lang w:val="en-US" w:eastAsia="zh-CN" w:bidi="ar"/>
        </w:rPr>
        <w:t>0.00万元，与</w:t>
      </w:r>
      <w:r>
        <w:rPr>
          <w:rFonts w:hint="default" w:ascii="仿宋_GB2312" w:hAnsi="宋体" w:eastAsia="仿宋_GB2312" w:cs="仿宋_GB2312"/>
          <w:color w:val="000000"/>
          <w:kern w:val="0"/>
          <w:sz w:val="31"/>
          <w:szCs w:val="31"/>
          <w:lang w:val="en-US" w:eastAsia="zh-CN" w:bidi="ar"/>
        </w:rPr>
        <w:t>202</w:t>
      </w:r>
      <w:r>
        <w:rPr>
          <w:rFonts w:hint="eastAsia" w:ascii="仿宋_GB2312" w:hAnsi="宋体" w:eastAsia="仿宋_GB2312" w:cs="仿宋_GB2312"/>
          <w:color w:val="000000"/>
          <w:kern w:val="0"/>
          <w:sz w:val="31"/>
          <w:szCs w:val="31"/>
          <w:lang w:val="en-US" w:eastAsia="zh-CN" w:bidi="ar"/>
        </w:rPr>
        <w:t>4</w:t>
      </w:r>
      <w:r>
        <w:rPr>
          <w:rFonts w:hint="default" w:ascii="仿宋_GB2312" w:hAnsi="宋体" w:eastAsia="仿宋_GB2312" w:cs="仿宋_GB2312"/>
          <w:color w:val="000000"/>
          <w:kern w:val="0"/>
          <w:sz w:val="31"/>
          <w:szCs w:val="31"/>
          <w:lang w:val="en-US" w:eastAsia="zh-CN" w:bidi="ar"/>
        </w:rPr>
        <w:t>年</w:t>
      </w:r>
      <w:r>
        <w:rPr>
          <w:rFonts w:hint="eastAsia" w:ascii="仿宋_GB2312" w:hAnsi="宋体" w:eastAsia="仿宋_GB2312" w:cs="仿宋_GB2312"/>
          <w:color w:val="000000"/>
          <w:kern w:val="0"/>
          <w:sz w:val="31"/>
          <w:szCs w:val="31"/>
          <w:lang w:val="en-US" w:eastAsia="zh-CN" w:bidi="ar"/>
        </w:rPr>
        <w:t>决算数持平。主要原因是没有安排出国</w:t>
      </w:r>
      <w:r>
        <w:rPr>
          <w:rFonts w:ascii="仿宋_GB2312" w:hAnsi="宋体" w:eastAsia="仿宋_GB2312" w:cs="仿宋_GB2312"/>
          <w:color w:val="000000"/>
          <w:kern w:val="0"/>
          <w:sz w:val="31"/>
          <w:szCs w:val="31"/>
          <w:lang w:val="en-US" w:eastAsia="zh-CN" w:bidi="ar"/>
        </w:rPr>
        <w:t>（境）</w:t>
      </w:r>
      <w:r>
        <w:rPr>
          <w:rFonts w:hint="eastAsia" w:ascii="仿宋_GB2312" w:hAnsi="宋体" w:eastAsia="仿宋_GB2312" w:cs="仿宋_GB2312"/>
          <w:color w:val="000000"/>
          <w:kern w:val="0"/>
          <w:sz w:val="31"/>
          <w:szCs w:val="31"/>
          <w:lang w:val="en-US" w:eastAsia="zh-CN" w:bidi="ar"/>
        </w:rPr>
        <w:t>任务。</w:t>
      </w:r>
    </w:p>
    <w:p w14:paraId="60AB1A28">
      <w:pPr>
        <w:keepNext w:val="0"/>
        <w:keepLines w:val="0"/>
        <w:widowControl/>
        <w:suppressLineNumbers w:val="0"/>
        <w:ind w:firstLine="640" w:firstLineChars="200"/>
        <w:jc w:val="both"/>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二</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公务用车购置及运行维护费预算数为</w:t>
      </w:r>
      <w:r>
        <w:rPr>
          <w:rFonts w:hint="eastAsia" w:ascii="仿宋_GB2312" w:hAnsi="仿宋_GB2312" w:eastAsia="仿宋_GB2312" w:cs="仿宋_GB2312"/>
          <w:color w:val="000000"/>
          <w:sz w:val="32"/>
          <w:szCs w:val="32"/>
          <w:lang w:val="en-US" w:eastAsia="zh-CN"/>
        </w:rPr>
        <w:t>105.38</w:t>
      </w:r>
      <w:r>
        <w:rPr>
          <w:rFonts w:hint="eastAsia" w:ascii="仿宋_GB2312" w:hAnsi="仿宋_GB2312" w:eastAsia="仿宋_GB2312" w:cs="仿宋_GB2312"/>
          <w:color w:val="000000"/>
          <w:sz w:val="32"/>
          <w:szCs w:val="32"/>
        </w:rPr>
        <w:t>万元，决算数为</w:t>
      </w:r>
      <w:r>
        <w:rPr>
          <w:rFonts w:hint="eastAsia" w:ascii="仿宋_GB2312" w:hAnsi="仿宋_GB2312" w:eastAsia="仿宋_GB2312" w:cs="仿宋_GB2312"/>
          <w:color w:val="000000"/>
          <w:sz w:val="32"/>
          <w:szCs w:val="32"/>
          <w:lang w:val="en-US" w:eastAsia="zh-CN"/>
        </w:rPr>
        <w:t>100.90</w:t>
      </w:r>
      <w:r>
        <w:rPr>
          <w:rFonts w:hint="eastAsia" w:ascii="仿宋_GB2312" w:hAnsi="仿宋_GB2312" w:eastAsia="仿宋_GB2312" w:cs="仿宋_GB2312"/>
          <w:color w:val="000000"/>
          <w:sz w:val="32"/>
          <w:szCs w:val="32"/>
        </w:rPr>
        <w:t>万元，完成预算的</w:t>
      </w:r>
      <w:r>
        <w:rPr>
          <w:rFonts w:hint="eastAsia" w:ascii="仿宋_GB2312" w:hAnsi="仿宋_GB2312" w:eastAsia="仿宋_GB2312" w:cs="仿宋_GB2312"/>
          <w:color w:val="000000"/>
          <w:sz w:val="32"/>
          <w:szCs w:val="32"/>
          <w:lang w:val="en-US" w:eastAsia="zh-CN"/>
        </w:rPr>
        <w:t>95.75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p>
    <w:p w14:paraId="0E51266A">
      <w:pPr>
        <w:keepNext w:val="0"/>
        <w:keepLines w:val="0"/>
        <w:widowControl/>
        <w:suppressLineNumbers w:val="0"/>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公务用车购置支出</w:t>
      </w:r>
      <w:r>
        <w:rPr>
          <w:rFonts w:hint="eastAsia" w:ascii="仿宋_GB2312" w:hAnsi="仿宋_GB2312" w:eastAsia="仿宋_GB2312" w:cs="仿宋_GB2312"/>
          <w:color w:val="000000"/>
          <w:sz w:val="32"/>
          <w:szCs w:val="32"/>
          <w:lang w:val="en-US" w:eastAsia="zh-CN"/>
        </w:rPr>
        <w:t>50.97</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rPr>
        <w:t>较</w:t>
      </w:r>
      <w:r>
        <w:rPr>
          <w:rFonts w:hint="default" w:ascii="仿宋_GB2312" w:hAnsi="仿宋_GB2312" w:eastAsia="仿宋_GB2312" w:cs="仿宋_GB2312"/>
          <w:color w:val="000000"/>
          <w:sz w:val="32"/>
          <w:szCs w:val="32"/>
          <w:lang w:val="en-US"/>
        </w:rPr>
        <w:t>202</w:t>
      </w:r>
      <w:r>
        <w:rPr>
          <w:rFonts w:hint="eastAsia" w:ascii="仿宋_GB2312" w:hAnsi="仿宋_GB2312" w:eastAsia="仿宋_GB2312" w:cs="仿宋_GB2312"/>
          <w:color w:val="000000"/>
          <w:sz w:val="32"/>
          <w:szCs w:val="32"/>
          <w:lang w:val="en-US" w:eastAsia="zh-CN"/>
        </w:rPr>
        <w:t>4</w:t>
      </w:r>
      <w:r>
        <w:rPr>
          <w:rFonts w:hint="default" w:ascii="仿宋_GB2312" w:hAnsi="仿宋_GB2312" w:eastAsia="仿宋_GB2312" w:cs="仿宋_GB2312"/>
          <w:color w:val="000000"/>
          <w:sz w:val="32"/>
          <w:szCs w:val="32"/>
          <w:lang w:val="en-US"/>
        </w:rPr>
        <w:t>年</w:t>
      </w:r>
      <w:r>
        <w:rPr>
          <w:rFonts w:hint="eastAsia" w:ascii="仿宋_GB2312" w:hAnsi="仿宋_GB2312" w:eastAsia="仿宋_GB2312" w:cs="仿宋_GB2312"/>
          <w:color w:val="000000"/>
          <w:sz w:val="32"/>
          <w:szCs w:val="32"/>
        </w:rPr>
        <w:t>决算数</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11.4</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增长28.81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主要原因是</w:t>
      </w:r>
      <w:r>
        <w:rPr>
          <w:rFonts w:ascii="仿宋_GB2312" w:hAnsi="宋体" w:eastAsia="仿宋_GB2312" w:cs="仿宋_GB2312"/>
          <w:color w:val="000000"/>
          <w:kern w:val="0"/>
          <w:sz w:val="31"/>
          <w:szCs w:val="31"/>
          <w:lang w:val="en-US" w:eastAsia="zh-CN" w:bidi="ar"/>
        </w:rPr>
        <w:t>根据车辆状况报</w:t>
      </w:r>
      <w:r>
        <w:rPr>
          <w:rFonts w:hint="eastAsia" w:ascii="仿宋_GB2312" w:hAnsi="宋体" w:eastAsia="仿宋_GB2312" w:cs="仿宋_GB2312"/>
          <w:color w:val="000000"/>
          <w:kern w:val="0"/>
          <w:sz w:val="31"/>
          <w:szCs w:val="31"/>
          <w:lang w:val="en-US" w:eastAsia="zh-CN" w:bidi="ar"/>
        </w:rPr>
        <w:t>废后更新公务车辆3辆</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列入一般公共预算</w:t>
      </w:r>
      <w:r>
        <w:rPr>
          <w:rFonts w:hint="eastAsia" w:ascii="仿宋_GB2312" w:hAnsi="仿宋_GB2312" w:eastAsia="仿宋_GB2312" w:cs="仿宋_GB2312"/>
          <w:color w:val="000000"/>
          <w:sz w:val="32"/>
          <w:szCs w:val="32"/>
          <w:highlight w:val="none"/>
        </w:rPr>
        <w:t>财政拨款开支的公务用车保有量为</w:t>
      </w:r>
      <w:r>
        <w:rPr>
          <w:rFonts w:hint="eastAsia" w:ascii="仿宋_GB2312" w:hAnsi="仿宋_GB2312" w:eastAsia="仿宋_GB2312" w:cs="仿宋_GB2312"/>
          <w:color w:val="auto"/>
          <w:sz w:val="32"/>
          <w:szCs w:val="32"/>
          <w:highlight w:val="none"/>
        </w:rPr>
        <w:t>45辆</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公</w:t>
      </w:r>
      <w:r>
        <w:rPr>
          <w:rFonts w:hint="eastAsia" w:ascii="仿宋_GB2312" w:hAnsi="仿宋_GB2312" w:eastAsia="仿宋_GB2312" w:cs="仿宋_GB2312"/>
          <w:color w:val="000000"/>
          <w:sz w:val="32"/>
          <w:szCs w:val="32"/>
        </w:rPr>
        <w:t>务用车运行费支出</w:t>
      </w:r>
      <w:r>
        <w:rPr>
          <w:rFonts w:hint="eastAsia" w:ascii="仿宋_GB2312" w:hAnsi="仿宋_GB2312" w:eastAsia="仿宋_GB2312" w:cs="仿宋_GB2312"/>
          <w:color w:val="000000"/>
          <w:sz w:val="32"/>
          <w:szCs w:val="32"/>
          <w:lang w:val="en-US" w:eastAsia="zh-CN"/>
        </w:rPr>
        <w:t>49.93</w:t>
      </w:r>
      <w:r>
        <w:rPr>
          <w:rFonts w:hint="eastAsia" w:ascii="仿宋_GB2312" w:hAnsi="仿宋_GB2312" w:eastAsia="仿宋_GB2312" w:cs="仿宋_GB2312"/>
          <w:color w:val="000000"/>
          <w:sz w:val="32"/>
          <w:szCs w:val="32"/>
        </w:rPr>
        <w:t>万元，主要是按规定保留的公务用车燃料费、维修费、过路过桥费、保险费等支出，较</w:t>
      </w:r>
      <w:r>
        <w:rPr>
          <w:rFonts w:hint="default" w:ascii="仿宋_GB2312" w:hAnsi="仿宋_GB2312" w:eastAsia="仿宋_GB2312" w:cs="仿宋_GB2312"/>
          <w:color w:val="000000"/>
          <w:sz w:val="32"/>
          <w:szCs w:val="32"/>
          <w:lang w:val="en-US"/>
        </w:rPr>
        <w:t>202</w:t>
      </w:r>
      <w:r>
        <w:rPr>
          <w:rFonts w:hint="eastAsia" w:ascii="仿宋_GB2312" w:hAnsi="仿宋_GB2312" w:eastAsia="仿宋_GB2312" w:cs="仿宋_GB2312"/>
          <w:color w:val="000000"/>
          <w:sz w:val="32"/>
          <w:szCs w:val="32"/>
          <w:lang w:val="en-US" w:eastAsia="zh-CN"/>
        </w:rPr>
        <w:t>4</w:t>
      </w:r>
      <w:r>
        <w:rPr>
          <w:rFonts w:hint="default" w:ascii="仿宋_GB2312" w:hAnsi="仿宋_GB2312" w:eastAsia="仿宋_GB2312" w:cs="仿宋_GB2312"/>
          <w:color w:val="000000"/>
          <w:sz w:val="32"/>
          <w:szCs w:val="32"/>
          <w:lang w:val="en-US"/>
        </w:rPr>
        <w:t>年</w:t>
      </w:r>
      <w:r>
        <w:rPr>
          <w:rFonts w:hint="eastAsia" w:ascii="仿宋_GB2312" w:hAnsi="仿宋_GB2312" w:eastAsia="仿宋_GB2312" w:cs="仿宋_GB2312"/>
          <w:color w:val="000000"/>
          <w:sz w:val="32"/>
          <w:szCs w:val="32"/>
        </w:rPr>
        <w:t>决算数</w:t>
      </w:r>
      <w:r>
        <w:rPr>
          <w:rFonts w:hint="eastAsia" w:ascii="仿宋_GB2312" w:hAnsi="仿宋_GB2312" w:eastAsia="仿宋_GB2312" w:cs="仿宋_GB2312"/>
          <w:color w:val="000000"/>
          <w:sz w:val="32"/>
          <w:szCs w:val="32"/>
          <w:lang w:val="en-US" w:eastAsia="zh-CN"/>
        </w:rPr>
        <w:t>减少10.43</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降低</w:t>
      </w:r>
      <w:r>
        <w:rPr>
          <w:rFonts w:hint="eastAsia" w:ascii="仿宋_GB2312" w:hAnsi="仿宋_GB2312" w:eastAsia="仿宋_GB2312" w:cs="仿宋_GB2312"/>
          <w:color w:val="000000"/>
          <w:sz w:val="32"/>
          <w:szCs w:val="32"/>
          <w:lang w:val="en-US" w:eastAsia="zh-CN"/>
        </w:rPr>
        <w:t>17.28</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主要原因是</w:t>
      </w:r>
      <w:r>
        <w:rPr>
          <w:rFonts w:hint="eastAsia" w:ascii="仿宋_GB2312" w:hAnsi="仿宋_GB2312" w:eastAsia="仿宋_GB2312" w:cs="仿宋_GB2312"/>
          <w:color w:val="000000"/>
          <w:sz w:val="32"/>
          <w:szCs w:val="32"/>
          <w:lang w:val="en-US" w:eastAsia="zh-CN"/>
        </w:rPr>
        <w:t>落实习惯过紧日子要求，节约公车运行维护费开支，且年度内更新的3辆公务用车为混合动力车，相应运行维护支出减少</w:t>
      </w:r>
      <w:r>
        <w:rPr>
          <w:rFonts w:hint="eastAsia" w:ascii="仿宋_GB2312" w:hAnsi="仿宋_GB2312" w:eastAsia="仿宋_GB2312" w:cs="仿宋_GB2312"/>
          <w:color w:val="000000"/>
          <w:sz w:val="32"/>
          <w:szCs w:val="32"/>
        </w:rPr>
        <w:t>。</w:t>
      </w:r>
    </w:p>
    <w:p w14:paraId="0AD250E0">
      <w:pPr>
        <w:keepNext w:val="0"/>
        <w:keepLines w:val="0"/>
        <w:widowControl/>
        <w:suppressLineNumbers w:val="0"/>
        <w:ind w:firstLine="640" w:firstLineChars="200"/>
        <w:jc w:val="both"/>
        <w:rPr>
          <w:rFonts w:hint="eastAsia" w:ascii="仿宋_GB2312" w:hAnsi="仿宋" w:eastAsia="仿宋_GB2312"/>
          <w:sz w:val="32"/>
          <w:szCs w:val="32"/>
          <w:lang w:val="en-US" w:eastAsia="zh-CN"/>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三</w:t>
      </w:r>
      <w:r>
        <w:rPr>
          <w:rFonts w:hint="eastAsia" w:ascii="仿宋_GB2312" w:hAnsi="仿宋_GB2312" w:eastAsia="仿宋_GB2312" w:cs="仿宋_GB2312"/>
          <w:color w:val="000000"/>
          <w:sz w:val="32"/>
          <w:szCs w:val="32"/>
        </w:rPr>
        <w:t>）公务接待费预算数为</w:t>
      </w:r>
      <w:r>
        <w:rPr>
          <w:rFonts w:hint="eastAsia" w:ascii="仿宋_GB2312" w:hAnsi="仿宋_GB2312" w:eastAsia="仿宋_GB2312" w:cs="仿宋_GB2312"/>
          <w:color w:val="000000"/>
          <w:sz w:val="32"/>
          <w:szCs w:val="32"/>
          <w:lang w:val="en-US" w:eastAsia="zh-CN"/>
        </w:rPr>
        <w:t>5.68</w:t>
      </w:r>
      <w:r>
        <w:rPr>
          <w:rFonts w:hint="eastAsia" w:ascii="仿宋_GB2312" w:hAnsi="仿宋_GB2312" w:eastAsia="仿宋_GB2312" w:cs="仿宋_GB2312"/>
          <w:color w:val="000000"/>
          <w:sz w:val="32"/>
          <w:szCs w:val="32"/>
        </w:rPr>
        <w:t>万元，决算数为</w:t>
      </w:r>
      <w:r>
        <w:rPr>
          <w:rFonts w:hint="eastAsia" w:ascii="仿宋_GB2312" w:hAnsi="仿宋_GB2312" w:eastAsia="仿宋_GB2312" w:cs="仿宋_GB2312"/>
          <w:color w:val="000000"/>
          <w:sz w:val="32"/>
          <w:szCs w:val="32"/>
          <w:lang w:val="en-US" w:eastAsia="zh-CN"/>
        </w:rPr>
        <w:t>0.03</w:t>
      </w:r>
      <w:r>
        <w:rPr>
          <w:rFonts w:hint="eastAsia" w:ascii="仿宋_GB2312" w:hAnsi="仿宋_GB2312" w:eastAsia="仿宋_GB2312" w:cs="仿宋_GB2312"/>
          <w:color w:val="000000"/>
          <w:sz w:val="32"/>
          <w:szCs w:val="32"/>
        </w:rPr>
        <w:t>万元，完成预算的</w:t>
      </w:r>
      <w:r>
        <w:rPr>
          <w:rFonts w:hint="eastAsia" w:ascii="仿宋_GB2312" w:hAnsi="仿宋_GB2312" w:eastAsia="仿宋_GB2312" w:cs="仿宋_GB2312"/>
          <w:color w:val="000000"/>
          <w:sz w:val="32"/>
          <w:szCs w:val="32"/>
          <w:lang w:val="en-US" w:eastAsia="zh-CN"/>
        </w:rPr>
        <w:t>0.53</w:t>
      </w:r>
      <w:r>
        <w:rPr>
          <w:rFonts w:hint="eastAsia" w:ascii="仿宋_GB2312" w:hAnsi="仿宋_GB2312" w:eastAsia="仿宋_GB2312" w:cs="仿宋_GB2312"/>
          <w:color w:val="000000"/>
          <w:sz w:val="32"/>
          <w:szCs w:val="32"/>
        </w:rPr>
        <w:t>%。较</w:t>
      </w:r>
      <w:r>
        <w:rPr>
          <w:rFonts w:hint="default" w:ascii="仿宋_GB2312" w:hAnsi="仿宋_GB2312" w:eastAsia="仿宋_GB2312" w:cs="仿宋_GB2312"/>
          <w:color w:val="000000"/>
          <w:sz w:val="32"/>
          <w:szCs w:val="32"/>
          <w:lang w:val="en-US"/>
        </w:rPr>
        <w:t>202</w:t>
      </w:r>
      <w:r>
        <w:rPr>
          <w:rFonts w:hint="eastAsia" w:ascii="仿宋_GB2312" w:hAnsi="仿宋_GB2312" w:eastAsia="仿宋_GB2312" w:cs="仿宋_GB2312"/>
          <w:color w:val="000000"/>
          <w:sz w:val="32"/>
          <w:szCs w:val="32"/>
          <w:lang w:val="en-US" w:eastAsia="zh-CN"/>
        </w:rPr>
        <w:t>4</w:t>
      </w:r>
      <w:r>
        <w:rPr>
          <w:rFonts w:hint="default" w:ascii="仿宋_GB2312" w:hAnsi="仿宋_GB2312" w:eastAsia="仿宋_GB2312" w:cs="仿宋_GB2312"/>
          <w:color w:val="000000"/>
          <w:sz w:val="32"/>
          <w:szCs w:val="32"/>
          <w:lang w:val="en-US"/>
        </w:rPr>
        <w:t>年</w:t>
      </w:r>
      <w:r>
        <w:rPr>
          <w:rFonts w:hint="eastAsia" w:ascii="仿宋_GB2312" w:hAnsi="仿宋_GB2312" w:eastAsia="仿宋_GB2312" w:cs="仿宋_GB2312"/>
          <w:sz w:val="32"/>
          <w:szCs w:val="32"/>
          <w:lang w:eastAsia="zh-CN"/>
        </w:rPr>
        <w:t>决算数增加</w:t>
      </w:r>
      <w:r>
        <w:rPr>
          <w:rFonts w:hint="eastAsia" w:ascii="仿宋_GB2312" w:hAnsi="仿宋_GB2312" w:eastAsia="仿宋_GB2312" w:cs="仿宋_GB2312"/>
          <w:sz w:val="32"/>
          <w:szCs w:val="32"/>
          <w:lang w:val="en-US" w:eastAsia="zh-CN"/>
        </w:rPr>
        <w:t>0.03万元</w:t>
      </w:r>
      <w:r>
        <w:rPr>
          <w:rFonts w:hint="eastAsia" w:ascii="仿宋_GB2312" w:hAnsi="仿宋" w:eastAsia="仿宋_GB2312"/>
          <w:sz w:val="32"/>
          <w:szCs w:val="32"/>
          <w:lang w:val="en-US" w:eastAsia="zh-CN"/>
        </w:rPr>
        <w:t>。主要原因是年度内根据省政府有关要求安排相关接待事项，</w:t>
      </w:r>
      <w:r>
        <w:rPr>
          <w:rFonts w:ascii="仿宋_GB2312" w:hAnsi="宋体" w:eastAsia="仿宋_GB2312" w:cs="仿宋_GB2312"/>
          <w:color w:val="000000"/>
          <w:kern w:val="0"/>
          <w:sz w:val="31"/>
          <w:szCs w:val="31"/>
          <w:lang w:val="en-US" w:eastAsia="zh-CN" w:bidi="ar"/>
        </w:rPr>
        <w:t>涉及国内</w:t>
      </w:r>
      <w:r>
        <w:rPr>
          <w:rFonts w:hint="eastAsia" w:ascii="仿宋_GB2312" w:hAnsi="宋体" w:eastAsia="仿宋_GB2312" w:cs="仿宋_GB2312"/>
          <w:color w:val="000000"/>
          <w:kern w:val="0"/>
          <w:sz w:val="31"/>
          <w:szCs w:val="31"/>
          <w:lang w:val="en-US" w:eastAsia="zh-CN" w:bidi="ar"/>
        </w:rPr>
        <w:t>公务接待1批次、2人次</w:t>
      </w:r>
      <w:r>
        <w:rPr>
          <w:rFonts w:hint="eastAsia" w:ascii="仿宋_GB2312" w:hAnsi="仿宋" w:eastAsia="仿宋_GB2312"/>
          <w:sz w:val="32"/>
          <w:szCs w:val="32"/>
          <w:lang w:val="en-US" w:eastAsia="zh-CN"/>
        </w:rPr>
        <w:t>。</w:t>
      </w:r>
    </w:p>
    <w:p w14:paraId="561EB9C5">
      <w:pPr>
        <w:pStyle w:val="4"/>
        <w:bidi w:val="0"/>
        <w:jc w:val="both"/>
        <w:outlineLvl w:val="1"/>
        <w:rPr>
          <w:rFonts w:hint="eastAsia"/>
        </w:rPr>
      </w:pPr>
      <w:bookmarkStart w:id="19" w:name="_Toc1831510929"/>
      <w:r>
        <w:rPr>
          <w:rFonts w:hint="eastAsia"/>
        </w:rPr>
        <w:t>五、机关运行经费支出说明</w:t>
      </w:r>
      <w:bookmarkEnd w:id="19"/>
    </w:p>
    <w:p w14:paraId="0531262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000000"/>
          <w:sz w:val="32"/>
          <w:szCs w:val="32"/>
        </w:rPr>
        <w:t>国家统计局吉林调查总队</w:t>
      </w:r>
      <w:r>
        <w:rPr>
          <w:rFonts w:hint="default" w:ascii="仿宋_GB2312" w:hAnsi="仿宋_GB2312" w:eastAsia="仿宋_GB2312" w:cs="仿宋_GB2312"/>
          <w:color w:val="000000"/>
          <w:sz w:val="32"/>
          <w:szCs w:val="32"/>
          <w:lang w:val="en-US" w:eastAsia="zh-CN"/>
        </w:rPr>
        <w:t>202</w:t>
      </w:r>
      <w:r>
        <w:rPr>
          <w:rFonts w:hint="eastAsia" w:ascii="仿宋_GB2312" w:hAnsi="仿宋_GB2312" w:eastAsia="仿宋_GB2312" w:cs="仿宋_GB2312"/>
          <w:color w:val="000000"/>
          <w:sz w:val="32"/>
          <w:szCs w:val="32"/>
          <w:lang w:val="en-US" w:eastAsia="zh-CN"/>
        </w:rPr>
        <w:t>5</w:t>
      </w:r>
      <w:r>
        <w:rPr>
          <w:rFonts w:hint="default"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度行政机关运行经费支出</w:t>
      </w:r>
      <w:r>
        <w:rPr>
          <w:rFonts w:hint="eastAsia" w:ascii="仿宋_GB2312" w:hAnsi="仿宋_GB2312" w:eastAsia="仿宋_GB2312" w:cs="仿宋_GB2312"/>
          <w:color w:val="000000"/>
          <w:sz w:val="32"/>
          <w:szCs w:val="32"/>
          <w:lang w:val="en-US" w:eastAsia="zh-CN"/>
        </w:rPr>
        <w:t>1954.48万元，比上年增加11.15万元，增长0.57%</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主要原因是</w:t>
      </w:r>
      <w:r>
        <w:rPr>
          <w:rFonts w:hint="eastAsia" w:ascii="仿宋_GB2312" w:hAnsi="仿宋_GB2312" w:eastAsia="仿宋_GB2312" w:cs="仿宋_GB2312"/>
          <w:color w:val="auto"/>
          <w:sz w:val="32"/>
          <w:szCs w:val="32"/>
          <w:highlight w:val="none"/>
          <w:lang w:eastAsia="zh-CN"/>
        </w:rPr>
        <w:t>工作任务增加，委托业务费等支出增加。</w:t>
      </w:r>
    </w:p>
    <w:p w14:paraId="6CA2D6BF">
      <w:pPr>
        <w:pStyle w:val="4"/>
        <w:keepNext/>
        <w:keepLines/>
        <w:pageBreakBefore w:val="0"/>
        <w:widowControl w:val="0"/>
        <w:kinsoku/>
        <w:wordWrap/>
        <w:overflowPunct/>
        <w:topLinePunct w:val="0"/>
        <w:autoSpaceDE/>
        <w:autoSpaceDN/>
        <w:bidi w:val="0"/>
        <w:adjustRightInd/>
        <w:snapToGrid/>
        <w:spacing w:before="0" w:after="0" w:line="600" w:lineRule="exact"/>
        <w:jc w:val="both"/>
        <w:textAlignment w:val="auto"/>
        <w:outlineLvl w:val="1"/>
        <w:rPr>
          <w:rFonts w:hint="eastAsia"/>
        </w:rPr>
      </w:pPr>
      <w:bookmarkStart w:id="20" w:name="_Toc1326263989"/>
      <w:r>
        <w:rPr>
          <w:rFonts w:hint="eastAsia"/>
        </w:rPr>
        <w:t>六、政府采购支出说明</w:t>
      </w:r>
      <w:bookmarkEnd w:id="20"/>
    </w:p>
    <w:p w14:paraId="24F76BC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sz w:val="32"/>
          <w:szCs w:val="32"/>
          <w:lang w:val="en-US"/>
        </w:rPr>
      </w:pPr>
      <w:r>
        <w:rPr>
          <w:rFonts w:hint="eastAsia" w:ascii="仿宋_GB2312" w:hAnsi="仿宋_GB2312" w:eastAsia="仿宋_GB2312" w:cs="仿宋_GB2312"/>
          <w:color w:val="000000"/>
          <w:sz w:val="32"/>
          <w:szCs w:val="32"/>
        </w:rPr>
        <w:t>国家统计局吉</w:t>
      </w:r>
      <w:r>
        <w:rPr>
          <w:rFonts w:hint="eastAsia" w:ascii="仿宋_GB2312" w:hAnsi="仿宋_GB2312" w:eastAsia="仿宋_GB2312" w:cs="仿宋_GB2312"/>
          <w:color w:val="000000"/>
          <w:sz w:val="32"/>
          <w:szCs w:val="32"/>
          <w:highlight w:val="none"/>
        </w:rPr>
        <w:t>林调查总队</w:t>
      </w:r>
      <w:r>
        <w:rPr>
          <w:rFonts w:hint="default" w:ascii="仿宋_GB2312" w:hAnsi="仿宋_GB2312" w:eastAsia="仿宋_GB2312" w:cs="仿宋_GB2312"/>
          <w:color w:val="000000"/>
          <w:sz w:val="32"/>
          <w:szCs w:val="32"/>
          <w:highlight w:val="none"/>
          <w:lang w:val="en-US" w:eastAsia="zh-CN"/>
        </w:rPr>
        <w:t>202</w:t>
      </w:r>
      <w:r>
        <w:rPr>
          <w:rFonts w:hint="eastAsia" w:ascii="仿宋_GB2312" w:hAnsi="仿宋_GB2312" w:eastAsia="仿宋_GB2312" w:cs="仿宋_GB2312"/>
          <w:color w:val="000000"/>
          <w:sz w:val="32"/>
          <w:szCs w:val="32"/>
          <w:highlight w:val="none"/>
          <w:lang w:val="en-US" w:eastAsia="zh-CN"/>
        </w:rPr>
        <w:t>5</w:t>
      </w:r>
      <w:r>
        <w:rPr>
          <w:rFonts w:hint="default" w:ascii="仿宋_GB2312" w:hAnsi="仿宋_GB2312" w:eastAsia="仿宋_GB2312" w:cs="仿宋_GB2312"/>
          <w:color w:val="000000"/>
          <w:sz w:val="32"/>
          <w:szCs w:val="32"/>
          <w:highlight w:val="none"/>
          <w:lang w:val="en-US" w:eastAsia="zh-CN"/>
        </w:rPr>
        <w:t>年</w:t>
      </w:r>
      <w:r>
        <w:rPr>
          <w:rFonts w:hint="eastAsia" w:ascii="仿宋_GB2312" w:hAnsi="仿宋_GB2312" w:eastAsia="仿宋_GB2312" w:cs="仿宋_GB2312"/>
          <w:color w:val="000000"/>
          <w:sz w:val="32"/>
          <w:szCs w:val="32"/>
          <w:highlight w:val="none"/>
        </w:rPr>
        <w:t>度政府采购支出总额</w:t>
      </w:r>
      <w:r>
        <w:rPr>
          <w:rFonts w:hint="eastAsia" w:ascii="仿宋_GB2312" w:hAnsi="仿宋_GB2312" w:eastAsia="仿宋_GB2312" w:cs="仿宋_GB2312"/>
          <w:color w:val="auto"/>
          <w:sz w:val="32"/>
          <w:szCs w:val="32"/>
          <w:highlight w:val="none"/>
          <w:lang w:val="en-US" w:eastAsia="zh-CN"/>
        </w:rPr>
        <w:t>54.83</w:t>
      </w:r>
      <w:r>
        <w:rPr>
          <w:rFonts w:hint="eastAsia" w:ascii="仿宋_GB2312" w:hAnsi="仿宋_GB2312" w:eastAsia="仿宋_GB2312" w:cs="仿宋_GB2312"/>
          <w:color w:val="auto"/>
          <w:sz w:val="32"/>
          <w:szCs w:val="32"/>
          <w:highlight w:val="none"/>
        </w:rPr>
        <w:t>万元，其中：政府采购货物</w:t>
      </w:r>
      <w:r>
        <w:rPr>
          <w:rFonts w:hint="eastAsia" w:ascii="仿宋_GB2312" w:hAnsi="仿宋_GB2312" w:eastAsia="仿宋_GB2312" w:cs="仿宋_GB2312"/>
          <w:color w:val="auto"/>
          <w:sz w:val="32"/>
          <w:szCs w:val="32"/>
          <w:highlight w:val="none"/>
          <w:lang w:eastAsia="zh-CN"/>
        </w:rPr>
        <w:t>支出</w:t>
      </w:r>
      <w:r>
        <w:rPr>
          <w:rFonts w:hint="eastAsia" w:ascii="仿宋_GB2312" w:hAnsi="仿宋_GB2312" w:eastAsia="仿宋_GB2312" w:cs="仿宋_GB2312"/>
          <w:color w:val="auto"/>
          <w:sz w:val="32"/>
          <w:szCs w:val="32"/>
          <w:highlight w:val="none"/>
          <w:lang w:val="en-US" w:eastAsia="zh-CN"/>
        </w:rPr>
        <w:t>54.83</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政府采购工程支出</w:t>
      </w:r>
      <w:r>
        <w:rPr>
          <w:rFonts w:hint="eastAsia" w:ascii="仿宋_GB2312" w:hAnsi="仿宋_GB2312" w:eastAsia="仿宋_GB2312" w:cs="仿宋_GB2312"/>
          <w:color w:val="auto"/>
          <w:sz w:val="32"/>
          <w:szCs w:val="32"/>
          <w:highlight w:val="none"/>
          <w:lang w:val="en-US" w:eastAsia="zh-CN"/>
        </w:rPr>
        <w:t>0万元、</w:t>
      </w:r>
      <w:r>
        <w:rPr>
          <w:rFonts w:hint="eastAsia" w:ascii="仿宋_GB2312" w:hAnsi="仿宋_GB2312" w:eastAsia="仿宋_GB2312" w:cs="仿宋_GB2312"/>
          <w:color w:val="auto"/>
          <w:sz w:val="32"/>
          <w:szCs w:val="32"/>
          <w:highlight w:val="none"/>
        </w:rPr>
        <w:t>政府采购服务</w:t>
      </w:r>
      <w:r>
        <w:rPr>
          <w:rFonts w:hint="eastAsia" w:ascii="仿宋_GB2312" w:hAnsi="仿宋_GB2312" w:eastAsia="仿宋_GB2312" w:cs="仿宋_GB2312"/>
          <w:color w:val="auto"/>
          <w:sz w:val="32"/>
          <w:szCs w:val="32"/>
          <w:highlight w:val="none"/>
          <w:lang w:eastAsia="zh-CN"/>
        </w:rPr>
        <w:t>支出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。授予</w:t>
      </w:r>
      <w:r>
        <w:rPr>
          <w:rFonts w:hint="eastAsia" w:ascii="仿宋_GB2312" w:hAnsi="仿宋_GB2312" w:eastAsia="仿宋_GB2312" w:cs="仿宋_GB2312"/>
          <w:color w:val="auto"/>
          <w:sz w:val="32"/>
          <w:szCs w:val="32"/>
          <w:lang w:eastAsia="zh-CN"/>
        </w:rPr>
        <w:t>中小企业合同金额</w:t>
      </w:r>
      <w:r>
        <w:rPr>
          <w:rFonts w:hint="eastAsia" w:ascii="仿宋_GB2312" w:hAnsi="仿宋_GB2312" w:eastAsia="仿宋_GB2312" w:cs="仿宋_GB2312"/>
          <w:color w:val="auto"/>
          <w:sz w:val="32"/>
          <w:szCs w:val="32"/>
          <w:lang w:val="en-US" w:eastAsia="zh-CN"/>
        </w:rPr>
        <w:t>2.65万元，占政府采购支出总额的4.83%，其中：授予小微企业合同金额1.77万元，占政府采购支出总额的3.23%。</w:t>
      </w:r>
    </w:p>
    <w:p w14:paraId="22AFA61F">
      <w:pPr>
        <w:pStyle w:val="4"/>
        <w:bidi w:val="0"/>
        <w:jc w:val="both"/>
        <w:outlineLvl w:val="1"/>
        <w:rPr>
          <w:rFonts w:hint="eastAsia"/>
        </w:rPr>
      </w:pPr>
      <w:bookmarkStart w:id="21" w:name="_Toc63924204"/>
      <w:r>
        <w:rPr>
          <w:rFonts w:hint="eastAsia"/>
        </w:rPr>
        <w:t>七、国有资产占用情况说明</w:t>
      </w:r>
      <w:bookmarkEnd w:id="21"/>
    </w:p>
    <w:p w14:paraId="13F524C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截至</w:t>
      </w:r>
      <w:r>
        <w:rPr>
          <w:rFonts w:hint="default" w:ascii="仿宋_GB2312" w:hAnsi="仿宋_GB2312" w:eastAsia="仿宋_GB2312" w:cs="仿宋_GB2312"/>
          <w:color w:val="auto"/>
          <w:sz w:val="32"/>
          <w:szCs w:val="32"/>
          <w:lang w:val="en-US"/>
        </w:rPr>
        <w:t>202</w:t>
      </w:r>
      <w:r>
        <w:rPr>
          <w:rFonts w:hint="eastAsia" w:ascii="仿宋_GB2312" w:hAnsi="仿宋_GB2312" w:eastAsia="仿宋_GB2312" w:cs="仿宋_GB2312"/>
          <w:color w:val="auto"/>
          <w:sz w:val="32"/>
          <w:szCs w:val="32"/>
          <w:lang w:val="en-US" w:eastAsia="zh-CN"/>
        </w:rPr>
        <w:t>5</w:t>
      </w:r>
      <w:r>
        <w:rPr>
          <w:rFonts w:hint="default" w:ascii="仿宋_GB2312" w:hAnsi="仿宋_GB2312" w:eastAsia="仿宋_GB2312" w:cs="仿宋_GB2312"/>
          <w:color w:val="auto"/>
          <w:sz w:val="32"/>
          <w:szCs w:val="32"/>
          <w:lang w:val="en-US"/>
        </w:rPr>
        <w:t>年</w:t>
      </w:r>
      <w:r>
        <w:rPr>
          <w:rFonts w:hint="eastAsia" w:ascii="仿宋_GB2312" w:hAnsi="仿宋_GB2312" w:eastAsia="仿宋_GB2312" w:cs="仿宋_GB2312"/>
          <w:color w:val="auto"/>
          <w:sz w:val="32"/>
          <w:szCs w:val="32"/>
        </w:rPr>
        <w:t>12月31日，国家统计局吉林调查总队共有</w:t>
      </w:r>
      <w:r>
        <w:rPr>
          <w:rFonts w:hint="eastAsia" w:ascii="仿宋_GB2312" w:hAnsi="仿宋_GB2312" w:eastAsia="仿宋_GB2312" w:cs="仿宋_GB2312"/>
          <w:color w:val="auto"/>
          <w:sz w:val="32"/>
          <w:szCs w:val="32"/>
          <w:lang w:val="en-US" w:eastAsia="zh-CN"/>
        </w:rPr>
        <w:t>公务</w:t>
      </w:r>
      <w:r>
        <w:rPr>
          <w:rFonts w:hint="eastAsia" w:ascii="仿宋_GB2312" w:hAnsi="仿宋_GB2312" w:eastAsia="仿宋_GB2312" w:cs="仿宋_GB2312"/>
          <w:color w:val="auto"/>
          <w:sz w:val="32"/>
          <w:szCs w:val="32"/>
        </w:rPr>
        <w:t>车辆</w:t>
      </w:r>
      <w:r>
        <w:rPr>
          <w:rFonts w:hint="eastAsia" w:ascii="仿宋_GB2312" w:hAnsi="仿宋_GB2312" w:eastAsia="仿宋_GB2312" w:cs="仿宋_GB2312"/>
          <w:color w:val="auto"/>
          <w:sz w:val="32"/>
          <w:szCs w:val="32"/>
          <w:highlight w:val="none"/>
        </w:rPr>
        <w:t>45辆，</w:t>
      </w:r>
      <w:r>
        <w:rPr>
          <w:rFonts w:hint="eastAsia" w:ascii="仿宋_GB2312" w:hAnsi="仿宋_GB2312" w:eastAsia="仿宋_GB2312" w:cs="仿宋_GB2312"/>
          <w:color w:val="auto"/>
          <w:sz w:val="32"/>
          <w:szCs w:val="32"/>
          <w:highlight w:val="none"/>
          <w:lang w:eastAsia="zh-CN"/>
        </w:rPr>
        <w:t>其中，机要通信用车</w:t>
      </w:r>
      <w:r>
        <w:rPr>
          <w:rFonts w:hint="eastAsia" w:ascii="仿宋_GB2312" w:hAnsi="仿宋_GB2312" w:eastAsia="仿宋_GB2312" w:cs="仿宋_GB2312"/>
          <w:color w:val="auto"/>
          <w:sz w:val="32"/>
          <w:szCs w:val="32"/>
          <w:highlight w:val="none"/>
          <w:lang w:val="en-US" w:eastAsia="zh-CN"/>
        </w:rPr>
        <w:t>5辆，应急保障用车9辆，特种专业技术用车1辆，其他用车30辆，其他用车主要是单位用于机要通信和应急保障用车之外的公务车辆；</w:t>
      </w:r>
      <w:r>
        <w:rPr>
          <w:rFonts w:hint="eastAsia" w:ascii="仿宋_GB2312" w:hAnsi="仿宋_GB2312" w:eastAsia="仿宋_GB2312" w:cs="仿宋_GB2312"/>
          <w:color w:val="auto"/>
          <w:sz w:val="32"/>
          <w:szCs w:val="32"/>
        </w:rPr>
        <w:t>无单位价</w:t>
      </w:r>
      <w:r>
        <w:rPr>
          <w:rFonts w:hint="eastAsia" w:ascii="仿宋_GB2312" w:hAnsi="仿宋_GB2312" w:eastAsia="仿宋_GB2312" w:cs="仿宋_GB2312"/>
          <w:color w:val="auto"/>
          <w:sz w:val="32"/>
          <w:szCs w:val="32"/>
          <w:highlight w:val="none"/>
        </w:rPr>
        <w:t>值</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rPr>
        <w:t>以上通用设备。</w:t>
      </w:r>
    </w:p>
    <w:p w14:paraId="29B6DE6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000000"/>
          <w:sz w:val="32"/>
          <w:szCs w:val="32"/>
        </w:rPr>
      </w:pPr>
    </w:p>
    <w:p w14:paraId="299CD01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000000"/>
          <w:sz w:val="32"/>
          <w:szCs w:val="32"/>
        </w:rPr>
      </w:pPr>
    </w:p>
    <w:p w14:paraId="124EC62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000000"/>
          <w:sz w:val="32"/>
          <w:szCs w:val="32"/>
        </w:rPr>
      </w:pPr>
    </w:p>
    <w:p w14:paraId="58DD25D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000000"/>
          <w:sz w:val="32"/>
          <w:szCs w:val="32"/>
        </w:rPr>
      </w:pPr>
    </w:p>
    <w:p w14:paraId="32EF950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000000"/>
          <w:sz w:val="32"/>
          <w:szCs w:val="32"/>
        </w:rPr>
      </w:pPr>
    </w:p>
    <w:p w14:paraId="0A78A2E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000000"/>
          <w:sz w:val="32"/>
          <w:szCs w:val="32"/>
        </w:rPr>
      </w:pPr>
    </w:p>
    <w:p w14:paraId="34EF287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000000"/>
          <w:sz w:val="32"/>
          <w:szCs w:val="32"/>
        </w:rPr>
      </w:pPr>
    </w:p>
    <w:p w14:paraId="26BE831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000000"/>
          <w:sz w:val="32"/>
          <w:szCs w:val="32"/>
        </w:rPr>
      </w:pPr>
    </w:p>
    <w:p w14:paraId="46EE4A3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000000"/>
          <w:sz w:val="32"/>
          <w:szCs w:val="32"/>
        </w:rPr>
      </w:pPr>
    </w:p>
    <w:p w14:paraId="20C34C7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000000"/>
          <w:sz w:val="32"/>
          <w:szCs w:val="32"/>
        </w:rPr>
      </w:pPr>
    </w:p>
    <w:p w14:paraId="3ED16BE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000000"/>
          <w:sz w:val="32"/>
          <w:szCs w:val="32"/>
        </w:rPr>
      </w:pPr>
    </w:p>
    <w:p w14:paraId="612A61A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000000"/>
          <w:sz w:val="32"/>
          <w:szCs w:val="32"/>
        </w:rPr>
      </w:pPr>
    </w:p>
    <w:p w14:paraId="7E939D6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000000"/>
          <w:sz w:val="32"/>
          <w:szCs w:val="32"/>
        </w:rPr>
      </w:pPr>
    </w:p>
    <w:p w14:paraId="136C65B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000000"/>
          <w:sz w:val="32"/>
          <w:szCs w:val="32"/>
        </w:rPr>
      </w:pPr>
    </w:p>
    <w:p w14:paraId="0FD2AF2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000000"/>
          <w:sz w:val="32"/>
          <w:szCs w:val="32"/>
        </w:rPr>
      </w:pPr>
    </w:p>
    <w:p w14:paraId="054EF49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color w:val="000000"/>
          <w:sz w:val="32"/>
          <w:szCs w:val="32"/>
        </w:rPr>
      </w:pPr>
    </w:p>
    <w:p w14:paraId="146D53F6">
      <w:pPr>
        <w:pStyle w:val="3"/>
        <w:bidi w:val="0"/>
        <w:outlineLvl w:val="0"/>
        <w:rPr>
          <w:rFonts w:hint="eastAsia"/>
        </w:rPr>
      </w:pPr>
      <w:bookmarkStart w:id="22" w:name="_Toc1117562545"/>
      <w:r>
        <w:rPr>
          <w:rFonts w:hint="eastAsia"/>
        </w:rPr>
        <w:t>第四部分 预算绩效</w:t>
      </w:r>
      <w:r>
        <w:rPr>
          <w:rFonts w:hint="eastAsia"/>
          <w:lang w:eastAsia="zh-CN"/>
        </w:rPr>
        <w:t>评价</w:t>
      </w:r>
      <w:r>
        <w:rPr>
          <w:rFonts w:hint="eastAsia"/>
        </w:rPr>
        <w:t>情况</w:t>
      </w:r>
      <w:bookmarkEnd w:id="22"/>
    </w:p>
    <w:p w14:paraId="2B76558D">
      <w:pPr>
        <w:rPr>
          <w:rFonts w:hint="eastAsia"/>
          <w:lang w:eastAsia="zh-CN"/>
        </w:rPr>
      </w:pPr>
    </w:p>
    <w:p w14:paraId="2DE95C3B">
      <w:pPr>
        <w:bidi w:val="0"/>
        <w:ind w:firstLine="640" w:firstLineChars="200"/>
        <w:rPr>
          <w:rFonts w:hint="eastAsia" w:ascii="黑体" w:hAnsi="黑体" w:eastAsia="黑体" w:cs="黑体"/>
          <w:color w:val="000000"/>
          <w:szCs w:val="32"/>
          <w:lang w:eastAsia="zh-CN"/>
        </w:rPr>
      </w:pPr>
      <w:r>
        <w:rPr>
          <w:rFonts w:hint="eastAsia" w:ascii="黑体" w:hAnsi="黑体" w:eastAsia="黑体" w:cs="黑体"/>
          <w:sz w:val="32"/>
          <w:szCs w:val="32"/>
          <w:lang w:eastAsia="zh-CN"/>
        </w:rPr>
        <w:t>一、项目绩效目标完成情况</w:t>
      </w:r>
    </w:p>
    <w:p w14:paraId="444625DF">
      <w:pPr>
        <w:spacing w:line="60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按照财政部、国家统计局财务司对项目绩效自评工作的基本要求，</w:t>
      </w:r>
      <w:r>
        <w:rPr>
          <w:rFonts w:hint="eastAsia" w:ascii="仿宋_GB2312" w:hAnsi="仿宋" w:eastAsia="仿宋_GB2312"/>
          <w:color w:val="auto"/>
          <w:sz w:val="32"/>
          <w:szCs w:val="32"/>
          <w:lang w:val="en-US" w:eastAsia="zh-CN"/>
        </w:rPr>
        <w:t>国家统计局</w:t>
      </w:r>
      <w:r>
        <w:rPr>
          <w:rFonts w:hint="eastAsia" w:ascii="仿宋_GB2312" w:hAnsi="仿宋" w:eastAsia="仿宋_GB2312"/>
          <w:color w:val="auto"/>
          <w:sz w:val="32"/>
          <w:szCs w:val="32"/>
          <w:lang w:eastAsia="zh-CN"/>
        </w:rPr>
        <w:t>吉林</w:t>
      </w:r>
      <w:r>
        <w:rPr>
          <w:rFonts w:hint="eastAsia" w:ascii="仿宋_GB2312" w:hAnsi="仿宋" w:eastAsia="仿宋_GB2312"/>
          <w:color w:val="auto"/>
          <w:sz w:val="32"/>
          <w:szCs w:val="32"/>
          <w:lang w:val="en-US" w:eastAsia="zh-CN"/>
        </w:rPr>
        <w:t>调查</w:t>
      </w:r>
      <w:r>
        <w:rPr>
          <w:rFonts w:hint="eastAsia" w:ascii="仿宋_GB2312" w:hAnsi="仿宋" w:eastAsia="仿宋_GB2312"/>
          <w:color w:val="auto"/>
          <w:sz w:val="32"/>
          <w:szCs w:val="32"/>
          <w:lang w:eastAsia="zh-CN"/>
        </w:rPr>
        <w:t>总队</w:t>
      </w:r>
      <w:r>
        <w:rPr>
          <w:rFonts w:hint="eastAsia" w:ascii="仿宋_GB2312" w:hAnsi="仿宋" w:eastAsia="仿宋_GB2312"/>
          <w:color w:val="auto"/>
          <w:sz w:val="32"/>
          <w:szCs w:val="32"/>
        </w:rPr>
        <w:t>202</w:t>
      </w:r>
      <w:r>
        <w:rPr>
          <w:rFonts w:hint="eastAsia" w:ascii="仿宋_GB2312" w:hAnsi="仿宋" w:eastAsia="仿宋_GB2312"/>
          <w:color w:val="auto"/>
          <w:sz w:val="32"/>
          <w:szCs w:val="32"/>
          <w:lang w:val="en-US" w:eastAsia="zh-CN"/>
        </w:rPr>
        <w:t>5</w:t>
      </w:r>
      <w:r>
        <w:rPr>
          <w:rFonts w:hint="eastAsia" w:ascii="仿宋_GB2312" w:hAnsi="仿宋" w:eastAsia="仿宋_GB2312"/>
          <w:color w:val="auto"/>
          <w:sz w:val="32"/>
          <w:szCs w:val="32"/>
        </w:rPr>
        <w:t>年认真开展中央经费预算内项目支出绩效自评工作，包括经常性统计调查项目、统计能力建设项目</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中央基建投资</w:t>
      </w:r>
      <w:r>
        <w:rPr>
          <w:rFonts w:hint="eastAsia" w:ascii="仿宋_GB2312" w:hAnsi="仿宋" w:eastAsia="仿宋_GB2312"/>
          <w:color w:val="auto"/>
          <w:sz w:val="32"/>
          <w:szCs w:val="32"/>
          <w:lang w:eastAsia="zh-CN"/>
        </w:rPr>
        <w:t>、资产运行维护、信息化运行维护、普查及大型调查项目</w:t>
      </w:r>
      <w:r>
        <w:rPr>
          <w:rFonts w:hint="eastAsia" w:ascii="仿宋_GB2312" w:hAnsi="仿宋" w:eastAsia="仿宋_GB2312"/>
          <w:color w:val="auto"/>
          <w:sz w:val="32"/>
          <w:szCs w:val="32"/>
          <w:lang w:val="en-US" w:eastAsia="zh-CN"/>
        </w:rPr>
        <w:t>6</w:t>
      </w:r>
      <w:r>
        <w:rPr>
          <w:rFonts w:hint="eastAsia" w:ascii="仿宋_GB2312" w:hAnsi="仿宋" w:eastAsia="仿宋_GB2312"/>
          <w:color w:val="auto"/>
          <w:sz w:val="32"/>
          <w:szCs w:val="32"/>
        </w:rPr>
        <w:t>个一级项目，劳动力调查、农牧生产大县调查、农民工统计监测调查、城乡住户调查、脱贫县农村住户监测调查、调查队业务费、</w:t>
      </w:r>
      <w:r>
        <w:rPr>
          <w:rFonts w:hint="eastAsia" w:ascii="仿宋_GB2312" w:hAnsi="仿宋" w:eastAsia="仿宋_GB2312"/>
          <w:color w:val="auto"/>
          <w:sz w:val="32"/>
          <w:szCs w:val="32"/>
          <w:lang w:val="en-US" w:eastAsia="zh-CN"/>
        </w:rPr>
        <w:t>国际比较项目、</w:t>
      </w:r>
      <w:r>
        <w:rPr>
          <w:rFonts w:hint="eastAsia" w:ascii="仿宋_GB2312" w:hAnsi="仿宋" w:eastAsia="仿宋_GB2312"/>
          <w:color w:val="auto"/>
          <w:sz w:val="32"/>
          <w:szCs w:val="32"/>
        </w:rPr>
        <w:t>统计监督专项</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调查队办公业务用房修缮维护</w:t>
      </w:r>
      <w:r>
        <w:rPr>
          <w:rFonts w:hint="eastAsia" w:ascii="仿宋_GB2312" w:hAnsi="仿宋" w:eastAsia="仿宋_GB2312"/>
          <w:color w:val="auto"/>
          <w:sz w:val="32"/>
          <w:szCs w:val="32"/>
          <w:lang w:eastAsia="zh-CN"/>
        </w:rPr>
        <w:t>、统计信息网络运行维护、国家统计局吉林调查总队信息化改造项目、国家统计局吉林调查总队信息化改造项目（二期）、</w:t>
      </w:r>
      <w:r>
        <w:rPr>
          <w:rFonts w:hint="eastAsia" w:ascii="仿宋_GB2312" w:hAnsi="仿宋" w:eastAsia="仿宋_GB2312"/>
          <w:color w:val="auto"/>
          <w:sz w:val="32"/>
          <w:szCs w:val="32"/>
          <w:lang w:val="en-US" w:eastAsia="zh-CN"/>
        </w:rPr>
        <w:t>农业普查13</w:t>
      </w:r>
      <w:r>
        <w:rPr>
          <w:rFonts w:hint="eastAsia" w:ascii="仿宋_GB2312" w:hAnsi="仿宋" w:eastAsia="仿宋_GB2312"/>
          <w:color w:val="auto"/>
          <w:sz w:val="32"/>
          <w:szCs w:val="32"/>
        </w:rPr>
        <w:t>个二级项目，涉及资金</w:t>
      </w:r>
      <w:r>
        <w:rPr>
          <w:rFonts w:hint="eastAsia" w:ascii="仿宋_GB2312" w:hAnsi="仿宋" w:eastAsia="仿宋_GB2312"/>
          <w:color w:val="auto"/>
          <w:sz w:val="32"/>
          <w:szCs w:val="32"/>
          <w:lang w:eastAsia="zh-CN"/>
        </w:rPr>
        <w:t>总额</w:t>
      </w:r>
      <w:r>
        <w:rPr>
          <w:rFonts w:hint="eastAsia" w:ascii="仿宋_GB2312" w:hAnsi="仿宋" w:eastAsia="仿宋_GB2312"/>
          <w:color w:val="auto"/>
          <w:sz w:val="32"/>
          <w:szCs w:val="32"/>
          <w:lang w:val="en-US" w:eastAsia="zh-CN"/>
        </w:rPr>
        <w:t>2319.94</w:t>
      </w:r>
      <w:r>
        <w:rPr>
          <w:rFonts w:hint="eastAsia" w:ascii="仿宋_GB2312" w:hAnsi="仿宋" w:eastAsia="仿宋_GB2312"/>
          <w:color w:val="auto"/>
          <w:sz w:val="32"/>
          <w:szCs w:val="32"/>
          <w:lang w:eastAsia="zh-CN"/>
        </w:rPr>
        <w:t>万</w:t>
      </w:r>
      <w:r>
        <w:rPr>
          <w:rFonts w:hint="eastAsia" w:ascii="仿宋_GB2312" w:hAnsi="仿宋" w:eastAsia="仿宋_GB2312"/>
          <w:color w:val="auto"/>
          <w:sz w:val="32"/>
          <w:szCs w:val="32"/>
        </w:rPr>
        <w:t>元，自评指标涵盖产出、效益、满意度、预算执行率等，做到了项目指标全覆盖。</w:t>
      </w:r>
    </w:p>
    <w:p w14:paraId="47786D8E">
      <w:pPr>
        <w:spacing w:line="60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为确保</w:t>
      </w:r>
      <w:r>
        <w:rPr>
          <w:rFonts w:hint="eastAsia" w:ascii="仿宋_GB2312" w:hAnsi="仿宋" w:eastAsia="仿宋_GB2312"/>
          <w:color w:val="auto"/>
          <w:sz w:val="32"/>
          <w:szCs w:val="32"/>
          <w:lang w:val="en-US" w:eastAsia="zh-CN"/>
        </w:rPr>
        <w:t>国家统计局</w:t>
      </w:r>
      <w:r>
        <w:rPr>
          <w:rFonts w:hint="eastAsia" w:ascii="仿宋_GB2312" w:hAnsi="仿宋" w:eastAsia="仿宋_GB2312"/>
          <w:color w:val="auto"/>
          <w:sz w:val="32"/>
          <w:szCs w:val="32"/>
          <w:lang w:eastAsia="zh-CN"/>
        </w:rPr>
        <w:t>吉林</w:t>
      </w:r>
      <w:r>
        <w:rPr>
          <w:rFonts w:hint="eastAsia" w:ascii="仿宋_GB2312" w:hAnsi="仿宋" w:eastAsia="仿宋_GB2312"/>
          <w:color w:val="auto"/>
          <w:sz w:val="32"/>
          <w:szCs w:val="32"/>
          <w:lang w:val="en-US" w:eastAsia="zh-CN"/>
        </w:rPr>
        <w:t>调查</w:t>
      </w:r>
      <w:r>
        <w:rPr>
          <w:rFonts w:hint="eastAsia" w:ascii="仿宋_GB2312" w:hAnsi="仿宋" w:eastAsia="仿宋_GB2312"/>
          <w:color w:val="auto"/>
          <w:sz w:val="32"/>
          <w:szCs w:val="32"/>
          <w:lang w:eastAsia="zh-CN"/>
        </w:rPr>
        <w:t>总队</w:t>
      </w:r>
      <w:r>
        <w:rPr>
          <w:rFonts w:hint="eastAsia" w:ascii="仿宋_GB2312" w:hAnsi="仿宋" w:eastAsia="仿宋_GB2312"/>
          <w:color w:val="auto"/>
          <w:sz w:val="32"/>
          <w:szCs w:val="32"/>
        </w:rPr>
        <w:t>项目绩效自评结果真实、客观，财务管理处与各相关处室按照评价方案内容，逐项逐条对所有一级项目、二级</w:t>
      </w:r>
      <w:r>
        <w:rPr>
          <w:rFonts w:hint="eastAsia" w:ascii="仿宋_GB2312" w:hAnsi="仿宋" w:eastAsia="仿宋_GB2312"/>
          <w:color w:val="auto"/>
          <w:sz w:val="32"/>
          <w:szCs w:val="32"/>
          <w:lang w:eastAsia="zh-CN"/>
        </w:rPr>
        <w:t>项目</w:t>
      </w:r>
      <w:r>
        <w:rPr>
          <w:rFonts w:hint="eastAsia" w:ascii="仿宋_GB2312" w:hAnsi="仿宋" w:eastAsia="仿宋_GB2312"/>
          <w:color w:val="auto"/>
          <w:sz w:val="32"/>
          <w:szCs w:val="32"/>
        </w:rPr>
        <w:t>按照指标权重平均分配分值的方式</w:t>
      </w:r>
      <w:r>
        <w:rPr>
          <w:rFonts w:hint="eastAsia" w:ascii="仿宋_GB2312" w:hAnsi="仿宋" w:eastAsia="仿宋_GB2312"/>
          <w:color w:val="auto"/>
          <w:sz w:val="32"/>
          <w:szCs w:val="32"/>
          <w:lang w:eastAsia="zh-CN"/>
        </w:rPr>
        <w:t>开展评价，</w:t>
      </w:r>
      <w:r>
        <w:rPr>
          <w:rFonts w:hint="eastAsia" w:ascii="仿宋_GB2312" w:hAnsi="仿宋" w:eastAsia="仿宋_GB2312"/>
          <w:color w:val="auto"/>
          <w:sz w:val="32"/>
          <w:szCs w:val="32"/>
        </w:rPr>
        <w:t>努力收集绩效执行信息，并根据年度指标值和全年实际值确定得分，总体自评结果良好，基本完成年初设定目标。</w:t>
      </w:r>
    </w:p>
    <w:p w14:paraId="41A6EE17">
      <w:pPr>
        <w:bidi w:val="0"/>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二、整体支出绩效实现情况</w:t>
      </w:r>
    </w:p>
    <w:p w14:paraId="482BD6A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年，</w:t>
      </w:r>
      <w:r>
        <w:rPr>
          <w:rFonts w:hint="eastAsia" w:ascii="仿宋_GB2312" w:hAnsi="仿宋" w:eastAsia="仿宋_GB2312"/>
          <w:color w:val="auto"/>
          <w:sz w:val="32"/>
          <w:szCs w:val="32"/>
          <w:lang w:val="en-US" w:eastAsia="zh-CN"/>
        </w:rPr>
        <w:t>国家统计局</w:t>
      </w:r>
      <w:r>
        <w:rPr>
          <w:rFonts w:hint="eastAsia" w:ascii="仿宋_GB2312" w:hAnsi="仿宋" w:eastAsia="仿宋_GB2312"/>
          <w:color w:val="auto"/>
          <w:sz w:val="32"/>
          <w:szCs w:val="32"/>
          <w:lang w:eastAsia="zh-CN"/>
        </w:rPr>
        <w:t>吉林</w:t>
      </w:r>
      <w:r>
        <w:rPr>
          <w:rFonts w:hint="eastAsia" w:ascii="仿宋_GB2312" w:hAnsi="仿宋" w:eastAsia="仿宋_GB2312"/>
          <w:color w:val="auto"/>
          <w:sz w:val="32"/>
          <w:szCs w:val="32"/>
          <w:lang w:val="en-US" w:eastAsia="zh-CN"/>
        </w:rPr>
        <w:t>调查</w:t>
      </w:r>
      <w:r>
        <w:rPr>
          <w:rFonts w:hint="eastAsia" w:ascii="仿宋_GB2312" w:hAnsi="仿宋" w:eastAsia="仿宋_GB2312"/>
          <w:color w:val="auto"/>
          <w:sz w:val="32"/>
          <w:szCs w:val="32"/>
          <w:lang w:eastAsia="zh-CN"/>
        </w:rPr>
        <w:t>总队</w:t>
      </w:r>
      <w:r>
        <w:rPr>
          <w:rFonts w:hint="eastAsia" w:ascii="仿宋_GB2312" w:hAnsi="仿宋_GB2312" w:eastAsia="仿宋_GB2312" w:cs="仿宋_GB2312"/>
          <w:color w:val="000000"/>
          <w:sz w:val="32"/>
          <w:szCs w:val="32"/>
        </w:rPr>
        <w:t>所属</w:t>
      </w:r>
      <w:r>
        <w:rPr>
          <w:rFonts w:hint="eastAsia" w:ascii="仿宋_GB2312" w:hAnsi="仿宋_GB2312" w:eastAsia="仿宋_GB2312" w:cs="仿宋_GB2312"/>
          <w:color w:val="000000"/>
          <w:sz w:val="32"/>
          <w:szCs w:val="32"/>
          <w:lang w:val="en-US" w:eastAsia="zh-CN"/>
        </w:rPr>
        <w:t>1个副省级城市调查队、</w:t>
      </w:r>
      <w:r>
        <w:rPr>
          <w:rFonts w:hint="eastAsia" w:ascii="仿宋_GB2312" w:hAnsi="仿宋_GB2312" w:eastAsia="仿宋_GB2312" w:cs="仿宋_GB2312"/>
          <w:color w:val="000000"/>
          <w:sz w:val="32"/>
          <w:szCs w:val="32"/>
          <w:lang w:eastAsia="zh-CN"/>
        </w:rPr>
        <w:t>8个市级调查队</w:t>
      </w:r>
      <w:r>
        <w:rPr>
          <w:rFonts w:hint="eastAsia" w:ascii="仿宋_GB2312" w:hAnsi="仿宋_GB2312" w:eastAsia="仿宋_GB2312" w:cs="仿宋_GB2312"/>
          <w:color w:val="000000"/>
          <w:sz w:val="32"/>
          <w:szCs w:val="32"/>
        </w:rPr>
        <w:t>、21个县级调查队以及总队本级共31家三级预算单位，全部开展了整体支出绩效评价工作，做到了预算绩效管理全覆盖。</w:t>
      </w:r>
    </w:p>
    <w:p w14:paraId="54EA532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国家统计局</w:t>
      </w:r>
      <w:r>
        <w:rPr>
          <w:rFonts w:hint="eastAsia" w:ascii="仿宋_GB2312" w:hAnsi="仿宋_GB2312" w:eastAsia="仿宋_GB2312" w:cs="仿宋_GB2312"/>
          <w:color w:val="000000"/>
          <w:sz w:val="32"/>
          <w:szCs w:val="32"/>
        </w:rPr>
        <w:t>吉林</w:t>
      </w:r>
      <w:r>
        <w:rPr>
          <w:rFonts w:hint="eastAsia" w:ascii="仿宋_GB2312" w:hAnsi="仿宋_GB2312" w:eastAsia="仿宋_GB2312" w:cs="仿宋_GB2312"/>
          <w:color w:val="000000"/>
          <w:sz w:val="32"/>
          <w:szCs w:val="32"/>
          <w:lang w:val="en-US" w:eastAsia="zh-CN"/>
        </w:rPr>
        <w:t>调查总队坚持以习近平新时代中国特色社会主义思想为指导，认真贯彻党中央、国务院重大决策部署，全面落实国家统计局工作要求，各项工作取得积极成效。</w:t>
      </w:r>
      <w:r>
        <w:rPr>
          <w:rFonts w:hint="eastAsia" w:ascii="仿宋_GB2312" w:hAnsi="仿宋_GB2312" w:eastAsia="仿宋_GB2312" w:cs="仿宋_GB2312"/>
          <w:color w:val="000000"/>
          <w:sz w:val="32"/>
          <w:szCs w:val="32"/>
        </w:rPr>
        <w:t>聚焦主责主业，全面提升履职能力与数据质量，为宏观调控、政策制定及地方经济社会发展提供精准高效的统计支撑。</w:t>
      </w:r>
      <w:r>
        <w:rPr>
          <w:rFonts w:hint="eastAsia" w:ascii="仿宋_GB2312" w:hAnsi="仿宋_GB2312" w:eastAsia="仿宋_GB2312" w:cs="仿宋_GB2312"/>
          <w:color w:val="000000"/>
          <w:sz w:val="32"/>
          <w:szCs w:val="32"/>
          <w:lang w:val="en-US" w:eastAsia="zh-CN"/>
        </w:rPr>
        <w:t>强化依法统计</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健全完善制度方法，调查效能及数据质量持续提升。</w:t>
      </w:r>
      <w:r>
        <w:rPr>
          <w:rFonts w:hint="eastAsia" w:ascii="仿宋_GB2312" w:hAnsi="仿宋_GB2312" w:eastAsia="仿宋_GB2312" w:cs="仿宋_GB2312"/>
          <w:color w:val="000000"/>
          <w:sz w:val="32"/>
          <w:szCs w:val="32"/>
        </w:rPr>
        <w:t>着力强化统计监督职能，以零容忍态度坚决抵制统计造假、弄虚作假行为。</w:t>
      </w:r>
      <w:r>
        <w:rPr>
          <w:rFonts w:hint="eastAsia" w:ascii="仿宋_GB2312" w:hAnsi="仿宋_GB2312" w:eastAsia="仿宋_GB2312" w:cs="仿宋_GB2312"/>
          <w:color w:val="000000"/>
          <w:sz w:val="32"/>
          <w:szCs w:val="32"/>
          <w:lang w:val="en-US" w:eastAsia="zh-CN"/>
        </w:rPr>
        <w:t>深化统计改革</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大数据共享与应用取得实践成果</w:t>
      </w:r>
      <w:r>
        <w:rPr>
          <w:rFonts w:hint="eastAsia" w:ascii="仿宋_GB2312" w:hAnsi="仿宋_GB2312" w:eastAsia="仿宋_GB2312" w:cs="仿宋_GB2312"/>
          <w:color w:val="000000"/>
          <w:sz w:val="32"/>
          <w:szCs w:val="32"/>
        </w:rPr>
        <w:t>。通过发布高质量</w:t>
      </w:r>
      <w:r>
        <w:rPr>
          <w:rFonts w:hint="eastAsia" w:ascii="仿宋_GB2312" w:hAnsi="仿宋_GB2312" w:eastAsia="仿宋_GB2312" w:cs="仿宋_GB2312"/>
          <w:color w:val="000000"/>
          <w:sz w:val="32"/>
          <w:szCs w:val="32"/>
          <w:lang w:val="en-US" w:eastAsia="zh-CN"/>
        </w:rPr>
        <w:t>数据、信息与</w:t>
      </w:r>
      <w:r>
        <w:rPr>
          <w:rFonts w:hint="eastAsia" w:ascii="仿宋_GB2312" w:hAnsi="仿宋_GB2312" w:eastAsia="仿宋_GB2312" w:cs="仿宋_GB2312"/>
          <w:color w:val="000000"/>
          <w:sz w:val="32"/>
          <w:szCs w:val="32"/>
        </w:rPr>
        <w:t>分析报告、提升</w:t>
      </w:r>
      <w:r>
        <w:rPr>
          <w:rFonts w:hint="eastAsia" w:ascii="仿宋_GB2312" w:hAnsi="仿宋_GB2312" w:eastAsia="仿宋_GB2312" w:cs="仿宋_GB2312"/>
          <w:color w:val="000000"/>
          <w:sz w:val="32"/>
          <w:szCs w:val="32"/>
          <w:lang w:val="en-US" w:eastAsia="zh-CN"/>
        </w:rPr>
        <w:t>统计</w:t>
      </w:r>
      <w:r>
        <w:rPr>
          <w:rFonts w:hint="eastAsia" w:ascii="仿宋_GB2312" w:hAnsi="仿宋_GB2312" w:eastAsia="仿宋_GB2312" w:cs="仿宋_GB2312"/>
          <w:color w:val="000000"/>
          <w:sz w:val="32"/>
          <w:szCs w:val="32"/>
        </w:rPr>
        <w:t>透明度，有效提升</w:t>
      </w:r>
      <w:r>
        <w:rPr>
          <w:rFonts w:hint="eastAsia" w:ascii="仿宋_GB2312" w:hAnsi="仿宋_GB2312" w:eastAsia="仿宋_GB2312" w:cs="仿宋_GB2312"/>
          <w:color w:val="000000"/>
          <w:sz w:val="32"/>
          <w:szCs w:val="32"/>
          <w:lang w:val="en-US" w:eastAsia="zh-CN"/>
        </w:rPr>
        <w:t>政府</w:t>
      </w:r>
      <w:r>
        <w:rPr>
          <w:rFonts w:hint="eastAsia" w:ascii="仿宋_GB2312" w:hAnsi="仿宋_GB2312" w:eastAsia="仿宋_GB2312" w:cs="仿宋_GB2312"/>
          <w:color w:val="000000"/>
          <w:sz w:val="32"/>
          <w:szCs w:val="32"/>
        </w:rPr>
        <w:t>统计公信力，为高质量发展提供了坚实的数据保障。</w:t>
      </w:r>
      <w:r>
        <w:rPr>
          <w:rFonts w:hint="eastAsia" w:ascii="仿宋_GB2312" w:hAnsi="仿宋_GB2312" w:eastAsia="仿宋_GB2312" w:cs="仿宋_GB2312"/>
          <w:color w:val="000000"/>
          <w:sz w:val="32"/>
          <w:szCs w:val="32"/>
          <w:lang w:val="en-US" w:eastAsia="zh-CN"/>
        </w:rPr>
        <w:t>经济性角度，</w:t>
      </w:r>
      <w:r>
        <w:rPr>
          <w:rFonts w:hint="eastAsia" w:ascii="仿宋_GB2312" w:hAnsi="仿宋_GB2312" w:eastAsia="仿宋_GB2312" w:cs="仿宋_GB2312"/>
          <w:color w:val="000000"/>
          <w:sz w:val="32"/>
          <w:szCs w:val="32"/>
        </w:rPr>
        <w:t>财务管理与预算执行精准高效</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牢固树立</w:t>
      </w:r>
      <w:r>
        <w:rPr>
          <w:rFonts w:hint="eastAsia" w:ascii="仿宋_GB2312" w:hAnsi="仿宋_GB2312" w:eastAsia="仿宋_GB2312" w:cs="仿宋_GB2312"/>
          <w:color w:val="000000"/>
          <w:sz w:val="32"/>
          <w:szCs w:val="32"/>
          <w:lang w:val="en-US" w:eastAsia="zh-CN"/>
        </w:rPr>
        <w:t>习惯</w:t>
      </w:r>
      <w:r>
        <w:rPr>
          <w:rFonts w:hint="eastAsia" w:ascii="仿宋_GB2312" w:hAnsi="仿宋_GB2312" w:eastAsia="仿宋_GB2312" w:cs="仿宋_GB2312"/>
          <w:color w:val="000000"/>
          <w:sz w:val="32"/>
          <w:szCs w:val="32"/>
        </w:rPr>
        <w:t>过紧日子思想，坚持厉行节约、反对浪费，严控一般性支出，紧盯财政部预算管理节点，强化预算执行动态监控，</w:t>
      </w:r>
      <w:r>
        <w:rPr>
          <w:rFonts w:hint="eastAsia" w:ascii="仿宋_GB2312" w:hAnsi="仿宋_GB2312" w:eastAsia="仿宋_GB2312" w:cs="仿宋_GB2312"/>
          <w:color w:val="000000"/>
          <w:sz w:val="32"/>
          <w:szCs w:val="32"/>
          <w:lang w:val="en-US" w:eastAsia="zh-CN"/>
        </w:rPr>
        <w:t>实现全年零通报</w:t>
      </w:r>
      <w:r>
        <w:rPr>
          <w:rFonts w:hint="eastAsia" w:ascii="仿宋_GB2312" w:hAnsi="仿宋_GB2312" w:eastAsia="仿宋_GB2312" w:cs="仿宋_GB2312"/>
          <w:color w:val="000000"/>
          <w:sz w:val="32"/>
          <w:szCs w:val="32"/>
        </w:rPr>
        <w:t>，未出现闲置浪费或突击花钱现象。</w:t>
      </w:r>
      <w:r>
        <w:rPr>
          <w:rFonts w:hint="eastAsia" w:ascii="仿宋_GB2312" w:hAnsi="仿宋_GB2312" w:eastAsia="仿宋_GB2312" w:cs="仿宋_GB2312"/>
          <w:color w:val="000000"/>
          <w:sz w:val="32"/>
          <w:szCs w:val="32"/>
          <w:lang w:val="en-US" w:eastAsia="zh-CN"/>
        </w:rPr>
        <w:t>效益性角度，</w:t>
      </w:r>
      <w:r>
        <w:rPr>
          <w:rFonts w:hint="eastAsia" w:ascii="仿宋_GB2312" w:hAnsi="仿宋_GB2312" w:eastAsia="仿宋_GB2312" w:cs="仿宋_GB2312"/>
          <w:color w:val="000000"/>
          <w:sz w:val="32"/>
          <w:szCs w:val="32"/>
        </w:rPr>
        <w:t>深度构建“全方位、全过程、全覆盖”的预算绩效管理体系，严格落实“编制有目标、执行有监控、完成有评价、结果有应用”的闭环机制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通过强化绩效评价结果运用，将资金分配与工作实绩挂钩，进一步完善了内部目标责任制，有力推动</w:t>
      </w:r>
      <w:r>
        <w:rPr>
          <w:rFonts w:hint="eastAsia" w:ascii="仿宋_GB2312" w:hAnsi="仿宋_GB2312" w:eastAsia="仿宋_GB2312" w:cs="仿宋_GB2312"/>
          <w:color w:val="000000"/>
          <w:sz w:val="32"/>
          <w:szCs w:val="32"/>
          <w:lang w:val="en-US" w:eastAsia="zh-CN"/>
        </w:rPr>
        <w:t>统计调查能力</w:t>
      </w:r>
      <w:r>
        <w:rPr>
          <w:rFonts w:hint="eastAsia" w:ascii="仿宋_GB2312" w:hAnsi="仿宋_GB2312" w:eastAsia="仿宋_GB2312" w:cs="仿宋_GB2312"/>
          <w:color w:val="000000"/>
          <w:sz w:val="32"/>
          <w:szCs w:val="32"/>
        </w:rPr>
        <w:t>建设与</w:t>
      </w:r>
      <w:r>
        <w:rPr>
          <w:rFonts w:hint="eastAsia" w:ascii="仿宋_GB2312" w:hAnsi="仿宋_GB2312" w:eastAsia="仿宋_GB2312" w:cs="仿宋_GB2312"/>
          <w:color w:val="000000"/>
          <w:sz w:val="32"/>
          <w:szCs w:val="32"/>
          <w:lang w:val="en-US" w:eastAsia="zh-CN"/>
        </w:rPr>
        <w:t>数据质量</w:t>
      </w:r>
      <w:r>
        <w:rPr>
          <w:rFonts w:hint="eastAsia" w:ascii="仿宋_GB2312" w:hAnsi="仿宋_GB2312" w:eastAsia="仿宋_GB2312" w:cs="仿宋_GB2312"/>
          <w:color w:val="000000"/>
          <w:sz w:val="32"/>
          <w:szCs w:val="32"/>
        </w:rPr>
        <w:t>的双重提升，实现了政治效益、经济效益与社会效益的有机统一。</w:t>
      </w:r>
    </w:p>
    <w:p w14:paraId="4078ADBA">
      <w:pPr>
        <w:pStyle w:val="3"/>
        <w:bidi w:val="0"/>
        <w:jc w:val="center"/>
        <w:outlineLvl w:val="0"/>
        <w:rPr>
          <w:rFonts w:hint="eastAsia"/>
        </w:rPr>
      </w:pPr>
      <w:bookmarkStart w:id="23" w:name="_Toc256639838"/>
      <w:r>
        <w:rPr>
          <w:rFonts w:hint="eastAsia"/>
        </w:rPr>
        <w:t>第</w:t>
      </w:r>
      <w:r>
        <w:rPr>
          <w:rFonts w:hint="eastAsia"/>
          <w:lang w:eastAsia="zh-CN"/>
        </w:rPr>
        <w:t>五</w:t>
      </w:r>
      <w:r>
        <w:rPr>
          <w:rFonts w:hint="eastAsia"/>
        </w:rPr>
        <w:t>部分 名词解释</w:t>
      </w:r>
      <w:bookmarkEnd w:id="23"/>
    </w:p>
    <w:p w14:paraId="21B68AEF">
      <w:pPr>
        <w:rPr>
          <w:rFonts w:hint="eastAsia"/>
        </w:rPr>
      </w:pPr>
    </w:p>
    <w:p w14:paraId="6EA06FC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（一）一般公共预算财政拨款收入：指中央财政当年拨付的资金。</w:t>
      </w:r>
    </w:p>
    <w:p w14:paraId="0695C5C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（二）其他收入：指除上述一般公共预算财政拨款收入以外的收入，主要为国家统计局吉林调查总队本级及下属市县级调查队的地方</w:t>
      </w:r>
      <w:r>
        <w:rPr>
          <w:rFonts w:hint="eastAsia" w:ascii="仿宋_GB2312" w:hAnsi="仿宋_GB2312" w:eastAsia="仿宋_GB2312" w:cs="仿宋_GB2312"/>
          <w:color w:val="000000"/>
          <w:sz w:val="32"/>
          <w:szCs w:val="32"/>
          <w:lang w:eastAsia="zh-CN"/>
        </w:rPr>
        <w:t>财政拨款</w:t>
      </w:r>
      <w:r>
        <w:rPr>
          <w:rFonts w:hint="eastAsia" w:ascii="仿宋_GB2312" w:hAnsi="仿宋_GB2312" w:eastAsia="仿宋_GB2312" w:cs="仿宋_GB2312"/>
          <w:color w:val="000000"/>
          <w:sz w:val="32"/>
          <w:szCs w:val="32"/>
        </w:rPr>
        <w:t>收入以及地方政府委托调查任务费用。</w:t>
      </w:r>
    </w:p>
    <w:p w14:paraId="24367FE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（三）使用非财政拨款结余：指事业单位使用以前年度积累的非财政拨款结余弥补当年收支差额的金额。</w:t>
      </w:r>
    </w:p>
    <w:p w14:paraId="1E724EF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（四）年初结转和结余：指单位以前年度尚未完成、结转到本年按原规定用途继续使用的资金，或项目已完成等产生的结余资金。</w:t>
      </w:r>
    </w:p>
    <w:p w14:paraId="1DE236D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（五）一般公共服务支出（类）统计信息事务（款）行政运行（项）：指国家统计局吉林调查总队本级及下属市县级调查队用于保障机构正常运行、开展日常工作的基本支出。</w:t>
      </w:r>
    </w:p>
    <w:p w14:paraId="4D56FA8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（六）一般公共服务支出（类）统计信息事务（款）一般行政管理事务（项）：指国家统计局吉林调查总队本级及下属市县级调查队开展统计工作等未单独设置项级科目的其他项目支出</w:t>
      </w:r>
      <w:r>
        <w:rPr>
          <w:rFonts w:hint="eastAsia" w:ascii="仿宋_GB2312" w:hAnsi="仿宋_GB2312" w:eastAsia="仿宋_GB2312" w:cs="仿宋_GB2312"/>
          <w:color w:val="000000"/>
          <w:sz w:val="32"/>
          <w:szCs w:val="32"/>
          <w:lang w:eastAsia="zh-CN"/>
        </w:rPr>
        <w:t>。</w:t>
      </w:r>
    </w:p>
    <w:p w14:paraId="69E48DF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（七）一般公共服务支出（类）统计信息事务（款）专项统计业务（项）：指国家统计局吉林调查总队本级及下属市县级调查队在日常业务之外开展专项统计工作的支出。</w:t>
      </w:r>
    </w:p>
    <w:p w14:paraId="2DB51A5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（八）一般公共服务支出（类）统计信息事务（款）统计管理（项）：指国家统计局吉林调查总队本级及下属市县级调查队统计信息化建设等方面的支出。</w:t>
      </w:r>
    </w:p>
    <w:p w14:paraId="18E57F4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（九）</w:t>
      </w:r>
      <w:r>
        <w:rPr>
          <w:rFonts w:hint="eastAsia" w:ascii="仿宋_GB2312" w:hAnsi="仿宋_GB2312" w:eastAsia="仿宋_GB2312" w:cs="仿宋_GB2312"/>
          <w:color w:val="000000"/>
          <w:sz w:val="32"/>
          <w:szCs w:val="32"/>
          <w:lang w:eastAsia="zh-CN"/>
        </w:rPr>
        <w:t>一般公共服务支出</w:t>
      </w:r>
      <w:r>
        <w:rPr>
          <w:rFonts w:hint="eastAsia" w:ascii="仿宋_GB2312" w:hAnsi="仿宋_GB2312" w:eastAsia="仿宋_GB2312" w:cs="仿宋_GB2312"/>
          <w:color w:val="000000"/>
          <w:sz w:val="32"/>
          <w:szCs w:val="32"/>
        </w:rPr>
        <w:t>（类）统计信息事务（款）统计抽样调查（项）：指国家统计局吉林调查总队本级及下属市县级调查队开展各类统计调查工作的支出。</w:t>
      </w:r>
    </w:p>
    <w:p w14:paraId="259343D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（十）卫生健康支出（类）行政事业单位医疗（款）行政单位医疗（项）：指中央财政安排的国家统计局吉林调查总队本级及下属市县级调查队基本医疗保险缴费经费。</w:t>
      </w:r>
    </w:p>
    <w:p w14:paraId="3AB7915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w:t>
      </w:r>
      <w:r>
        <w:rPr>
          <w:rFonts w:hint="eastAsia" w:ascii="仿宋_GB2312" w:hAnsi="仿宋_GB2312" w:eastAsia="仿宋_GB2312" w:cs="仿宋_GB2312"/>
          <w:color w:val="000000"/>
          <w:sz w:val="32"/>
          <w:szCs w:val="32"/>
          <w:lang w:eastAsia="zh-CN"/>
        </w:rPr>
        <w:t>一</w:t>
      </w:r>
      <w:r>
        <w:rPr>
          <w:rFonts w:hint="eastAsia" w:ascii="仿宋_GB2312" w:hAnsi="仿宋_GB2312" w:eastAsia="仿宋_GB2312" w:cs="仿宋_GB2312"/>
          <w:color w:val="000000"/>
          <w:sz w:val="32"/>
          <w:szCs w:val="32"/>
        </w:rPr>
        <w:t>）卫生健康支出（类）行政事业单位医疗（款）</w:t>
      </w:r>
      <w:r>
        <w:rPr>
          <w:rFonts w:hint="eastAsia" w:ascii="仿宋_GB2312" w:hAnsi="仿宋_GB2312" w:eastAsia="仿宋_GB2312" w:cs="仿宋_GB2312"/>
          <w:color w:val="000000"/>
          <w:sz w:val="32"/>
          <w:szCs w:val="32"/>
          <w:lang w:eastAsia="zh-CN"/>
        </w:rPr>
        <w:t>其他</w:t>
      </w:r>
      <w:r>
        <w:rPr>
          <w:rFonts w:hint="eastAsia" w:ascii="仿宋_GB2312" w:hAnsi="仿宋_GB2312" w:eastAsia="仿宋_GB2312" w:cs="仿宋_GB2312"/>
          <w:color w:val="000000"/>
          <w:sz w:val="32"/>
          <w:szCs w:val="32"/>
        </w:rPr>
        <w:t>行政</w:t>
      </w:r>
      <w:r>
        <w:rPr>
          <w:rFonts w:hint="eastAsia" w:ascii="仿宋_GB2312" w:hAnsi="仿宋_GB2312" w:eastAsia="仿宋_GB2312" w:cs="仿宋_GB2312"/>
          <w:color w:val="000000"/>
          <w:sz w:val="32"/>
          <w:szCs w:val="32"/>
          <w:lang w:eastAsia="zh-CN"/>
        </w:rPr>
        <w:t>事业</w:t>
      </w:r>
      <w:r>
        <w:rPr>
          <w:rFonts w:hint="eastAsia" w:ascii="仿宋_GB2312" w:hAnsi="仿宋_GB2312" w:eastAsia="仿宋_GB2312" w:cs="仿宋_GB2312"/>
          <w:color w:val="000000"/>
          <w:sz w:val="32"/>
          <w:szCs w:val="32"/>
        </w:rPr>
        <w:t>单位医疗</w:t>
      </w:r>
      <w:r>
        <w:rPr>
          <w:rFonts w:hint="eastAsia" w:ascii="仿宋_GB2312" w:hAnsi="仿宋_GB2312" w:eastAsia="仿宋_GB2312" w:cs="仿宋_GB2312"/>
          <w:color w:val="000000"/>
          <w:sz w:val="32"/>
          <w:szCs w:val="32"/>
          <w:lang w:eastAsia="zh-CN"/>
        </w:rPr>
        <w:t>支出</w:t>
      </w:r>
      <w:r>
        <w:rPr>
          <w:rFonts w:hint="eastAsia" w:ascii="仿宋_GB2312" w:hAnsi="仿宋_GB2312" w:eastAsia="仿宋_GB2312" w:cs="仿宋_GB2312"/>
          <w:color w:val="000000"/>
          <w:sz w:val="32"/>
          <w:szCs w:val="32"/>
        </w:rPr>
        <w:t>（项）：指中央财政安排的国家统计局吉林调查总队本级及下属市县级调查队基本医疗保险缴费</w:t>
      </w:r>
      <w:r>
        <w:rPr>
          <w:rFonts w:hint="eastAsia" w:ascii="仿宋_GB2312" w:hAnsi="仿宋_GB2312" w:eastAsia="仿宋_GB2312" w:cs="仿宋_GB2312"/>
          <w:color w:val="000000"/>
          <w:sz w:val="32"/>
          <w:szCs w:val="32"/>
          <w:lang w:eastAsia="zh-CN"/>
        </w:rPr>
        <w:t>以外的其他用于行政事业单位医疗方面的支出，如工伤保险</w:t>
      </w:r>
      <w:r>
        <w:rPr>
          <w:rFonts w:hint="eastAsia" w:ascii="仿宋_GB2312" w:hAnsi="仿宋_GB2312" w:eastAsia="仿宋_GB2312" w:cs="仿宋_GB2312"/>
          <w:color w:val="000000"/>
          <w:sz w:val="32"/>
          <w:szCs w:val="32"/>
        </w:rPr>
        <w:t>。</w:t>
      </w:r>
    </w:p>
    <w:p w14:paraId="233737B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（十</w:t>
      </w:r>
      <w:r>
        <w:rPr>
          <w:rFonts w:hint="eastAsia" w:ascii="仿宋_GB2312" w:hAnsi="仿宋_GB2312" w:eastAsia="仿宋_GB2312" w:cs="仿宋_GB2312"/>
          <w:color w:val="000000"/>
          <w:sz w:val="32"/>
          <w:szCs w:val="32"/>
          <w:lang w:eastAsia="zh-CN"/>
        </w:rPr>
        <w:t>二</w:t>
      </w:r>
      <w:r>
        <w:rPr>
          <w:rFonts w:hint="eastAsia" w:ascii="仿宋_GB2312" w:hAnsi="仿宋_GB2312" w:eastAsia="仿宋_GB2312" w:cs="仿宋_GB2312"/>
          <w:color w:val="000000"/>
          <w:sz w:val="32"/>
          <w:szCs w:val="32"/>
        </w:rPr>
        <w:t>）住房保障支出（类）住房改革支出（款）住房公积金（项）：指国家统计局吉林调查总队本级及下属市县级调查队按人力资源和社会保障部、财政部规定的基本工资和津贴补贴以及规定比例为职工缴纳的住房公积金</w:t>
      </w:r>
      <w:r>
        <w:rPr>
          <w:rFonts w:hint="eastAsia" w:ascii="仿宋_GB2312" w:hAnsi="仿宋_GB2312" w:eastAsia="仿宋_GB2312" w:cs="仿宋_GB2312"/>
          <w:color w:val="000000"/>
          <w:sz w:val="32"/>
          <w:szCs w:val="32"/>
          <w:lang w:eastAsia="zh-CN"/>
        </w:rPr>
        <w:t>。</w:t>
      </w:r>
    </w:p>
    <w:p w14:paraId="6B9F162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w:t>
      </w:r>
      <w:r>
        <w:rPr>
          <w:rFonts w:hint="eastAsia" w:ascii="仿宋_GB2312" w:hAnsi="仿宋_GB2312" w:eastAsia="仿宋_GB2312" w:cs="仿宋_GB2312"/>
          <w:color w:val="000000"/>
          <w:sz w:val="32"/>
          <w:szCs w:val="32"/>
          <w:lang w:eastAsia="zh-CN"/>
        </w:rPr>
        <w:t>三</w:t>
      </w:r>
      <w:r>
        <w:rPr>
          <w:rFonts w:hint="eastAsia" w:ascii="仿宋_GB2312" w:hAnsi="仿宋_GB2312" w:eastAsia="仿宋_GB2312" w:cs="仿宋_GB2312"/>
          <w:color w:val="000000"/>
          <w:sz w:val="32"/>
          <w:szCs w:val="32"/>
        </w:rPr>
        <w:t>）住房保障支出（类）住房改革支出（款）购房补贴（项）：指按房改政策规定，国家统计局吉林调查总队本级及下属市县级调查队向符合条件职工（含离退休人员）发放的用于购买住房的补贴。</w:t>
      </w:r>
    </w:p>
    <w:p w14:paraId="657E4C4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w:t>
      </w:r>
      <w:r>
        <w:rPr>
          <w:rFonts w:hint="eastAsia" w:ascii="仿宋_GB2312" w:hAnsi="仿宋_GB2312" w:eastAsia="仿宋_GB2312" w:cs="仿宋_GB2312"/>
          <w:color w:val="000000"/>
          <w:sz w:val="32"/>
          <w:szCs w:val="32"/>
          <w:lang w:eastAsia="zh-CN"/>
        </w:rPr>
        <w:t>四</w:t>
      </w:r>
      <w:r>
        <w:rPr>
          <w:rFonts w:hint="eastAsia" w:ascii="仿宋_GB2312" w:hAnsi="仿宋_GB2312" w:eastAsia="仿宋_GB2312" w:cs="仿宋_GB2312"/>
          <w:color w:val="000000"/>
          <w:sz w:val="32"/>
          <w:szCs w:val="32"/>
        </w:rPr>
        <w:t>）年末结转和结余：指国家统计局吉林调查总队本级及下属市县级调查队按有关规定结转到下年或以后年度继续使用的资金，或项目已完成等产生的结余资金。</w:t>
      </w:r>
    </w:p>
    <w:p w14:paraId="52B5508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w:t>
      </w:r>
      <w:r>
        <w:rPr>
          <w:rFonts w:hint="eastAsia" w:ascii="仿宋_GB2312" w:hAnsi="仿宋_GB2312" w:eastAsia="仿宋_GB2312" w:cs="仿宋_GB2312"/>
          <w:color w:val="000000"/>
          <w:sz w:val="32"/>
          <w:szCs w:val="32"/>
          <w:lang w:eastAsia="zh-CN"/>
        </w:rPr>
        <w:t>五</w:t>
      </w:r>
      <w:r>
        <w:rPr>
          <w:rFonts w:hint="eastAsia" w:ascii="仿宋_GB2312" w:hAnsi="仿宋_GB2312" w:eastAsia="仿宋_GB2312" w:cs="仿宋_GB2312"/>
          <w:color w:val="000000"/>
          <w:sz w:val="32"/>
          <w:szCs w:val="32"/>
        </w:rPr>
        <w:t>）基本支出：指国家统计局吉林调查总队本级及下属市县级调查队为保障机构正常运转，完成日常工作任务而发生的人员支出和公用支出。</w:t>
      </w:r>
    </w:p>
    <w:p w14:paraId="25EC24A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w:t>
      </w:r>
      <w:r>
        <w:rPr>
          <w:rFonts w:hint="eastAsia" w:ascii="仿宋_GB2312" w:hAnsi="仿宋_GB2312" w:eastAsia="仿宋_GB2312" w:cs="仿宋_GB2312"/>
          <w:color w:val="000000"/>
          <w:sz w:val="32"/>
          <w:szCs w:val="32"/>
          <w:lang w:eastAsia="zh-CN"/>
        </w:rPr>
        <w:t>六</w:t>
      </w:r>
      <w:r>
        <w:rPr>
          <w:rFonts w:hint="eastAsia" w:ascii="仿宋_GB2312" w:hAnsi="仿宋_GB2312" w:eastAsia="仿宋_GB2312" w:cs="仿宋_GB2312"/>
          <w:color w:val="000000"/>
          <w:sz w:val="32"/>
          <w:szCs w:val="32"/>
        </w:rPr>
        <w:t>）项目支出：指国家统计局吉林调查总队本级及下属市县级调查队在基本支出之外为完成特定行政任务和事业发展目标所发生的支出。</w:t>
      </w:r>
    </w:p>
    <w:p w14:paraId="7EBEEC1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w:t>
      </w:r>
      <w:r>
        <w:rPr>
          <w:rFonts w:hint="eastAsia" w:ascii="仿宋_GB2312" w:hAnsi="仿宋_GB2312" w:eastAsia="仿宋_GB2312" w:cs="仿宋_GB2312"/>
          <w:color w:val="000000"/>
          <w:sz w:val="32"/>
          <w:szCs w:val="32"/>
          <w:lang w:eastAsia="zh-CN"/>
        </w:rPr>
        <w:t>七</w:t>
      </w:r>
      <w:r>
        <w:rPr>
          <w:rFonts w:hint="eastAsia" w:ascii="仿宋_GB2312" w:hAnsi="仿宋_GB2312" w:eastAsia="仿宋_GB2312" w:cs="仿宋_GB2312"/>
          <w:color w:val="000000"/>
          <w:sz w:val="32"/>
          <w:szCs w:val="32"/>
        </w:rPr>
        <w:t>）“三公”经费：纳入中央财政预决算管理的“三公”经费，是指国家统计局吉林调查总队本级及下属市县级调查队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燃料费、维修费、过路过桥费、保险费、安全奖励费用等支出；公务接待费反映单位按规定开支的各类公务接待（含外宾接待）支出。</w:t>
      </w:r>
    </w:p>
    <w:p w14:paraId="4DF3F54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w:t>
      </w:r>
      <w:r>
        <w:rPr>
          <w:rFonts w:hint="eastAsia" w:ascii="仿宋_GB2312" w:hAnsi="仿宋_GB2312" w:eastAsia="仿宋_GB2312" w:cs="仿宋_GB2312"/>
          <w:color w:val="000000"/>
          <w:sz w:val="32"/>
          <w:szCs w:val="32"/>
          <w:lang w:eastAsia="zh-CN"/>
        </w:rPr>
        <w:t>八</w:t>
      </w:r>
      <w:r>
        <w:rPr>
          <w:rFonts w:hint="eastAsia" w:ascii="仿宋_GB2312" w:hAnsi="仿宋_GB2312" w:eastAsia="仿宋_GB2312" w:cs="仿宋_GB2312"/>
          <w:color w:val="000000"/>
          <w:sz w:val="32"/>
          <w:szCs w:val="32"/>
        </w:rPr>
        <w:t>）机关运行经费：指为保障国家统计局吉林调查总队本级及下属市县级调查队运行</w:t>
      </w:r>
      <w:bookmarkStart w:id="24" w:name="_GoBack"/>
      <w:r>
        <w:rPr>
          <w:rFonts w:hint="eastAsia" w:ascii="仿宋_GB2312" w:hAnsi="仿宋_GB2312" w:eastAsia="仿宋_GB2312" w:cs="仿宋_GB2312"/>
          <w:color w:val="000000"/>
          <w:sz w:val="32"/>
          <w:szCs w:val="32"/>
        </w:rPr>
        <w:t>用于</w:t>
      </w:r>
      <w:bookmarkEnd w:id="24"/>
      <w:r>
        <w:rPr>
          <w:rFonts w:hint="eastAsia" w:ascii="仿宋_GB2312" w:hAnsi="仿宋_GB2312" w:eastAsia="仿宋_GB2312" w:cs="仿宋_GB2312"/>
          <w:color w:val="000000"/>
          <w:sz w:val="32"/>
          <w:szCs w:val="32"/>
        </w:rPr>
        <w:t>购买货物和服务的各项资金，包括办公及印刷费、邮电费、差旅费、会议费、福利费、日常维修费、专用材料及一般设备购置费、办公用房水电费、办公用房取暖费、办公用房物业管理费、公务用车运行维护费以及其他费用。</w:t>
      </w:r>
    </w:p>
    <w:sectPr>
      <w:pgSz w:w="11906" w:h="16838"/>
      <w:pgMar w:top="1440" w:right="1797" w:bottom="1440" w:left="179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728DA75-CBEF-4A5B-B349-45FE657A8040}"/>
  </w:font>
  <w:font w:name="黑体">
    <w:panose1 w:val="02010609060101010101"/>
    <w:charset w:val="86"/>
    <w:family w:val="auto"/>
    <w:pitch w:val="default"/>
    <w:sig w:usb0="800002BF" w:usb1="38CF7CFA" w:usb2="00000016" w:usb3="00000000" w:csb0="00040001" w:csb1="00000000"/>
    <w:embedRegular r:id="rId2" w:fontKey="{0B146AAA-76B3-4422-82AA-CE94F4BD893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3" w:fontKey="{FF10F0D2-D597-4403-A30F-3C83B6D3D43F}"/>
  </w:font>
  <w:font w:name="仿宋">
    <w:panose1 w:val="02010609060101010101"/>
    <w:charset w:val="86"/>
    <w:family w:val="modern"/>
    <w:pitch w:val="default"/>
    <w:sig w:usb0="800002BF" w:usb1="38CF7CFA" w:usb2="00000016" w:usb3="00000000" w:csb0="00040001" w:csb1="00000000"/>
    <w:embedRegular r:id="rId4" w:fontKey="{66E6D8FF-1476-4A51-BAFD-605509A49AB7}"/>
  </w:font>
  <w:font w:name="方正小标宋_GBK">
    <w:panose1 w:val="02000000000000000000"/>
    <w:charset w:val="86"/>
    <w:family w:val="script"/>
    <w:pitch w:val="default"/>
    <w:sig w:usb0="A00002BF" w:usb1="38CF7CFA" w:usb2="00082016" w:usb3="00000000" w:csb0="00040001" w:csb1="00000000"/>
    <w:embedRegular r:id="rId5" w:fontKey="{5838C258-5A30-4263-8C58-195455041E85}"/>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6" w:fontKey="{ABF4F073-AFF5-4D43-9AD4-9DA93469516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AC430">
    <w:pPr>
      <w:pStyle w:val="7"/>
      <w:framePr w:wrap="around" w:vAnchor="text" w:hAnchor="margin" w:xAlign="center" w:y="1"/>
      <w:rPr>
        <w:rStyle w:val="15"/>
      </w:rPr>
    </w:pPr>
    <w:r>
      <w:rPr>
        <w:rStyle w:val="15"/>
      </w:rPr>
      <w:fldChar w:fldCharType="begin"/>
    </w:r>
    <w:r>
      <w:rPr>
        <w:rStyle w:val="15"/>
      </w:rPr>
      <w:instrText xml:space="preserve">PAGE  </w:instrText>
    </w:r>
    <w:r>
      <w:rPr>
        <w:rStyle w:val="15"/>
      </w:rPr>
      <w:fldChar w:fldCharType="separate"/>
    </w:r>
    <w:r>
      <w:rPr>
        <w:rStyle w:val="15"/>
      </w:rPr>
      <w:t>- 1 -</w:t>
    </w:r>
    <w:r>
      <w:rPr>
        <w:rStyle w:val="15"/>
      </w:rPr>
      <w:fldChar w:fldCharType="end"/>
    </w:r>
  </w:p>
  <w:p w14:paraId="0FF90689">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jNmNmFkMTIzNmNjYjM5ODY4YjMxNzNlZWQ5MTBhNmMifQ=="/>
  </w:docVars>
  <w:rsids>
    <w:rsidRoot w:val="00896BE9"/>
    <w:rsid w:val="0001342D"/>
    <w:rsid w:val="000A4F9D"/>
    <w:rsid w:val="000B412B"/>
    <w:rsid w:val="000C325C"/>
    <w:rsid w:val="0010554E"/>
    <w:rsid w:val="001D7B5E"/>
    <w:rsid w:val="00284DC0"/>
    <w:rsid w:val="0029045A"/>
    <w:rsid w:val="002B3A0B"/>
    <w:rsid w:val="002E4B28"/>
    <w:rsid w:val="00311ABE"/>
    <w:rsid w:val="00385A58"/>
    <w:rsid w:val="003D33D7"/>
    <w:rsid w:val="004A7D53"/>
    <w:rsid w:val="004D7A51"/>
    <w:rsid w:val="00534C77"/>
    <w:rsid w:val="005451D5"/>
    <w:rsid w:val="00555748"/>
    <w:rsid w:val="005723D5"/>
    <w:rsid w:val="0059349C"/>
    <w:rsid w:val="00596FFE"/>
    <w:rsid w:val="005E67B3"/>
    <w:rsid w:val="005E7C2C"/>
    <w:rsid w:val="00602096"/>
    <w:rsid w:val="00622AC7"/>
    <w:rsid w:val="00624657"/>
    <w:rsid w:val="006408E9"/>
    <w:rsid w:val="0064307D"/>
    <w:rsid w:val="006522B1"/>
    <w:rsid w:val="00661ECD"/>
    <w:rsid w:val="00665A8A"/>
    <w:rsid w:val="006D184A"/>
    <w:rsid w:val="006F5952"/>
    <w:rsid w:val="00725EBF"/>
    <w:rsid w:val="00732D1F"/>
    <w:rsid w:val="00735816"/>
    <w:rsid w:val="0079080F"/>
    <w:rsid w:val="00792782"/>
    <w:rsid w:val="00792996"/>
    <w:rsid w:val="0079509C"/>
    <w:rsid w:val="007D7A4E"/>
    <w:rsid w:val="007E0DB8"/>
    <w:rsid w:val="00805765"/>
    <w:rsid w:val="008313F1"/>
    <w:rsid w:val="00896BE9"/>
    <w:rsid w:val="009559AA"/>
    <w:rsid w:val="009638E0"/>
    <w:rsid w:val="0096581C"/>
    <w:rsid w:val="009765C7"/>
    <w:rsid w:val="009C0C4D"/>
    <w:rsid w:val="009D5AEC"/>
    <w:rsid w:val="00A051F8"/>
    <w:rsid w:val="00A242CF"/>
    <w:rsid w:val="00A274AD"/>
    <w:rsid w:val="00A63ECA"/>
    <w:rsid w:val="00A70580"/>
    <w:rsid w:val="00AA15D9"/>
    <w:rsid w:val="00AB1782"/>
    <w:rsid w:val="00AC3082"/>
    <w:rsid w:val="00B05034"/>
    <w:rsid w:val="00B663D4"/>
    <w:rsid w:val="00BB6CF7"/>
    <w:rsid w:val="00BD0061"/>
    <w:rsid w:val="00BE59A0"/>
    <w:rsid w:val="00C00A20"/>
    <w:rsid w:val="00C04F2E"/>
    <w:rsid w:val="00C54ABD"/>
    <w:rsid w:val="00C55C9C"/>
    <w:rsid w:val="00CF3A55"/>
    <w:rsid w:val="00D1150C"/>
    <w:rsid w:val="00D42A34"/>
    <w:rsid w:val="00DA61DD"/>
    <w:rsid w:val="00E179FA"/>
    <w:rsid w:val="00E7737D"/>
    <w:rsid w:val="00E77A50"/>
    <w:rsid w:val="00E82B7B"/>
    <w:rsid w:val="00F215F1"/>
    <w:rsid w:val="00F37383"/>
    <w:rsid w:val="00F52393"/>
    <w:rsid w:val="00FF27BB"/>
    <w:rsid w:val="00FF5F86"/>
    <w:rsid w:val="02501818"/>
    <w:rsid w:val="0299097E"/>
    <w:rsid w:val="02AC438D"/>
    <w:rsid w:val="02BFAEA8"/>
    <w:rsid w:val="03187618"/>
    <w:rsid w:val="034B59C7"/>
    <w:rsid w:val="04294F27"/>
    <w:rsid w:val="045069D8"/>
    <w:rsid w:val="04FA0D03"/>
    <w:rsid w:val="05391DFF"/>
    <w:rsid w:val="071E4D7A"/>
    <w:rsid w:val="07FD1FF2"/>
    <w:rsid w:val="0A0A44B4"/>
    <w:rsid w:val="0B6A3567"/>
    <w:rsid w:val="0BB77D45"/>
    <w:rsid w:val="0D805853"/>
    <w:rsid w:val="0D9E6986"/>
    <w:rsid w:val="0E3D381E"/>
    <w:rsid w:val="0EF27678"/>
    <w:rsid w:val="101D0F6F"/>
    <w:rsid w:val="106A1193"/>
    <w:rsid w:val="11BD15A9"/>
    <w:rsid w:val="11D16180"/>
    <w:rsid w:val="11E22D1E"/>
    <w:rsid w:val="13260B66"/>
    <w:rsid w:val="13D177D6"/>
    <w:rsid w:val="15086875"/>
    <w:rsid w:val="15EC4385"/>
    <w:rsid w:val="161D2E83"/>
    <w:rsid w:val="16513FAA"/>
    <w:rsid w:val="17DA06DE"/>
    <w:rsid w:val="17FC4A10"/>
    <w:rsid w:val="18BC0C83"/>
    <w:rsid w:val="19BC3EC0"/>
    <w:rsid w:val="19EE6688"/>
    <w:rsid w:val="1A8E33E8"/>
    <w:rsid w:val="1D7F0EDD"/>
    <w:rsid w:val="1DF526FC"/>
    <w:rsid w:val="1DFA67A6"/>
    <w:rsid w:val="1FDE1936"/>
    <w:rsid w:val="1FF64F05"/>
    <w:rsid w:val="200A47F3"/>
    <w:rsid w:val="21B87493"/>
    <w:rsid w:val="223905D4"/>
    <w:rsid w:val="23195566"/>
    <w:rsid w:val="2344437B"/>
    <w:rsid w:val="25417CC8"/>
    <w:rsid w:val="25AE0DB5"/>
    <w:rsid w:val="26912525"/>
    <w:rsid w:val="26B61B71"/>
    <w:rsid w:val="27174237"/>
    <w:rsid w:val="27FF686C"/>
    <w:rsid w:val="289E73E3"/>
    <w:rsid w:val="28EF01E4"/>
    <w:rsid w:val="297F225C"/>
    <w:rsid w:val="2B9D0829"/>
    <w:rsid w:val="2BAC66B6"/>
    <w:rsid w:val="2C5F7215"/>
    <w:rsid w:val="2C8D13A8"/>
    <w:rsid w:val="2CFEDE19"/>
    <w:rsid w:val="2D8B5A99"/>
    <w:rsid w:val="2DBF1BC2"/>
    <w:rsid w:val="2E5F5FF7"/>
    <w:rsid w:val="2EE538D4"/>
    <w:rsid w:val="2FABEC11"/>
    <w:rsid w:val="2FED4619"/>
    <w:rsid w:val="306109D1"/>
    <w:rsid w:val="3156139A"/>
    <w:rsid w:val="31852EB7"/>
    <w:rsid w:val="345E3ECA"/>
    <w:rsid w:val="34864F4E"/>
    <w:rsid w:val="34CF080C"/>
    <w:rsid w:val="34E750D8"/>
    <w:rsid w:val="34EA50DF"/>
    <w:rsid w:val="35105486"/>
    <w:rsid w:val="367339A3"/>
    <w:rsid w:val="3684534D"/>
    <w:rsid w:val="38D44AE9"/>
    <w:rsid w:val="390F4B99"/>
    <w:rsid w:val="39B44AC0"/>
    <w:rsid w:val="39FA31E2"/>
    <w:rsid w:val="3A1D4AF7"/>
    <w:rsid w:val="3ACFC4FD"/>
    <w:rsid w:val="3B887253"/>
    <w:rsid w:val="3B8F36AC"/>
    <w:rsid w:val="3BB74383"/>
    <w:rsid w:val="3BEF54A3"/>
    <w:rsid w:val="3BF365CE"/>
    <w:rsid w:val="3C390F7B"/>
    <w:rsid w:val="3CB11391"/>
    <w:rsid w:val="3CBF292D"/>
    <w:rsid w:val="3D270CD0"/>
    <w:rsid w:val="3D2FE554"/>
    <w:rsid w:val="3D6940D8"/>
    <w:rsid w:val="3DFC39A9"/>
    <w:rsid w:val="3E7F5511"/>
    <w:rsid w:val="3EA3DC0A"/>
    <w:rsid w:val="3EB66644"/>
    <w:rsid w:val="3ECE985A"/>
    <w:rsid w:val="3EEF361F"/>
    <w:rsid w:val="3EFBC1F5"/>
    <w:rsid w:val="3F3F1C68"/>
    <w:rsid w:val="3F5781C2"/>
    <w:rsid w:val="3FCCE82B"/>
    <w:rsid w:val="3FFF440E"/>
    <w:rsid w:val="41105E87"/>
    <w:rsid w:val="41571FCE"/>
    <w:rsid w:val="41766BDF"/>
    <w:rsid w:val="417F1243"/>
    <w:rsid w:val="423B3A9C"/>
    <w:rsid w:val="43CB6C0B"/>
    <w:rsid w:val="43F069E8"/>
    <w:rsid w:val="452A2A49"/>
    <w:rsid w:val="457B116D"/>
    <w:rsid w:val="46AFC723"/>
    <w:rsid w:val="46B61944"/>
    <w:rsid w:val="46FC6592"/>
    <w:rsid w:val="4989182E"/>
    <w:rsid w:val="4ADF76BB"/>
    <w:rsid w:val="4B2B4BFE"/>
    <w:rsid w:val="4BAA45B3"/>
    <w:rsid w:val="4C755488"/>
    <w:rsid w:val="4D3246AE"/>
    <w:rsid w:val="4DAB1AD6"/>
    <w:rsid w:val="4DFB4507"/>
    <w:rsid w:val="4E5C6826"/>
    <w:rsid w:val="4F206779"/>
    <w:rsid w:val="4F4A69F8"/>
    <w:rsid w:val="4F9FF252"/>
    <w:rsid w:val="4FEB1816"/>
    <w:rsid w:val="4FF64900"/>
    <w:rsid w:val="50272313"/>
    <w:rsid w:val="50C61EC0"/>
    <w:rsid w:val="50FF45F2"/>
    <w:rsid w:val="51E606CA"/>
    <w:rsid w:val="530A63E2"/>
    <w:rsid w:val="538D2C45"/>
    <w:rsid w:val="541100C3"/>
    <w:rsid w:val="5757079D"/>
    <w:rsid w:val="57D60F28"/>
    <w:rsid w:val="57E14E73"/>
    <w:rsid w:val="57E40388"/>
    <w:rsid w:val="57E7B029"/>
    <w:rsid w:val="58C21C59"/>
    <w:rsid w:val="592F7A5F"/>
    <w:rsid w:val="598053E2"/>
    <w:rsid w:val="59FBB9A2"/>
    <w:rsid w:val="5BAF5DCB"/>
    <w:rsid w:val="5BB17089"/>
    <w:rsid w:val="5D6F78CC"/>
    <w:rsid w:val="5DEF818D"/>
    <w:rsid w:val="5DFE0F52"/>
    <w:rsid w:val="5E292861"/>
    <w:rsid w:val="5E3F55DA"/>
    <w:rsid w:val="5EDDEC32"/>
    <w:rsid w:val="5F67DB70"/>
    <w:rsid w:val="5FB74D77"/>
    <w:rsid w:val="5FBF0699"/>
    <w:rsid w:val="5FF34098"/>
    <w:rsid w:val="5FF63E5E"/>
    <w:rsid w:val="5FFF1DAE"/>
    <w:rsid w:val="5FFF30DE"/>
    <w:rsid w:val="5FFF3807"/>
    <w:rsid w:val="5FFFD1D7"/>
    <w:rsid w:val="5FFFEBFB"/>
    <w:rsid w:val="60622172"/>
    <w:rsid w:val="60A54CF3"/>
    <w:rsid w:val="61333E65"/>
    <w:rsid w:val="622F6189"/>
    <w:rsid w:val="629F6CC6"/>
    <w:rsid w:val="637E48B3"/>
    <w:rsid w:val="63B239AD"/>
    <w:rsid w:val="643E11FF"/>
    <w:rsid w:val="65376C9C"/>
    <w:rsid w:val="65BE93F5"/>
    <w:rsid w:val="65D75B95"/>
    <w:rsid w:val="65F0668F"/>
    <w:rsid w:val="661A5323"/>
    <w:rsid w:val="66EFDD5F"/>
    <w:rsid w:val="66FFD9EF"/>
    <w:rsid w:val="67706096"/>
    <w:rsid w:val="67CEA95C"/>
    <w:rsid w:val="67E989E4"/>
    <w:rsid w:val="6850354E"/>
    <w:rsid w:val="69FBA1D0"/>
    <w:rsid w:val="69FF8E74"/>
    <w:rsid w:val="6A0134DA"/>
    <w:rsid w:val="6A9E720C"/>
    <w:rsid w:val="6AFC70A7"/>
    <w:rsid w:val="6BA2108B"/>
    <w:rsid w:val="6BB7DA29"/>
    <w:rsid w:val="6D1EAA4E"/>
    <w:rsid w:val="6D6F2D71"/>
    <w:rsid w:val="6D9E55AB"/>
    <w:rsid w:val="6DB7433C"/>
    <w:rsid w:val="6E44583A"/>
    <w:rsid w:val="6EA66165"/>
    <w:rsid w:val="6EDBCE9E"/>
    <w:rsid w:val="6EFFB307"/>
    <w:rsid w:val="6F47DC45"/>
    <w:rsid w:val="6F70354D"/>
    <w:rsid w:val="6F7EE509"/>
    <w:rsid w:val="6FADF2D5"/>
    <w:rsid w:val="6FBDEEA1"/>
    <w:rsid w:val="6FD600ED"/>
    <w:rsid w:val="6FFD447F"/>
    <w:rsid w:val="6FFDB80C"/>
    <w:rsid w:val="6FFFC4AD"/>
    <w:rsid w:val="705F7193"/>
    <w:rsid w:val="71046ED9"/>
    <w:rsid w:val="718C2814"/>
    <w:rsid w:val="72B94609"/>
    <w:rsid w:val="73290272"/>
    <w:rsid w:val="733562FE"/>
    <w:rsid w:val="73655F16"/>
    <w:rsid w:val="736649B9"/>
    <w:rsid w:val="73EE5CEB"/>
    <w:rsid w:val="73F925C7"/>
    <w:rsid w:val="73FD6709"/>
    <w:rsid w:val="73FE7C76"/>
    <w:rsid w:val="73FF6E4F"/>
    <w:rsid w:val="73FFC17E"/>
    <w:rsid w:val="74A70BD1"/>
    <w:rsid w:val="754306F3"/>
    <w:rsid w:val="757F78D3"/>
    <w:rsid w:val="759A4F19"/>
    <w:rsid w:val="75F8A2AB"/>
    <w:rsid w:val="765E56C3"/>
    <w:rsid w:val="76EB031A"/>
    <w:rsid w:val="776EFF14"/>
    <w:rsid w:val="779B8E06"/>
    <w:rsid w:val="77B612CE"/>
    <w:rsid w:val="77E01A78"/>
    <w:rsid w:val="77FBB91A"/>
    <w:rsid w:val="78575E14"/>
    <w:rsid w:val="787C1671"/>
    <w:rsid w:val="787E3D56"/>
    <w:rsid w:val="78D23A6F"/>
    <w:rsid w:val="78D99379"/>
    <w:rsid w:val="78E45138"/>
    <w:rsid w:val="78EFCD39"/>
    <w:rsid w:val="795409C4"/>
    <w:rsid w:val="798B4B45"/>
    <w:rsid w:val="79F79BD8"/>
    <w:rsid w:val="79F9899E"/>
    <w:rsid w:val="79FFF8D9"/>
    <w:rsid w:val="7ABD5202"/>
    <w:rsid w:val="7AFBAABB"/>
    <w:rsid w:val="7B724FE6"/>
    <w:rsid w:val="7BF7C200"/>
    <w:rsid w:val="7BFF1A0F"/>
    <w:rsid w:val="7C35DD1F"/>
    <w:rsid w:val="7C783C4B"/>
    <w:rsid w:val="7CC9FBD0"/>
    <w:rsid w:val="7CCA5AC6"/>
    <w:rsid w:val="7CDF5FF1"/>
    <w:rsid w:val="7CF56F89"/>
    <w:rsid w:val="7CFFE463"/>
    <w:rsid w:val="7D2D2F85"/>
    <w:rsid w:val="7D475A8B"/>
    <w:rsid w:val="7D7F5F4E"/>
    <w:rsid w:val="7DEBA1BD"/>
    <w:rsid w:val="7DFF20C0"/>
    <w:rsid w:val="7E1B9CCF"/>
    <w:rsid w:val="7EBF4446"/>
    <w:rsid w:val="7EEF681C"/>
    <w:rsid w:val="7EFE4959"/>
    <w:rsid w:val="7F27DDC8"/>
    <w:rsid w:val="7F550884"/>
    <w:rsid w:val="7F5DBB55"/>
    <w:rsid w:val="7F6FAD63"/>
    <w:rsid w:val="7F7F009E"/>
    <w:rsid w:val="7F8E1130"/>
    <w:rsid w:val="7F963FA8"/>
    <w:rsid w:val="7FBA7798"/>
    <w:rsid w:val="7FBD16F8"/>
    <w:rsid w:val="7FD7D698"/>
    <w:rsid w:val="7FDBC951"/>
    <w:rsid w:val="7FDF3A80"/>
    <w:rsid w:val="7FED0B5B"/>
    <w:rsid w:val="7FEFD96D"/>
    <w:rsid w:val="7FF1A13A"/>
    <w:rsid w:val="7FFD5758"/>
    <w:rsid w:val="7FFE29F7"/>
    <w:rsid w:val="7FFF0E73"/>
    <w:rsid w:val="7FFF4C80"/>
    <w:rsid w:val="7FFF506D"/>
    <w:rsid w:val="7FFFFF45"/>
    <w:rsid w:val="89718CD0"/>
    <w:rsid w:val="917F993C"/>
    <w:rsid w:val="93B8140C"/>
    <w:rsid w:val="96CAF829"/>
    <w:rsid w:val="999F5AF6"/>
    <w:rsid w:val="9BFFAAB2"/>
    <w:rsid w:val="9FAB4F23"/>
    <w:rsid w:val="9FBF4751"/>
    <w:rsid w:val="9FDF5D77"/>
    <w:rsid w:val="9FEFD71D"/>
    <w:rsid w:val="9FF719B7"/>
    <w:rsid w:val="A59D71F1"/>
    <w:rsid w:val="AF39A8CA"/>
    <w:rsid w:val="AFAD1D6F"/>
    <w:rsid w:val="AFB9AAF5"/>
    <w:rsid w:val="B5EF8935"/>
    <w:rsid w:val="B7F69A8D"/>
    <w:rsid w:val="BB5FC578"/>
    <w:rsid w:val="BBFF3120"/>
    <w:rsid w:val="BCD91113"/>
    <w:rsid w:val="BCFEE66E"/>
    <w:rsid w:val="BDFCDE0A"/>
    <w:rsid w:val="BE761855"/>
    <w:rsid w:val="BEBBB165"/>
    <w:rsid w:val="BEFBA945"/>
    <w:rsid w:val="BF5FDF26"/>
    <w:rsid w:val="C37E7B32"/>
    <w:rsid w:val="CBF6E169"/>
    <w:rsid w:val="CEED02F2"/>
    <w:rsid w:val="CF7B987A"/>
    <w:rsid w:val="CFBFCE28"/>
    <w:rsid w:val="CFE9B034"/>
    <w:rsid w:val="D37EBEA8"/>
    <w:rsid w:val="D3EFBE4B"/>
    <w:rsid w:val="D3FDA610"/>
    <w:rsid w:val="D3FF32D6"/>
    <w:rsid w:val="D67D10CB"/>
    <w:rsid w:val="D7EBCBDE"/>
    <w:rsid w:val="D7FD73B4"/>
    <w:rsid w:val="D7FF8C64"/>
    <w:rsid w:val="D9B652D5"/>
    <w:rsid w:val="D9BFB6D5"/>
    <w:rsid w:val="DBAD5E27"/>
    <w:rsid w:val="DBEFFD0D"/>
    <w:rsid w:val="DD377E20"/>
    <w:rsid w:val="DDDF3B78"/>
    <w:rsid w:val="DEDF16AE"/>
    <w:rsid w:val="DF8D44DF"/>
    <w:rsid w:val="DF9D93A4"/>
    <w:rsid w:val="DFE91611"/>
    <w:rsid w:val="DFEF0A51"/>
    <w:rsid w:val="DFFE3D1A"/>
    <w:rsid w:val="E1F8973C"/>
    <w:rsid w:val="E2F5FD21"/>
    <w:rsid w:val="E5F1D2D9"/>
    <w:rsid w:val="E9FF16B7"/>
    <w:rsid w:val="EB7E7CEA"/>
    <w:rsid w:val="EBFB0C94"/>
    <w:rsid w:val="EBFC4EA3"/>
    <w:rsid w:val="EBFD14EE"/>
    <w:rsid w:val="EC1D1320"/>
    <w:rsid w:val="ECDC3FB1"/>
    <w:rsid w:val="ED9FAF81"/>
    <w:rsid w:val="EDCD12F6"/>
    <w:rsid w:val="EDDED5DA"/>
    <w:rsid w:val="EE7E1261"/>
    <w:rsid w:val="EEC7EEE6"/>
    <w:rsid w:val="EEFF7E2C"/>
    <w:rsid w:val="EF0E0EA3"/>
    <w:rsid w:val="EF394222"/>
    <w:rsid w:val="EFAB6CC3"/>
    <w:rsid w:val="EFEABD52"/>
    <w:rsid w:val="EFEE879B"/>
    <w:rsid w:val="EFFFCF7E"/>
    <w:rsid w:val="EFFFD0C2"/>
    <w:rsid w:val="F0FF8767"/>
    <w:rsid w:val="F3D7B9B1"/>
    <w:rsid w:val="F3D9FC8F"/>
    <w:rsid w:val="F3F93C93"/>
    <w:rsid w:val="F3FF4731"/>
    <w:rsid w:val="F53F685E"/>
    <w:rsid w:val="F5E3E203"/>
    <w:rsid w:val="F5F586BA"/>
    <w:rsid w:val="F6FB5875"/>
    <w:rsid w:val="F7DB4304"/>
    <w:rsid w:val="F7DE0168"/>
    <w:rsid w:val="F7F3AAA3"/>
    <w:rsid w:val="F7F6ACA7"/>
    <w:rsid w:val="F7FC4542"/>
    <w:rsid w:val="F7FF927F"/>
    <w:rsid w:val="F7FFFB3E"/>
    <w:rsid w:val="FAB7422A"/>
    <w:rsid w:val="FAF93944"/>
    <w:rsid w:val="FB4F299A"/>
    <w:rsid w:val="FB5E71C0"/>
    <w:rsid w:val="FB7D74A4"/>
    <w:rsid w:val="FBD5CC80"/>
    <w:rsid w:val="FBE32529"/>
    <w:rsid w:val="FBFBF6F0"/>
    <w:rsid w:val="FC7FF977"/>
    <w:rsid w:val="FCF396FE"/>
    <w:rsid w:val="FCFB300F"/>
    <w:rsid w:val="FCFF9EC7"/>
    <w:rsid w:val="FD6B419D"/>
    <w:rsid w:val="FD7F2213"/>
    <w:rsid w:val="FD7F7945"/>
    <w:rsid w:val="FDB96B7E"/>
    <w:rsid w:val="FDDF28E4"/>
    <w:rsid w:val="FDDF8F56"/>
    <w:rsid w:val="FE2AA702"/>
    <w:rsid w:val="FE7FDE95"/>
    <w:rsid w:val="FECE7D1E"/>
    <w:rsid w:val="FEEF1BD8"/>
    <w:rsid w:val="FEF6958F"/>
    <w:rsid w:val="FEF9B3E0"/>
    <w:rsid w:val="FEFB431C"/>
    <w:rsid w:val="FEFFB977"/>
    <w:rsid w:val="FF7BDE7C"/>
    <w:rsid w:val="FF7E2524"/>
    <w:rsid w:val="FF7F2B0B"/>
    <w:rsid w:val="FFDB3398"/>
    <w:rsid w:val="FFDF1862"/>
    <w:rsid w:val="FFF326D1"/>
    <w:rsid w:val="FFFBF56B"/>
    <w:rsid w:val="FFFF010F"/>
    <w:rsid w:val="FFFF2C3C"/>
    <w:rsid w:val="FFFF9D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keepNext/>
      <w:keepLines/>
      <w:spacing w:beforeLines="0" w:beforeAutospacing="0" w:afterLines="0" w:afterAutospacing="0" w:line="600" w:lineRule="exact"/>
      <w:jc w:val="center"/>
      <w:outlineLvl w:val="1"/>
    </w:pPr>
    <w:rPr>
      <w:rFonts w:ascii="Arial" w:hAnsi="Arial" w:eastAsia="黑体"/>
      <w:b/>
      <w:sz w:val="32"/>
    </w:rPr>
  </w:style>
  <w:style w:type="paragraph" w:styleId="4">
    <w:name w:val="heading 3"/>
    <w:basedOn w:val="1"/>
    <w:next w:val="1"/>
    <w:unhideWhenUsed/>
    <w:qFormat/>
    <w:uiPriority w:val="9"/>
    <w:pPr>
      <w:keepNext/>
      <w:keepLines/>
      <w:spacing w:beforeLines="0" w:beforeAutospacing="0" w:afterLines="0" w:afterAutospacing="0" w:line="560" w:lineRule="exact"/>
      <w:ind w:firstLine="720" w:firstLineChars="200"/>
      <w:outlineLvl w:val="2"/>
    </w:pPr>
    <w:rPr>
      <w:rFonts w:eastAsia="黑体" w:asciiTheme="minorAscii" w:hAnsiTheme="minorAscii"/>
      <w:sz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Calibri" w:hAnsi="Calibri" w:eastAsia="宋体" w:cs="Times New Roman"/>
    </w:rPr>
  </w:style>
  <w:style w:type="paragraph" w:styleId="6">
    <w:name w:val="toc 3"/>
    <w:basedOn w:val="1"/>
    <w:next w:val="1"/>
    <w:semiHidden/>
    <w:unhideWhenUsed/>
    <w:qFormat/>
    <w:uiPriority w:val="39"/>
    <w:pPr>
      <w:ind w:left="840" w:leftChars="400"/>
    </w:pPr>
  </w:style>
  <w:style w:type="paragraph" w:styleId="7">
    <w:name w:val="footer"/>
    <w:basedOn w:val="1"/>
    <w:link w:val="16"/>
    <w:qFormat/>
    <w:uiPriority w:val="99"/>
    <w:pPr>
      <w:tabs>
        <w:tab w:val="center" w:pos="4153"/>
        <w:tab w:val="right" w:pos="8306"/>
      </w:tabs>
      <w:snapToGrid w:val="0"/>
      <w:jc w:val="left"/>
    </w:pPr>
    <w:rPr>
      <w:rFonts w:ascii="Times New Roman" w:hAnsi="Times New Roman" w:eastAsia="宋体" w:cs="Times New Roman"/>
      <w:kern w:val="0"/>
      <w:sz w:val="18"/>
      <w:szCs w:val="18"/>
      <w:lang w:val="zh-CN"/>
    </w:rPr>
  </w:style>
  <w:style w:type="paragraph" w:styleId="8">
    <w:name w:val="header"/>
    <w:basedOn w:val="1"/>
    <w:link w:val="1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semiHidden/>
    <w:unhideWhenUsed/>
    <w:qFormat/>
    <w:uiPriority w:val="39"/>
  </w:style>
  <w:style w:type="paragraph" w:styleId="10">
    <w:name w:val="toc 2"/>
    <w:basedOn w:val="1"/>
    <w:next w:val="1"/>
    <w:semiHidden/>
    <w:unhideWhenUsed/>
    <w:qFormat/>
    <w:uiPriority w:val="39"/>
    <w:pPr>
      <w:ind w:left="420" w:leftChars="200"/>
    </w:p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customStyle="1" w:styleId="16">
    <w:name w:val="页脚 Char"/>
    <w:basedOn w:val="14"/>
    <w:link w:val="7"/>
    <w:qFormat/>
    <w:uiPriority w:val="99"/>
    <w:rPr>
      <w:rFonts w:ascii="Times New Roman" w:hAnsi="Times New Roman" w:eastAsia="宋体" w:cs="Times New Roman"/>
      <w:kern w:val="0"/>
      <w:sz w:val="18"/>
      <w:szCs w:val="18"/>
      <w:lang w:val="zh-CN"/>
    </w:rPr>
  </w:style>
  <w:style w:type="paragraph" w:customStyle="1" w:styleId="17">
    <w:name w:val="style1 style2"/>
    <w:basedOn w:val="1"/>
    <w:qFormat/>
    <w:uiPriority w:val="0"/>
    <w:pPr>
      <w:widowControl/>
      <w:spacing w:before="100" w:beforeAutospacing="1" w:after="100" w:afterAutospacing="1"/>
      <w:jc w:val="left"/>
    </w:pPr>
    <w:rPr>
      <w:rFonts w:ascii="宋体" w:hAnsi="宋体" w:eastAsia="宋体" w:cs="宋体"/>
      <w:kern w:val="0"/>
      <w:sz w:val="24"/>
      <w:szCs w:val="18"/>
    </w:rPr>
  </w:style>
  <w:style w:type="paragraph" w:customStyle="1" w:styleId="18">
    <w:name w:val="style1"/>
    <w:basedOn w:val="1"/>
    <w:qFormat/>
    <w:uiPriority w:val="0"/>
    <w:pPr>
      <w:widowControl/>
      <w:spacing w:before="100" w:beforeAutospacing="1" w:after="100" w:afterAutospacing="1"/>
      <w:jc w:val="left"/>
    </w:pPr>
    <w:rPr>
      <w:rFonts w:ascii="宋体" w:hAnsi="宋体" w:eastAsia="宋体" w:cs="宋体"/>
      <w:color w:val="333333"/>
      <w:kern w:val="0"/>
      <w:sz w:val="18"/>
      <w:szCs w:val="18"/>
    </w:rPr>
  </w:style>
  <w:style w:type="character" w:customStyle="1" w:styleId="19">
    <w:name w:val="页眉 Char"/>
    <w:basedOn w:val="14"/>
    <w:link w:val="8"/>
    <w:semiHidden/>
    <w:qFormat/>
    <w:uiPriority w:val="99"/>
    <w:rPr>
      <w:sz w:val="18"/>
      <w:szCs w:val="18"/>
    </w:rPr>
  </w:style>
  <w:style w:type="paragraph" w:customStyle="1" w:styleId="20">
    <w:name w:val="公文正文"/>
    <w:basedOn w:val="1"/>
    <w:qFormat/>
    <w:uiPriority w:val="0"/>
    <w:pPr>
      <w:spacing w:line="600" w:lineRule="exact"/>
      <w:ind w:firstLine="624" w:firstLineChars="200"/>
    </w:pPr>
    <w:rPr>
      <w:rFonts w:ascii="仿宋_GB2312" w:hAnsi="仿宋" w:eastAsia="仿宋_GB2312" w:cs="Times New Roman"/>
      <w:spacing w:val="-4"/>
      <w:kern w:val="0"/>
      <w:sz w:val="32"/>
      <w:szCs w:val="24"/>
    </w:rPr>
  </w:style>
  <w:style w:type="paragraph" w:customStyle="1" w:styleId="21">
    <w:name w:val="公开正文小四"/>
    <w:basedOn w:val="1"/>
    <w:qFormat/>
    <w:uiPriority w:val="0"/>
    <w:pPr>
      <w:spacing w:line="520" w:lineRule="exact"/>
      <w:ind w:firstLine="200" w:firstLineChars="200"/>
    </w:pPr>
    <w:rPr>
      <w:rFonts w:ascii="仿宋_GB2312" w:eastAsia="仿宋_GB2312"/>
      <w:sz w:val="28"/>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9"/>
    <customShpInfo spid="_x0000_s1028"/>
  </customShpExts>
</s:customData>
</file>

<file path=customXml/item2.xml><?xml version="1.0" encoding="utf-8"?>
<contractReview xmlns="http://schemas.wps.cn/vas-ai-hub/contract-review">
  <reviewItems>
    <reviewItem>
      <errorID>18cd343e-0779-4a20-a377-b22dc61130c4</errorID>
      <errorWord>（</errorWord>
      <group>L1_Format</group>
      <groupName>格式问题</groupName>
      <ability>L2_HalfPunc_CN</ability>
      <abilityName>全半角问题</abilityName>
      <candidateList>
        <item>(</item>
      </candidateList>
      <explain>文本全半角错误。</explain>
      <paraID>59D2D8F0</paraID>
      <start>0</start>
      <end>1</end>
      <status>ignored</status>
      <modifiedWord/>
      <trackRevisions>false</trackRevisions>
    </reviewItem>
    <reviewItem>
      <errorID>942048e3-3afb-4741-9c3c-9ae35031101e</errorID>
      <errorWord>）</errorWord>
      <group>L1_Format</group>
      <groupName>格式问题</groupName>
      <ability>L2_HalfPunc_CN</ability>
      <abilityName>全半角问题</abilityName>
      <candidateList>
        <item>)</item>
      </candidateList>
      <explain>文本全半角错误。</explain>
      <paraID>59D2D8F0</paraID>
      <start>5</start>
      <end>6</end>
      <status>ignored</status>
      <modifiedWord/>
      <trackRevisions>false</trackRevisions>
    </reviewItem>
    <reviewItem>
      <errorID>b2dfa8b1-2353-4ca0-8d37-bbe2cc2c5521</errorID>
      <errorWord>党委政府</errorWord>
      <group>L1_Political</group>
      <groupName>政治性问题</groupName>
      <ability>L2_Keyword</ability>
      <abilityName>固定表述</abilityName>
      <candidateList>
        <item>党委、政府</item>
      </candidateList>
      <explain>注意检查当前固定表述标点是否使用规范。</explain>
      <paraID>2725A9EF</paraID>
      <start>7</start>
      <end>11</end>
      <status>ignored</status>
      <modifiedWord/>
      <trackRevisions>false</trackRevisions>
    </reviewItem>
    <reviewItem>
      <errorID>ac2cb903-72db-4443-aa64-6469317095f1</errorID>
      <errorWord>国有资本经营财政拨款</errorWord>
      <group>L1_Political</group>
      <groupName>政治性问题</groupName>
      <ability>L2_Keyword</ability>
      <abilityName>固定表述</abilityName>
      <candidateList>
        <item>国有资本经营预算财政拨款</item>
      </candidateList>
      <explain>此处内容疑似含有固定表述相关错误，建议核查。</explain>
      <paraID>1FC32472</paraID>
      <start>2</start>
      <end>12</end>
      <status>ignored</status>
      <modifiedWord/>
      <trackRevisions>false</trackRevisions>
    </reviewItem>
    <reviewItem>
      <errorID>a45554e8-7864-4c70-a714-af558362dbaa</errorID>
      <errorWord>1,969</errorWord>
      <group>L1_Word</group>
      <groupName>字词问题</groupName>
      <ability>L2_Typo</ability>
      <abilityName>字词错误</abilityName>
      <candidateList>
        <item>1969</item>
      </candidateList>
      <explain/>
      <paraID>3D814CBA</paraID>
      <start>0</start>
      <end>5</end>
      <status>ignored</status>
      <modifiedWord/>
      <trackRevisions>false</trackRevisions>
    </reviewItem>
    <reviewItem>
      <errorID>2813f1a6-5c22-4209-ba54-9f1098e8517d</errorID>
      <errorWord>7,171</errorWord>
      <group>L1_Word</group>
      <groupName>字词问题</groupName>
      <ability>L2_Typo</ability>
      <abilityName>字词错误</abilityName>
      <candidateList>
        <item>7171</item>
      </candidateList>
      <explain/>
      <paraID> ACB8AAF</paraID>
      <start>0</start>
      <end>5</end>
      <status>ignored</status>
      <modifiedWord/>
      <trackRevisions>false</trackRevisions>
    </reviewItem>
    <reviewItem>
      <errorID>f14a71f1-4607-4d3c-9556-0aed3150d76f</errorID>
      <errorWord>1,432</errorWord>
      <group>L1_Word</group>
      <groupName>字词问题</groupName>
      <ability>L2_Typo</ability>
      <abilityName>字词错误</abilityName>
      <candidateList>
        <item>1432</item>
      </candidateList>
      <explain/>
      <paraID>437C8BB9</paraID>
      <start>0</start>
      <end>5</end>
      <status>ignored</status>
      <modifiedWord/>
      <trackRevisions>false</trackRevisions>
    </reviewItem>
    <reviewItem>
      <errorID>dda3e3bb-1a97-4148-9e15-54609a447816</errorID>
      <errorWord>1,123</errorWord>
      <group>L1_Word</group>
      <groupName>字词问题</groupName>
      <ability>L2_Typo</ability>
      <abilityName>字词错误</abilityName>
      <candidateList>
        <item>1123</item>
      </candidateList>
      <explain/>
      <paraID>29368005</paraID>
      <start>0</start>
      <end>5</end>
      <status>ignored</status>
      <modifiedWord/>
      <trackRevisions>false</trackRevisions>
    </reviewItem>
    <reviewItem>
      <errorID>cb717678-6972-44e9-88ba-01c5175ea8d7</errorID>
      <errorWord>1,123</errorWord>
      <group>L1_Word</group>
      <groupName>字词问题</groupName>
      <ability>L2_Typo</ability>
      <abilityName>字词错误</abilityName>
      <candidateList>
        <item>1123</item>
      </candidateList>
      <explain/>
      <paraID>3A2B981A</paraID>
      <start>0</start>
      <end>5</end>
      <status>ignored</status>
      <modifiedWord/>
      <trackRevisions>false</trackRevisions>
    </reviewItem>
    <reviewItem>
      <errorID>97b8a452-cbd5-4c1c-b3a7-6ae53260afb8</errorID>
      <errorWord>6,971</errorWord>
      <group>L1_Word</group>
      <groupName>字词问题</groupName>
      <ability>L2_Typo</ability>
      <abilityName>字词错误</abilityName>
      <candidateList>
        <item>6971</item>
      </candidateList>
      <explain/>
      <paraID>6A9ABE64</paraID>
      <start>0</start>
      <end>5</end>
      <status>ignored</status>
      <modifiedWord/>
      <trackRevisions>false</trackRevisions>
    </reviewItem>
    <reviewItem>
      <errorID>9ed66f44-6101-41d8-85b9-e94a4c5060e1</errorID>
      <errorWord>1,814</errorWord>
      <group>L1_Word</group>
      <groupName>字词问题</groupName>
      <ability>L2_Typo</ability>
      <abilityName>字词错误</abilityName>
      <candidateList>
        <item>1814</item>
      </candidateList>
      <explain/>
      <paraID>493549DC</paraID>
      <start>0</start>
      <end>5</end>
      <status>ignored</status>
      <modifiedWord/>
      <trackRevisions>false</trackRevisions>
    </reviewItem>
    <reviewItem>
      <errorID>638224fb-9d02-482f-9816-1ad71248449d</errorID>
      <errorWord>2,712</errorWord>
      <group>L1_Word</group>
      <groupName>字词问题</groupName>
      <ability>L2_Typo</ability>
      <abilityName>字词错误</abilityName>
      <candidateList>
        <item>2712</item>
      </candidateList>
      <explain/>
      <paraID>3766B961</paraID>
      <start>0</start>
      <end>5</end>
      <status>ignored</status>
      <modifiedWord/>
      <trackRevisions>false</trackRevisions>
    </reviewItem>
    <reviewItem>
      <errorID>de2ac8fd-52e0-40d1-83d4-d51bc61fe2b6</errorID>
      <errorWord>1,650</errorWord>
      <group>L1_Word</group>
      <groupName>字词问题</groupName>
      <ability>L2_Typo</ability>
      <abilityName>字词错误</abilityName>
      <candidateList>
        <item>1650</item>
      </candidateList>
      <explain/>
      <paraID>30E7208B</paraID>
      <start>0</start>
      <end>5</end>
      <status>ignored</status>
      <modifiedWord/>
      <trackRevisions>false</trackRevisions>
    </reviewItem>
    <reviewItem>
      <errorID>8bc5c745-cd5e-4b4a-8c2c-52035a569beb</errorID>
      <errorWord>7,437</errorWord>
      <group>L1_Word</group>
      <groupName>字词问题</groupName>
      <ability>L2_Typo</ability>
      <abilityName>字词错误</abilityName>
      <candidateList>
        <item>7437</item>
      </candidateList>
      <explain/>
      <paraID>6F46D81C</paraID>
      <start>0</start>
      <end>5</end>
      <status>ignored</status>
      <modifiedWord/>
      <trackRevisions>false</trackRevisions>
    </reviewItem>
    <reviewItem>
      <errorID>8dfb0767-84f7-426f-839a-b632db2e7187</errorID>
      <errorWord>1,954</errorWord>
      <group>L1_Word</group>
      <groupName>字词问题</groupName>
      <ability>L2_Typo</ability>
      <abilityName>字词错误</abilityName>
      <candidateList>
        <item>1954</item>
      </candidateList>
      <explain/>
      <paraID>1E8A5086</paraID>
      <start>0</start>
      <end>5</end>
      <status>ignored</status>
      <modifiedWord/>
      <trackRevisions>false</trackRevisions>
    </reviewItem>
    <reviewItem>
      <errorID>90ebe262-3ae4-4411-9f5f-ddd0e5980cb2</errorID>
      <errorWord>85</errorWord>
      <group>L1_Word</group>
      <groupName>字词问题</groupName>
      <ability>L2_Typo</ability>
      <abilityName>字词错误</abilityName>
      <candidateList>
        <item>的85</item>
      </candidateList>
      <explain/>
      <paraID>48402623</paraID>
      <start>71</start>
      <end>73</end>
      <status>ignored</status>
      <modifiedWord/>
      <trackRevisions>false</trackRevisions>
    </reviewItem>
    <reviewItem>
      <errorID>47354f35-e292-4d55-aaae-e9dbcb097cba</errorID>
      <errorWord>7</errorWord>
      <group>L1_Word</group>
      <groupName>字词问题</groupName>
      <ability>L2_Typo</ability>
      <abilityName>字词错误</abilityName>
      <candidateList>
        <item>的7</item>
      </candidateList>
      <explain/>
      <paraID>1C0B1913</paraID>
      <start>51</start>
      <end>52</end>
      <status>ignored</status>
      <modifiedWord/>
      <trackRevisions>false</trackRevisions>
    </reviewItem>
    <reviewItem>
      <errorID>6c1467e0-3ffc-4dbe-8bd6-f059ccb187a7</errorID>
      <errorWord>2</errorWord>
      <group>L1_Word</group>
      <groupName>字词问题</groupName>
      <ability>L2_Typo</ability>
      <abilityName>字词错误</abilityName>
      <candidateList>
        <item>的2</item>
      </candidateList>
      <explain/>
      <paraID> 369DEF4</paraID>
      <start>26</start>
      <end>27</end>
      <status>ignored</status>
      <modifiedWord/>
      <trackRevisions>false</trackRevisions>
    </reviewItem>
    <reviewItem>
      <errorID>9261623b-882e-443f-9ef1-abe2c417b7a8</errorID>
      <errorWord>4</errorWord>
      <group>L1_Word</group>
      <groupName>字词问题</groupName>
      <ability>L2_Typo</ability>
      <abilityName>字词错误</abilityName>
      <candidateList>
        <item>的4</item>
      </candidateList>
      <explain/>
      <paraID>33C83859</paraID>
      <start>26</start>
      <end>27</end>
      <status>ignored</status>
      <modifiedWord/>
      <trackRevisions>false</trackRevisions>
    </reviewItem>
    <reviewItem>
      <errorID>21014337-75e5-41df-8f91-1313baacc85b</errorID>
      <errorWord>100</errorWord>
      <group>L1_Word</group>
      <groupName>字词问题</groupName>
      <ability>L2_Typo</ability>
      <abilityName>字词错误</abilityName>
      <candidateList>
        <item>的100</item>
      </candidateList>
      <explain/>
      <paraID>67FE2A72</paraID>
      <start>44</start>
      <end>47</end>
      <status>ignored</status>
      <modifiedWord/>
      <trackRevisions>false</trackRevisions>
    </reviewItem>
    <reviewItem>
      <errorID>7efc016e-9405-4394-8598-c5692789f8bc</errorID>
      <errorWord>；</errorWord>
      <group>L1_Punc</group>
      <groupName>标点问题</groupName>
      <ability>L2_Punc_CN</ability>
      <abilityName>标点符号问题</abilityName>
      <candidateList>
        <item>。</item>
      </candidateList>
      <explain/>
      <paraID>6CE0FA76</paraID>
      <start>164</start>
      <end>165</end>
      <status>ignored</status>
      <modifiedWord/>
      <trackRevisions>false</trackRevisions>
    </reviewItem>
    <reviewItem>
      <errorID>a3adaf2f-093b-47ff-8c23-035a5a85d9e7</errorID>
      <errorWord>落实习惯</errorWord>
      <group>L1_Grammar</group>
      <groupName>语法问题</groupName>
      <ability>L2_Grammar</ability>
      <abilityName>语法错误</abilityName>
      <candidateList>
        <item>落实</item>
      </candidateList>
      <explain/>
      <paraID> E51266A</paraID>
      <start>177</start>
      <end>181</end>
      <status>ignored</status>
      <modifiedWord/>
      <trackRevisions>false</trackRevisions>
    </reviewItem>
    <reviewItem>
      <errorID>7bfaa2e2-1663-4aaf-9831-2f3344c1c2bf</errorID>
      <errorWord>经济性</errorWord>
      <group>L1_Word</group>
      <groupName>字词问题</groupName>
      <ability>L2_Typo</ability>
      <abilityName>字词错误</abilityName>
      <candidateList>
        <item>从经济性</item>
      </candidateList>
      <explain/>
      <paraID>54EA532A</paraID>
      <start>269</start>
      <end>272</end>
      <status>ignored</status>
      <modifiedWord/>
      <trackRevisions>false</trackRevisions>
    </reviewItem>
    <reviewItem>
      <errorID>37f42e11-2a67-4bed-8adb-a12afe195fe8</errorID>
      <errorWord>树立习惯</errorWord>
      <group>L1_Grammar</group>
      <groupName>语法问题</groupName>
      <ability>L2_Grammar</ability>
      <abilityName>语法错误</abilityName>
      <candidateList>
        <item>树立</item>
      </candidateList>
      <explain/>
      <paraID>54EA532A</paraID>
      <start>291</start>
      <end>295</end>
      <status>ignored</status>
      <modifiedWord/>
      <trackRevisions>false</trackRevisions>
    </reviewItem>
    <reviewItem>
      <errorID>f6314788-b9bf-44ff-9c82-78b7fc7eb8be</errorID>
      <errorWord>效益性</errorWord>
      <group>L1_Word</group>
      <groupName>字词问题</groupName>
      <ability>L2_Typo</ability>
      <abilityName>字词错误</abilityName>
      <candidateList>
        <item>从效益性</item>
      </candidateList>
      <explain/>
      <paraID>54EA532A</paraID>
      <start>368</start>
      <end>371</end>
      <status>ignored</status>
      <modifiedWord/>
      <trackRevisions>false</trackRevisions>
    </reviewItem>
    <reviewItem>
      <errorID>0c03100c-c783-4286-842d-1120da81c54d</errorID>
      <errorWord>，</errorWord>
      <group>L1_Word</group>
      <groupName>字词问题</groupName>
      <ability>L2_Typo</ability>
      <abilityName>字词错误</abilityName>
      <candidateList>
        <item>，由</item>
      </candidateList>
      <explain/>
      <paraID>6B9F1626</paraID>
      <start>38</start>
      <end>39</end>
      <status>ignored</status>
      <modifiedWord/>
      <trackRevisions>false</trackRevisions>
    </reviewItem>
    <reviewItem>
      <errorID>4a79dbec-eab1-40e4-8ab8-a8cb1d50566e</errorID>
      <errorWord>用于</errorWord>
      <group>L1_Word</group>
      <groupName>字词问题</groupName>
      <ability>L2_Typo</ability>
      <abilityName>字词错误</abilityName>
      <candidateList>
        <item>而用于</item>
      </candidateList>
      <explain/>
      <paraID>4DF3F548</paraID>
      <start>39</start>
      <end>41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cfda10-9c97-4fe8-9e3c-3aaeb65ebf94}">
  <ds:schemaRefs/>
</ds:datastoreItem>
</file>

<file path=docProps/app.xml><?xml version="1.0" encoding="utf-8"?>
<Properties xmlns="http://schemas.openxmlformats.org/officeDocument/2006/extended-properties" xmlns:vt="http://schemas.openxmlformats.org/officeDocument/2006/docPropsVTypes">
  <Template>Normal</Template>
  <Company>shenduxitong</Company>
  <Pages>31</Pages>
  <Words>2772</Words>
  <Characters>4087</Characters>
  <Lines>80</Lines>
  <Paragraphs>22</Paragraphs>
  <TotalTime>9</TotalTime>
  <ScaleCrop>false</ScaleCrop>
  <LinksUpToDate>false</LinksUpToDate>
  <CharactersWithSpaces>4231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2021-08-03T09:58:00Z</dcterms:created>
  <dc:creator>shendu</dc:creator>
  <cp:lastModifiedBy>费晓宇</cp:lastModifiedBy>
  <cp:lastPrinted>2026-08-06T05:43:10Z</cp:lastPrinted>
  <dcterms:modified xsi:type="dcterms:W3CDTF">2026-08-06T09:09:03Z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A44946D0C0F44689844B1998C670181A</vt:lpwstr>
  </property>
  <property fmtid="{D5CDD505-2E9C-101B-9397-08002B2CF9AE}" pid="4" name="KSOTemplateDocerSaveRecord">
    <vt:lpwstr>eyJoZGlkIjoiYjNmNmFkMTIzNmNjYjM5ODY4YjMxNzNlZWQ5MTBhNmMiLCJ1c2VySWQiOiI3MzgxMjAzNzQifQ==</vt:lpwstr>
  </property>
</Properties>
</file>