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lang w:val="en-US" w:eastAsia="zh-CN"/>
        </w:rPr>
        <w:t>长春市统计局宽城区分局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（一）贯彻执行国家和省、市统计方针、政策以及法律、法规，监督检查统计法律、法规的实施。组织领导全区统计工作，承担确保统计数据真实、准确、及时的责任。</w:t>
      </w:r>
    </w:p>
    <w:p>
      <w:pPr>
        <w:ind w:firstLine="640" w:firstLineChars="200"/>
        <w:rPr>
          <w:rFonts w:hint="eastAsia"/>
          <w:color w:val="000000"/>
          <w:szCs w:val="32"/>
        </w:rPr>
      </w:pPr>
      <w:r>
        <w:rPr>
          <w:rFonts w:hint="eastAsia"/>
          <w:color w:val="000000"/>
          <w:szCs w:val="32"/>
        </w:rPr>
        <w:t>（二）根据全国统一的基本统计制度，汇编提供全区国民经济核算资料，监督管理全区各级统计机关国民经济核算工作。</w:t>
      </w:r>
    </w:p>
    <w:p>
      <w:pPr>
        <w:ind w:firstLine="640" w:firstLineChars="200"/>
        <w:rPr>
          <w:rFonts w:hint="eastAsia"/>
          <w:color w:val="000000"/>
          <w:szCs w:val="32"/>
        </w:rPr>
      </w:pPr>
      <w:r>
        <w:rPr>
          <w:rFonts w:hint="eastAsia"/>
          <w:color w:val="000000"/>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pPr>
        <w:ind w:firstLine="640" w:firstLineChars="200"/>
        <w:rPr>
          <w:rFonts w:hint="eastAsia"/>
          <w:color w:val="000000"/>
          <w:szCs w:val="32"/>
        </w:rPr>
      </w:pPr>
      <w:r>
        <w:rPr>
          <w:rFonts w:hint="eastAsia"/>
          <w:color w:val="000000"/>
          <w:szCs w:val="32"/>
        </w:rPr>
        <w:t>（五）根据市统计局的统一安排，建立、完善和管理区统计分局统计信息自动化网络和数据库系统建设。</w:t>
      </w:r>
    </w:p>
    <w:p>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pPr>
        <w:ind w:firstLine="640" w:firstLineChars="200"/>
        <w:rPr>
          <w:rFonts w:hint="eastAsia"/>
          <w:color w:val="000000"/>
          <w:szCs w:val="32"/>
        </w:rPr>
      </w:pPr>
      <w:r>
        <w:rPr>
          <w:rFonts w:hint="eastAsia"/>
          <w:color w:val="000000"/>
          <w:szCs w:val="32"/>
        </w:rPr>
        <w:t>（七）根据省、市统计局的统一安排，负责区统计分局的干部人事、机构编制和财务经费、审计监督及资产设施管理。</w:t>
      </w:r>
    </w:p>
    <w:p>
      <w:pPr>
        <w:ind w:firstLine="640" w:firstLineChars="200"/>
        <w:rPr>
          <w:rFonts w:hint="eastAsia"/>
          <w:color w:val="000000"/>
          <w:szCs w:val="32"/>
        </w:rPr>
      </w:pPr>
      <w:r>
        <w:rPr>
          <w:rFonts w:hint="eastAsia"/>
          <w:color w:val="000000"/>
          <w:szCs w:val="32"/>
        </w:rPr>
        <w:t>（八）承办省、市统计局和宽城区政府交办的其他事项。</w:t>
      </w:r>
    </w:p>
    <w:p>
      <w:pPr>
        <w:ind w:firstLine="640" w:firstLineChars="200"/>
      </w:pPr>
      <w:r>
        <w:rPr>
          <w:rFonts w:eastAsia="楷体_GB2312"/>
        </w:rPr>
        <w:t>二、机构设置</w:t>
      </w:r>
    </w:p>
    <w:p>
      <w:pPr>
        <w:pStyle w:val="27"/>
        <w:ind w:firstLine="640" w:firstLineChars="200"/>
        <w:rPr>
          <w:rFonts w:hint="eastAsia" w:eastAsia="仿宋_GB2312"/>
        </w:rPr>
      </w:pPr>
      <w:r>
        <w:rPr>
          <w:rFonts w:hint="eastAsia" w:eastAsia="仿宋_GB2312"/>
        </w:rPr>
        <w:t>根据上述职责，长春市统计局宽城区分局内设2个机构，分别为综合科、社会经济统计科。</w:t>
      </w:r>
    </w:p>
    <w:p>
      <w:pPr>
        <w:pStyle w:val="27"/>
        <w:ind w:firstLine="640" w:firstLineChars="200"/>
        <w:rPr>
          <w:rFonts w:eastAsia="仿宋_GB2312"/>
        </w:rPr>
      </w:pPr>
      <w:r>
        <w:rPr>
          <w:rFonts w:hint="eastAsia" w:eastAsia="仿宋_GB2312"/>
        </w:rPr>
        <w:t>本单位无下设预算单位。</w:t>
      </w:r>
    </w:p>
    <w:p>
      <w:pPr>
        <w:pStyle w:val="27"/>
        <w:ind w:firstLine="640" w:firstLineChars="200"/>
        <w:rPr>
          <w:rFonts w:eastAsia="楷体"/>
        </w:rPr>
      </w:pP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hint="eastAsia" w:eastAsia="宋体"/>
                <w:color w:val="000000"/>
                <w:kern w:val="0"/>
                <w:sz w:val="20"/>
                <w:lang w:val="en-US" w:eastAsia="zh-CN"/>
              </w:rPr>
            </w:pPr>
            <w:r>
              <w:rPr>
                <w:rFonts w:hint="eastAsia" w:ascii="宋体" w:hAnsi="宋体" w:eastAsia="宋体" w:cs="宋体"/>
                <w:sz w:val="20"/>
              </w:rPr>
              <w:t>一、一般公共服务</w:t>
            </w:r>
            <w:r>
              <w:rPr>
                <w:rFonts w:hint="eastAsia" w:ascii="宋体" w:hAnsi="宋体" w:eastAsia="宋体" w:cs="宋体"/>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222.02</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color w:val="auto"/>
                <w:sz w:val="20"/>
              </w:rPr>
            </w:pPr>
            <w:r>
              <w:rPr>
                <w:rFonts w:hint="eastAsia" w:eastAsia="宋体"/>
                <w:color w:val="auto"/>
                <w:sz w:val="20"/>
              </w:rPr>
              <w:t>二、财政专户管理</w:t>
            </w:r>
            <w:r>
              <w:rPr>
                <w:rFonts w:hint="eastAsia" w:eastAsia="宋体"/>
                <w:color w:val="auto"/>
                <w:sz w:val="20"/>
                <w:lang w:val="en-US" w:eastAsia="zh-CN"/>
              </w:rPr>
              <w:t xml:space="preserve">  </w:t>
            </w:r>
            <w:r>
              <w:rPr>
                <w:rFonts w:hint="eastAsia" w:eastAsia="宋体"/>
                <w:color w:val="auto"/>
                <w:sz w:val="20"/>
              </w:rPr>
              <w:t>资金收入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color w:val="auto"/>
                <w:sz w:val="20"/>
              </w:rPr>
            </w:pPr>
            <w:r>
              <w:rPr>
                <w:rFonts w:hint="eastAsia" w:eastAsia="宋体"/>
                <w:color w:val="auto"/>
                <w:sz w:val="20"/>
              </w:rPr>
              <w:t>三、单位资金收入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105.50</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105.50</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252.82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252.82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7"/>
        <w:gridCol w:w="818"/>
        <w:gridCol w:w="873"/>
        <w:gridCol w:w="851"/>
        <w:gridCol w:w="403"/>
        <w:gridCol w:w="382"/>
        <w:gridCol w:w="382"/>
        <w:gridCol w:w="393"/>
        <w:gridCol w:w="393"/>
        <w:gridCol w:w="370"/>
        <w:gridCol w:w="371"/>
        <w:gridCol w:w="851"/>
        <w:gridCol w:w="753"/>
        <w:gridCol w:w="436"/>
        <w:gridCol w:w="393"/>
        <w:gridCol w:w="415"/>
        <w:gridCol w:w="371"/>
        <w:gridCol w:w="776"/>
      </w:tblGrid>
      <w:tr>
        <w:tblPrEx>
          <w:tblCellMar>
            <w:top w:w="0" w:type="dxa"/>
            <w:left w:w="108" w:type="dxa"/>
            <w:bottom w:w="0" w:type="dxa"/>
            <w:right w:w="108" w:type="dxa"/>
          </w:tblCellMar>
        </w:tblPrEx>
        <w:trPr>
          <w:trHeight w:val="335" w:hRule="atLeast"/>
          <w:jc w:val="center"/>
        </w:trPr>
        <w:tc>
          <w:tcPr>
            <w:tcW w:w="1257" w:type="dxa"/>
            <w:tcBorders>
              <w:bottom w:val="single" w:color="000000" w:sz="4" w:space="0"/>
            </w:tcBorders>
            <w:noWrap w:val="0"/>
            <w:vAlign w:val="top"/>
          </w:tcPr>
          <w:p>
            <w:pPr>
              <w:autoSpaceDN w:val="0"/>
              <w:jc w:val="left"/>
              <w:textAlignment w:val="center"/>
              <w:rPr>
                <w:rFonts w:eastAsia="华文细黑"/>
                <w:color w:val="000000"/>
                <w:sz w:val="20"/>
              </w:rPr>
            </w:pPr>
          </w:p>
        </w:tc>
        <w:tc>
          <w:tcPr>
            <w:tcW w:w="4495"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592" w:type="dxa"/>
            <w:gridSpan w:val="3"/>
            <w:noWrap w:val="0"/>
            <w:vAlign w:val="center"/>
          </w:tcPr>
          <w:p>
            <w:pPr>
              <w:autoSpaceDN w:val="0"/>
              <w:jc w:val="left"/>
              <w:textAlignment w:val="center"/>
              <w:rPr>
                <w:rFonts w:eastAsia="华文细黑"/>
                <w:color w:val="000000"/>
                <w:sz w:val="20"/>
              </w:rPr>
            </w:pPr>
          </w:p>
        </w:tc>
        <w:tc>
          <w:tcPr>
            <w:tcW w:w="753" w:type="dxa"/>
            <w:noWrap w:val="0"/>
            <w:vAlign w:val="center"/>
          </w:tcPr>
          <w:p>
            <w:pPr>
              <w:autoSpaceDN w:val="0"/>
              <w:jc w:val="left"/>
              <w:textAlignment w:val="center"/>
              <w:rPr>
                <w:rFonts w:eastAsia="华文细黑"/>
                <w:color w:val="000000"/>
                <w:sz w:val="20"/>
              </w:rPr>
            </w:pPr>
          </w:p>
        </w:tc>
        <w:tc>
          <w:tcPr>
            <w:tcW w:w="436" w:type="dxa"/>
            <w:noWrap w:val="0"/>
            <w:vAlign w:val="center"/>
          </w:tcPr>
          <w:p>
            <w:pPr>
              <w:autoSpaceDN w:val="0"/>
              <w:jc w:val="left"/>
              <w:textAlignment w:val="center"/>
              <w:rPr>
                <w:rFonts w:eastAsia="华文细黑"/>
                <w:color w:val="000000"/>
                <w:sz w:val="20"/>
              </w:rPr>
            </w:pPr>
          </w:p>
        </w:tc>
        <w:tc>
          <w:tcPr>
            <w:tcW w:w="393" w:type="dxa"/>
            <w:noWrap w:val="0"/>
            <w:vAlign w:val="bottom"/>
          </w:tcPr>
          <w:p>
            <w:pPr>
              <w:autoSpaceDN w:val="0"/>
              <w:jc w:val="right"/>
              <w:textAlignment w:val="bottom"/>
              <w:rPr>
                <w:rFonts w:eastAsia="宋体"/>
                <w:color w:val="000000"/>
                <w:sz w:val="20"/>
              </w:rPr>
            </w:pPr>
          </w:p>
        </w:tc>
        <w:tc>
          <w:tcPr>
            <w:tcW w:w="1562"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257"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8"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69"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44"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1257"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18"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73"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36"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82"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78"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53"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44"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47"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125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87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85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3"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8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5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41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7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7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1257"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长春市统计局宽城区分局</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264.62</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252.82</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147.32</w:t>
            </w:r>
          </w:p>
        </w:tc>
        <w:tc>
          <w:tcPr>
            <w:tcW w:w="403"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2"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105.50</w:t>
            </w:r>
          </w:p>
        </w:tc>
        <w:tc>
          <w:tcPr>
            <w:tcW w:w="7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11.80</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4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7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11.80</w:t>
            </w:r>
          </w:p>
        </w:tc>
      </w:tr>
      <w:tr>
        <w:tblPrEx>
          <w:tblCellMar>
            <w:top w:w="0" w:type="dxa"/>
            <w:left w:w="108" w:type="dxa"/>
            <w:bottom w:w="0" w:type="dxa"/>
            <w:right w:w="108" w:type="dxa"/>
          </w:tblCellMar>
        </w:tblPrEx>
        <w:trPr>
          <w:trHeight w:val="530" w:hRule="atLeast"/>
          <w:jc w:val="center"/>
        </w:trPr>
        <w:tc>
          <w:tcPr>
            <w:tcW w:w="1257"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264.62</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252.82</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147.32</w:t>
            </w:r>
          </w:p>
        </w:tc>
        <w:tc>
          <w:tcPr>
            <w:tcW w:w="403"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82"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105.50</w:t>
            </w:r>
          </w:p>
        </w:tc>
        <w:tc>
          <w:tcPr>
            <w:tcW w:w="7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11.80</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4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7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11.80</w:t>
            </w:r>
          </w:p>
        </w:tc>
      </w:tr>
    </w:tbl>
    <w:p>
      <w:pPr>
        <w:rPr>
          <w:rFonts w:hAnsi="楷体" w:eastAsia="楷体"/>
        </w:rPr>
      </w:pPr>
    </w:p>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3749"/>
              <w:gridCol w:w="1172"/>
              <w:gridCol w:w="981"/>
              <w:gridCol w:w="945"/>
              <w:gridCol w:w="1201"/>
              <w:gridCol w:w="357"/>
              <w:gridCol w:w="483"/>
              <w:gridCol w:w="814"/>
              <w:gridCol w:w="138"/>
            </w:tblGrid>
            <w:tr>
              <w:tblPrEx>
                <w:tblCellMar>
                  <w:top w:w="15" w:type="dxa"/>
                  <w:left w:w="15" w:type="dxa"/>
                  <w:bottom w:w="15" w:type="dxa"/>
                  <w:right w:w="15" w:type="dxa"/>
                </w:tblCellMar>
              </w:tblPrEx>
              <w:trPr>
                <w:gridAfter w:val="1"/>
                <w:wAfter w:w="138" w:type="dxa"/>
                <w:trHeight w:val="636" w:hRule="atLeast"/>
              </w:trPr>
              <w:tc>
                <w:tcPr>
                  <w:tcW w:w="6847" w:type="dxa"/>
                  <w:gridSpan w:val="4"/>
                  <w:tcBorders>
                    <w:bottom w:val="single" w:color="000000" w:sz="4" w:space="0"/>
                  </w:tcBorders>
                  <w:noWrap w:val="0"/>
                  <w:vAlign w:val="center"/>
                </w:tcPr>
                <w:p>
                  <w:pPr>
                    <w:widowControl/>
                    <w:jc w:val="left"/>
                    <w:rPr>
                      <w:rFonts w:eastAsia="华文细黑"/>
                      <w:color w:val="000000"/>
                      <w:kern w:val="0"/>
                      <w:sz w:val="20"/>
                    </w:rPr>
                  </w:pPr>
                </w:p>
              </w:tc>
              <w:tc>
                <w:tcPr>
                  <w:tcW w:w="1201" w:type="dxa"/>
                  <w:tcBorders>
                    <w:bottom w:val="single" w:color="000000" w:sz="4" w:space="0"/>
                  </w:tcBorders>
                  <w:noWrap w:val="0"/>
                  <w:vAlign w:val="center"/>
                </w:tcPr>
                <w:p>
                  <w:pPr>
                    <w:widowControl/>
                    <w:jc w:val="right"/>
                    <w:rPr>
                      <w:rFonts w:eastAsia="华文细黑"/>
                      <w:color w:val="000000"/>
                      <w:kern w:val="0"/>
                      <w:sz w:val="20"/>
                    </w:rPr>
                  </w:pPr>
                </w:p>
              </w:tc>
              <w:tc>
                <w:tcPr>
                  <w:tcW w:w="357" w:type="dxa"/>
                  <w:tcBorders>
                    <w:bottom w:val="single" w:color="000000" w:sz="4" w:space="0"/>
                  </w:tcBorders>
                  <w:noWrap w:val="0"/>
                  <w:vAlign w:val="center"/>
                </w:tcPr>
                <w:p>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366" w:hRule="atLeast"/>
              </w:trPr>
              <w:tc>
                <w:tcPr>
                  <w:tcW w:w="374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72"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95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eastAsia="宋体"/>
                      <w:color w:val="000000"/>
                      <w:kern w:val="0"/>
                      <w:sz w:val="20"/>
                    </w:rPr>
                    <w:t>一、一般公共服务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统计信息事务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行政运行</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一般行政管理事务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专项普查活动</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二、社会保障和就业支出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行政事业单位养老支出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行政单位离退休</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三、卫生健康支出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行政事业单位医疗</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行政单位医疗</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四、住房保障支出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住房改革支出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住房公积金</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122.03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221"/>
              <w:gridCol w:w="1091"/>
              <w:gridCol w:w="1066"/>
              <w:gridCol w:w="1519"/>
              <w:gridCol w:w="1179"/>
              <w:gridCol w:w="1069"/>
              <w:gridCol w:w="1053"/>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221"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91"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6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519"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79"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69"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（二）社会保障和就业支出　</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（三）卫生健康支出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（四）住房保障支出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jc w:val="center"/>
                    <w:rPr>
                      <w:rFonts w:eastAsia="宋体"/>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147.32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147.32</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rPr>
                  </w:pPr>
                </w:p>
              </w:tc>
            </w:tr>
          </w:tbl>
          <w:p>
            <w:pPr>
              <w:widowControl/>
              <w:rPr>
                <w:rFonts w:eastAsia="方正小标宋简体"/>
                <w:kern w:val="0"/>
                <w:sz w:val="44"/>
                <w:szCs w:val="44"/>
              </w:rPr>
            </w:pPr>
          </w:p>
        </w:tc>
      </w:tr>
    </w:tbl>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3706"/>
              <w:gridCol w:w="1133"/>
              <w:gridCol w:w="1069"/>
              <w:gridCol w:w="1014"/>
              <w:gridCol w:w="1006"/>
              <w:gridCol w:w="86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3706"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3"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0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3706"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3"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0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3706"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3"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eastAsia="宋体"/>
                      <w:color w:val="000000"/>
                      <w:kern w:val="0"/>
                      <w:sz w:val="20"/>
                    </w:rPr>
                    <w:t>一、一般公共服务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64.03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25.29</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华文细黑"/>
                      <w:color w:val="000000"/>
                      <w:kern w:val="0"/>
                      <w:sz w:val="20"/>
                    </w:rPr>
                  </w:pPr>
                  <w:r>
                    <w:rPr>
                      <w:rFonts w:hint="eastAsia" w:ascii="宋体" w:hAnsi="宋体" w:eastAsia="宋体" w:cs="宋体"/>
                      <w:color w:val="000000"/>
                      <w:sz w:val="20"/>
                      <w:szCs w:val="20"/>
                    </w:rPr>
                    <w:t>统计信息事务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64.03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25.29</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64.03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一般行政管理事务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17.79</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17.79</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专项普查活动</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7.50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7.50</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二、社会保障和就业支出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行政事业单位养老支出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行政单位离退休</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三、卫生健康支出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行政事业单位医疗</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行政单位医疗</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四、住房保障支出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住房改革支出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122.03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106.63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25.29</w:t>
                  </w:r>
                </w:p>
              </w:tc>
            </w:tr>
          </w:tbl>
          <w:p>
            <w:pPr>
              <w:widowControl/>
              <w:jc w:val="center"/>
              <w:rPr>
                <w:rFonts w:eastAsia="方正小标宋简体"/>
                <w:kern w:val="0"/>
                <w:sz w:val="44"/>
                <w:szCs w:val="44"/>
              </w:rPr>
            </w:pPr>
          </w:p>
        </w:tc>
      </w:tr>
    </w:tbl>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392"/>
        <w:gridCol w:w="2004"/>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392"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004"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474" w:hRule="atLeast"/>
          <w:jc w:val="center"/>
        </w:trPr>
        <w:tc>
          <w:tcPr>
            <w:tcW w:w="3392"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004"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color w:val="000000"/>
                <w:kern w:val="0"/>
                <w:sz w:val="20"/>
              </w:rPr>
            </w:pPr>
            <w:r>
              <w:rPr>
                <w:rFonts w:hint="eastAsia" w:ascii="宋体" w:hAnsi="宋体" w:eastAsia="宋体" w:cs="宋体"/>
                <w:color w:val="000000"/>
                <w:sz w:val="20"/>
                <w:szCs w:val="20"/>
              </w:rPr>
              <w:t>一、工资福利支出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94.39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94.39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基本工资</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27.94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津贴补贴</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16.03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16.03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奖金</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18.92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18.92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机关事业单位基本养老保险缴费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9.70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职业年金缴费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职工基本医疗保险缴费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公务员医疗补助缴费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其他社会保障缴费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住房公积金</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9.10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医疗费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其他工资福利支出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color w:val="000000"/>
                <w:sz w:val="20"/>
              </w:rPr>
            </w:pPr>
            <w:r>
              <w:rPr>
                <w:rFonts w:hint="eastAsia" w:ascii="宋体" w:hAnsi="宋体" w:eastAsia="宋体" w:cs="宋体"/>
                <w:color w:val="000000"/>
                <w:sz w:val="20"/>
                <w:szCs w:val="20"/>
              </w:rPr>
              <w:t>二、商品和服务支出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14.98</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办公费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3.95</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印刷费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手续费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0.03</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邮电费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0.36</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差旅费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培训费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工会经费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0.88</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其他交通费用</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4.61</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其他商品和服务支出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4.31</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color w:val="000000"/>
                <w:kern w:val="0"/>
                <w:sz w:val="20"/>
              </w:rPr>
            </w:pPr>
            <w:r>
              <w:rPr>
                <w:rFonts w:hint="eastAsia" w:ascii="宋体" w:hAnsi="宋体" w:eastAsia="宋体" w:cs="宋体"/>
                <w:color w:val="000000"/>
                <w:sz w:val="20"/>
                <w:szCs w:val="20"/>
              </w:rPr>
              <w:t>三、对个人和家庭的补助</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12.24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12.24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kern w:val="0"/>
                <w:sz w:val="20"/>
              </w:rPr>
            </w:pPr>
            <w:r>
              <w:rPr>
                <w:rFonts w:hint="eastAsia" w:ascii="宋体" w:hAnsi="宋体" w:eastAsia="宋体" w:cs="宋体"/>
                <w:color w:val="000000"/>
                <w:sz w:val="20"/>
                <w:szCs w:val="20"/>
              </w:rPr>
              <w:t>退休费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12.01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kern w:val="0"/>
                <w:sz w:val="20"/>
              </w:rPr>
            </w:pPr>
            <w:r>
              <w:rPr>
                <w:rFonts w:hint="eastAsia" w:ascii="宋体" w:hAnsi="宋体" w:eastAsia="宋体" w:cs="宋体"/>
                <w:color w:val="000000"/>
                <w:sz w:val="20"/>
                <w:szCs w:val="20"/>
              </w:rPr>
              <w:t>其他对个人和家庭的补助</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kern w:val="0"/>
                <w:sz w:val="20"/>
              </w:rPr>
            </w:pPr>
            <w:r>
              <w:rPr>
                <w:rFonts w:hint="eastAsia" w:ascii="宋体" w:hAnsi="宋体" w:eastAsia="宋体" w:cs="宋体"/>
                <w:color w:val="000000"/>
                <w:sz w:val="20"/>
                <w:szCs w:val="20"/>
              </w:rPr>
              <w:t>四、资本性支出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kern w:val="0"/>
                <w:sz w:val="20"/>
              </w:rPr>
            </w:pPr>
            <w:r>
              <w:rPr>
                <w:rFonts w:hint="eastAsia" w:ascii="宋体" w:hAnsi="宋体" w:eastAsia="宋体" w:cs="宋体"/>
                <w:color w:val="000000"/>
                <w:sz w:val="20"/>
                <w:szCs w:val="20"/>
              </w:rPr>
              <w:t>办公设备购置</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r>
              <w:rPr>
                <w:rFonts w:hint="eastAsia" w:ascii="宋体" w:hAnsi="宋体" w:eastAsia="宋体" w:cs="宋体"/>
                <w:color w:val="000000"/>
                <w:sz w:val="20"/>
                <w:szCs w:val="20"/>
              </w:rPr>
              <w:t>合计</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122.03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106.63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15.40</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8"/>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r>
              <w:rPr>
                <w:rFonts w:hint="eastAsia" w:ascii="宋体" w:hAnsi="宋体" w:eastAsia="宋体" w:cs="宋体"/>
                <w:color w:val="000000"/>
                <w:kern w:val="0"/>
                <w:sz w:val="20"/>
                <w:szCs w:val="20"/>
                <w:lang w:val="en-US" w:eastAsia="zh-CN"/>
              </w:rPr>
              <w:t>说明：本单位2026年度无一般公共预算“三公”经费预算，故本表无数据。</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hint="eastAsia" w:ascii="宋体" w:hAnsi="宋体" w:eastAsia="宋体" w:cs="宋体"/>
          <w:kern w:val="0"/>
          <w:sz w:val="20"/>
          <w:szCs w:val="20"/>
        </w:rPr>
        <w:t>说明：本单位2026年度无政府性基金预算，故本表无数据。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rPr>
          <w:rFonts w:eastAsia="楷体"/>
          <w:kern w:val="0"/>
          <w:szCs w:val="32"/>
        </w:rPr>
      </w:pPr>
      <w:r>
        <w:rPr>
          <w:rFonts w:hint="eastAsia" w:ascii="宋体" w:hAnsi="宋体" w:eastAsia="宋体" w:cs="宋体"/>
          <w:color w:val="000000"/>
          <w:kern w:val="0"/>
          <w:sz w:val="20"/>
          <w:szCs w:val="20"/>
          <w:lang w:val="en-US" w:eastAsia="zh-CN"/>
        </w:rPr>
        <w:t>说明：本单位2026年度无国有资本经营预算，故本表无数据。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32"/>
        <w:gridCol w:w="440"/>
        <w:gridCol w:w="240"/>
        <w:gridCol w:w="804"/>
        <w:gridCol w:w="829"/>
        <w:gridCol w:w="731"/>
        <w:gridCol w:w="393"/>
        <w:gridCol w:w="403"/>
        <w:gridCol w:w="415"/>
        <w:gridCol w:w="829"/>
        <w:gridCol w:w="360"/>
        <w:gridCol w:w="360"/>
        <w:gridCol w:w="360"/>
        <w:gridCol w:w="382"/>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jc w:val="center"/>
        </w:trPr>
        <w:tc>
          <w:tcPr>
            <w:tcW w:w="8676"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7"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072"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04"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29"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771"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193"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7"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12"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04"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29"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71"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93"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7"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32"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80"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04"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2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527"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1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9"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80"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13"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67"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32"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80"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04"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2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31"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3"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3"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1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29"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2"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1"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部门特定目标类项目</w:t>
            </w: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p>
        </w:tc>
        <w:tc>
          <w:tcPr>
            <w:tcW w:w="804"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专项统计业务</w:t>
            </w: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p>
        </w:tc>
        <w:tc>
          <w:tcPr>
            <w:tcW w:w="804"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17.79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26.00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综合统计业务费</w:t>
            </w:r>
          </w:p>
        </w:tc>
        <w:tc>
          <w:tcPr>
            <w:tcW w:w="804"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长春市统计局</w:t>
            </w:r>
            <w:r>
              <w:rPr>
                <w:rFonts w:hint="eastAsia" w:ascii="宋体" w:hAnsi="宋体" w:eastAsia="宋体" w:cs="宋体"/>
                <w:color w:val="000000"/>
                <w:sz w:val="20"/>
                <w:szCs w:val="20"/>
                <w:lang w:val="en-US" w:eastAsia="zh-CN"/>
              </w:rPr>
              <w:t>宽城</w:t>
            </w:r>
            <w:r>
              <w:rPr>
                <w:rFonts w:hint="eastAsia" w:ascii="宋体" w:hAnsi="宋体" w:eastAsia="宋体" w:cs="宋体"/>
                <w:color w:val="000000"/>
                <w:sz w:val="20"/>
                <w:szCs w:val="20"/>
              </w:rPr>
              <w:t>区分局</w:t>
            </w: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17.79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26.00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专项普查活动</w:t>
            </w: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p>
        </w:tc>
        <w:tc>
          <w:tcPr>
            <w:tcW w:w="804" w:type="dxa"/>
            <w:noWrap w:val="0"/>
            <w:vAlign w:val="center"/>
          </w:tcPr>
          <w:p>
            <w:pPr>
              <w:jc w:val="center"/>
              <w:rPr>
                <w:rFonts w:hint="eastAsia" w:ascii="宋体" w:hAnsi="宋体" w:eastAsia="宋体" w:cs="宋体"/>
                <w:color w:val="000000"/>
                <w:kern w:val="2"/>
                <w:sz w:val="20"/>
                <w:szCs w:val="20"/>
                <w:lang w:val="en-US" w:eastAsia="zh-CN" w:bidi="ar-SA"/>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7.50</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79.50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jc w:val="righ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大型普查综合业务费</w:t>
            </w:r>
          </w:p>
        </w:tc>
        <w:tc>
          <w:tcPr>
            <w:tcW w:w="804"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长春市统计局</w:t>
            </w:r>
            <w:r>
              <w:rPr>
                <w:rFonts w:hint="eastAsia" w:ascii="宋体" w:hAnsi="宋体" w:eastAsia="宋体" w:cs="宋体"/>
                <w:color w:val="000000"/>
                <w:sz w:val="20"/>
                <w:szCs w:val="20"/>
                <w:lang w:val="en-US" w:eastAsia="zh-CN"/>
              </w:rPr>
              <w:t>宽城</w:t>
            </w:r>
            <w:r>
              <w:rPr>
                <w:rFonts w:hint="eastAsia" w:ascii="宋体" w:hAnsi="宋体" w:eastAsia="宋体" w:cs="宋体"/>
                <w:color w:val="000000"/>
                <w:sz w:val="20"/>
                <w:szCs w:val="20"/>
              </w:rPr>
              <w:t>区分局</w:t>
            </w: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7.50</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79.50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jc w:val="righ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32" w:type="dxa"/>
            <w:noWrap w:val="0"/>
            <w:vAlign w:val="center"/>
          </w:tcPr>
          <w:p>
            <w:pPr>
              <w:autoSpaceDN w:val="0"/>
              <w:jc w:val="center"/>
              <w:textAlignment w:val="center"/>
              <w:rPr>
                <w:rFonts w:ascii="Calibri" w:hAnsi="Calibri" w:eastAsia="华文细黑"/>
                <w:color w:val="000000"/>
                <w:sz w:val="20"/>
                <w:szCs w:val="22"/>
              </w:rPr>
            </w:pPr>
          </w:p>
        </w:tc>
        <w:tc>
          <w:tcPr>
            <w:tcW w:w="680" w:type="dxa"/>
            <w:gridSpan w:val="2"/>
            <w:noWrap w:val="0"/>
            <w:vAlign w:val="center"/>
          </w:tcPr>
          <w:p>
            <w:pPr>
              <w:spacing w:line="700" w:lineRule="exact"/>
              <w:jc w:val="center"/>
              <w:rPr>
                <w:rFonts w:ascii="Calibri" w:hAnsi="Calibri" w:eastAsia="楷体"/>
                <w:kern w:val="0"/>
                <w:szCs w:val="32"/>
              </w:rPr>
            </w:pPr>
          </w:p>
        </w:tc>
        <w:tc>
          <w:tcPr>
            <w:tcW w:w="804" w:type="dxa"/>
            <w:noWrap w:val="0"/>
            <w:vAlign w:val="center"/>
          </w:tcPr>
          <w:p>
            <w:pPr>
              <w:spacing w:line="700" w:lineRule="exact"/>
              <w:jc w:val="center"/>
              <w:rPr>
                <w:rFonts w:ascii="Calibri" w:hAnsi="Calibri" w:eastAsia="楷体"/>
                <w:kern w:val="0"/>
                <w:szCs w:val="32"/>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bl>
    <w:p>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98"/>
        <w:gridCol w:w="938"/>
        <w:gridCol w:w="1887"/>
        <w:gridCol w:w="699"/>
        <w:gridCol w:w="621"/>
        <w:gridCol w:w="1070"/>
        <w:gridCol w:w="1117"/>
        <w:gridCol w:w="868"/>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长春市统计局宽城区分局</w:t>
            </w:r>
          </w:p>
        </w:tc>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大型普查综合业务费</w:t>
            </w:r>
          </w:p>
        </w:tc>
        <w:tc>
          <w:tcPr>
            <w:tcW w:w="93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87.00</w:t>
            </w:r>
          </w:p>
        </w:tc>
        <w:tc>
          <w:tcPr>
            <w:tcW w:w="18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完成全国1%人口抽样调查补助发放工作和第四次全国农业普查前期准备阶段工作，为全面、及时、准确登记普查、调查数据，发布普查数据，满足社会公众和政府决策需要。</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1.成立普查工作机构。</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2.明确综合协调、数据采集等工作机构职责。</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3.选调普查员、普查指导员。</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4.开展普查、调查业务培训。</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5.开展普查宣传动员。</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6.发放1%人口抽样调查调查员。</w:t>
            </w:r>
          </w:p>
        </w:tc>
        <w:tc>
          <w:tcPr>
            <w:tcW w:w="69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培训开展次数</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反映培训开展次数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color w:val="000000"/>
                <w:kern w:val="0"/>
                <w:sz w:val="16"/>
                <w:szCs w:val="16"/>
                <w:u w:val="none"/>
                <w:lang w:val="en-US" w:eastAsia="zh-CN" w:bidi="ar"/>
              </w:rPr>
              <w:t>≥</w:t>
            </w:r>
            <w:r>
              <w:rPr>
                <w:rFonts w:hint="eastAsia" w:ascii="华文细黑" w:hAnsi="华文细黑" w:eastAsia="华文细黑" w:cs="华文细黑"/>
                <w:i w:val="0"/>
                <w:color w:val="000000"/>
                <w:kern w:val="0"/>
                <w:sz w:val="16"/>
                <w:szCs w:val="16"/>
                <w:u w:val="none"/>
                <w:lang w:val="en-US" w:eastAsia="zh-CN" w:bidi="ar"/>
              </w:rPr>
              <w:t>1次</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宣传品印刷及发放及时率</w:t>
            </w:r>
          </w:p>
        </w:tc>
        <w:tc>
          <w:tcPr>
            <w:tcW w:w="1117"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反映宣传品印刷和发放及时的情况</w:t>
            </w:r>
          </w:p>
        </w:tc>
        <w:tc>
          <w:tcPr>
            <w:tcW w:w="868"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补助发放及时性</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补助发放及时性</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7月31日前完成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效益指标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社会效益指标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发布人口数据，为政府制定国民经济和社会发展政策提供数据支撑</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发布1%人口抽样调查主要数据指标，为政府制定国民经济和社会发展政策提供数据支撑</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综合统计业务费</w:t>
            </w:r>
          </w:p>
        </w:tc>
        <w:tc>
          <w:tcPr>
            <w:tcW w:w="938"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55.59</w:t>
            </w:r>
          </w:p>
        </w:tc>
        <w:tc>
          <w:tcPr>
            <w:tcW w:w="1887" w:type="dxa"/>
            <w:vMerge w:val="restart"/>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完成2026年统计调查任务，做好宽城区经济运行监测，确保数据真实准确，为社会公众需要和政府决策提供翔实统计数据。</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一是充分发挥统计部门“晴雨表”作用，根据定期统计报表数据上报情况，撰写月度统计专报，为党委、政府宏观决策提供参考依据；二是充分发挥统计部门“信息库”作用，做好数据审核汇总、管理、发布、提供及开发利用，完成月度、季度统计专业报表；三是推进统计系统人才培养，开展基层统计调查员培训，12月前完成1次统计综合业务培训；四是加强统计</w:t>
            </w:r>
            <w:bookmarkStart w:id="0" w:name="_GoBack"/>
            <w:bookmarkEnd w:id="0"/>
            <w:r>
              <w:rPr>
                <w:rFonts w:hint="eastAsia" w:ascii="华文细黑" w:hAnsi="华文细黑" w:eastAsia="华文细黑" w:cs="华文细黑"/>
                <w:i w:val="0"/>
                <w:color w:val="000000"/>
                <w:kern w:val="0"/>
                <w:sz w:val="16"/>
                <w:szCs w:val="16"/>
                <w:u w:val="none"/>
                <w:lang w:val="en-US" w:eastAsia="zh-CN" w:bidi="ar"/>
              </w:rPr>
              <w:t>法治建设，9月份、12月份开展统计法治宣传，提高公众对统计工作认知度，12月前完成统计双随机执法检查，夯实企业统计数据质量；五是加强统计信息化建设，12月前完成统计专网系统及设备运行维护。</w:t>
            </w: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培训开展次数</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反映培训开展次数</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color w:val="000000"/>
                <w:kern w:val="0"/>
                <w:sz w:val="16"/>
                <w:szCs w:val="16"/>
                <w:u w:val="none"/>
                <w:lang w:val="en-US" w:eastAsia="zh-CN" w:bidi="ar"/>
              </w:rPr>
              <w:t>≥</w:t>
            </w:r>
            <w:r>
              <w:rPr>
                <w:rFonts w:hint="eastAsia" w:ascii="华文细黑" w:hAnsi="华文细黑" w:eastAsia="华文细黑" w:cs="华文细黑"/>
                <w:i w:val="0"/>
                <w:color w:val="000000"/>
                <w:kern w:val="0"/>
                <w:sz w:val="16"/>
                <w:szCs w:val="16"/>
                <w:u w:val="none"/>
                <w:lang w:val="en-US" w:eastAsia="zh-CN" w:bidi="ar"/>
              </w:rPr>
              <w:t>2次</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开展统计普法宣传</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开展统计普法宣传</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=1次</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统计专报篇数</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反映统计专报篇数情况</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color w:val="000000"/>
                <w:kern w:val="0"/>
                <w:sz w:val="16"/>
                <w:szCs w:val="16"/>
                <w:u w:val="none"/>
                <w:lang w:val="en-US" w:eastAsia="zh-CN" w:bidi="ar"/>
              </w:rPr>
              <w:t>≥</w:t>
            </w:r>
            <w:r>
              <w:rPr>
                <w:rFonts w:hint="eastAsia" w:ascii="华文细黑" w:hAnsi="华文细黑" w:eastAsia="华文细黑" w:cs="华文细黑"/>
                <w:i w:val="0"/>
                <w:color w:val="000000"/>
                <w:kern w:val="0"/>
                <w:sz w:val="16"/>
                <w:szCs w:val="16"/>
                <w:u w:val="none"/>
                <w:lang w:val="en-US" w:eastAsia="zh-CN" w:bidi="ar"/>
              </w:rPr>
              <w:t>10篇</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完成“双随机”统计执法检查</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反映统计执法检查及时情况。</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统计公报撰写完成时间</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撰写2025年度统计公报完成时间</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效益指标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社会效益指标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向社会公众提供统计公报</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向社会公众提供统计公报篇数</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=1篇</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40</w:t>
            </w:r>
          </w:p>
        </w:tc>
      </w:tr>
    </w:tbl>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rPr>
        <w:t>、</w:t>
      </w:r>
      <w:r>
        <w:rPr>
          <w:szCs w:val="32"/>
        </w:rPr>
        <w:t>其他收入、上年结转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264.62</w:t>
      </w:r>
      <w:r>
        <w:rPr>
          <w:szCs w:val="32"/>
        </w:rPr>
        <w:t>万元</w:t>
      </w:r>
      <w:r>
        <w:rPr>
          <w:rFonts w:hint="eastAsia"/>
          <w:szCs w:val="32"/>
          <w:lang w:eastAsia="zh-CN"/>
        </w:rPr>
        <w:t>，其中：本年预算</w:t>
      </w:r>
      <w:r>
        <w:rPr>
          <w:rFonts w:hint="eastAsia"/>
          <w:szCs w:val="32"/>
          <w:lang w:val="en-US" w:eastAsia="zh-CN"/>
        </w:rPr>
        <w:t>252.82</w:t>
      </w:r>
      <w:r>
        <w:rPr>
          <w:rFonts w:hint="eastAsia"/>
          <w:szCs w:val="32"/>
          <w:lang w:eastAsia="zh-CN"/>
        </w:rPr>
        <w:t>万元；上年结转</w:t>
      </w:r>
      <w:r>
        <w:rPr>
          <w:rFonts w:hint="eastAsia"/>
          <w:szCs w:val="32"/>
          <w:lang w:val="en-US" w:eastAsia="zh-CN"/>
        </w:rPr>
        <w:t>11.80</w:t>
      </w:r>
      <w:r>
        <w:rPr>
          <w:rFonts w:hint="eastAsia"/>
          <w:szCs w:val="32"/>
          <w:lang w:eastAsia="zh-CN"/>
        </w:rPr>
        <w:t>万元。</w:t>
      </w:r>
      <w:r>
        <w:rPr>
          <w:rFonts w:hint="eastAsia"/>
          <w:szCs w:val="32"/>
          <w:lang w:val="en-US" w:eastAsia="zh-CN"/>
        </w:rPr>
        <w:t xml:space="preserve"> 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76.97</w:t>
      </w:r>
      <w:r>
        <w:rPr>
          <w:szCs w:val="32"/>
        </w:rPr>
        <w:t>万元，主要原因是</w:t>
      </w:r>
      <w:r>
        <w:rPr>
          <w:rFonts w:hint="eastAsia"/>
          <w:szCs w:val="32"/>
          <w:lang w:val="en-US" w:eastAsia="zh-CN"/>
        </w:rPr>
        <w:t>2026年将单位资金收入纳入预算</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264.62</w:t>
      </w:r>
      <w:r>
        <w:rPr>
          <w:szCs w:val="32"/>
        </w:rPr>
        <w:t>万元，其中：本年收入</w:t>
      </w:r>
      <w:r>
        <w:rPr>
          <w:rFonts w:hint="eastAsia"/>
          <w:szCs w:val="32"/>
          <w:lang w:val="en-US" w:eastAsia="zh-CN"/>
        </w:rPr>
        <w:t>252.82</w:t>
      </w:r>
      <w:r>
        <w:rPr>
          <w:szCs w:val="32"/>
        </w:rPr>
        <w:t>万元，占</w:t>
      </w:r>
      <w:r>
        <w:rPr>
          <w:rFonts w:hint="eastAsia"/>
          <w:szCs w:val="32"/>
          <w:lang w:val="en-US" w:eastAsia="zh-CN"/>
        </w:rPr>
        <w:t>95.54</w:t>
      </w:r>
      <w:r>
        <w:rPr>
          <w:szCs w:val="32"/>
        </w:rPr>
        <w:t>%；上年结转</w:t>
      </w:r>
      <w:r>
        <w:rPr>
          <w:rFonts w:hint="eastAsia"/>
          <w:szCs w:val="32"/>
          <w:lang w:eastAsia="zh-CN"/>
        </w:rPr>
        <w:t>结余</w:t>
      </w:r>
      <w:r>
        <w:rPr>
          <w:rFonts w:hint="eastAsia"/>
          <w:szCs w:val="32"/>
          <w:lang w:val="en-US" w:eastAsia="zh-CN"/>
        </w:rPr>
        <w:t>11.80</w:t>
      </w:r>
      <w:r>
        <w:rPr>
          <w:szCs w:val="32"/>
        </w:rPr>
        <w:t>万元，占</w:t>
      </w:r>
      <w:r>
        <w:rPr>
          <w:rFonts w:hint="eastAsia"/>
          <w:szCs w:val="32"/>
          <w:lang w:val="en-US" w:eastAsia="zh-CN"/>
        </w:rPr>
        <w:t>4.46</w:t>
      </w:r>
      <w:r>
        <w:rPr>
          <w:szCs w:val="32"/>
        </w:rPr>
        <w:t>%。本年收入中，一般公共预算拨款收入</w:t>
      </w:r>
      <w:r>
        <w:rPr>
          <w:rFonts w:hint="eastAsia"/>
          <w:szCs w:val="32"/>
          <w:lang w:val="en-US" w:eastAsia="zh-CN"/>
        </w:rPr>
        <w:t>147.32</w:t>
      </w:r>
      <w:r>
        <w:rPr>
          <w:szCs w:val="32"/>
        </w:rPr>
        <w:t>万元，占</w:t>
      </w:r>
      <w:r>
        <w:rPr>
          <w:rFonts w:hint="eastAsia"/>
          <w:szCs w:val="32"/>
          <w:lang w:val="en-US" w:eastAsia="zh-CN"/>
        </w:rPr>
        <w:t>58.27</w:t>
      </w:r>
      <w:r>
        <w:rPr>
          <w:szCs w:val="32"/>
        </w:rPr>
        <w:t>%；其他收入</w:t>
      </w:r>
      <w:r>
        <w:rPr>
          <w:rFonts w:hint="eastAsia"/>
          <w:szCs w:val="32"/>
          <w:lang w:val="en-US" w:eastAsia="zh-CN"/>
        </w:rPr>
        <w:t>105.50</w:t>
      </w:r>
      <w:r>
        <w:rPr>
          <w:szCs w:val="32"/>
        </w:rPr>
        <w:t>万元，占</w:t>
      </w:r>
      <w:r>
        <w:rPr>
          <w:rFonts w:hint="eastAsia"/>
          <w:szCs w:val="32"/>
          <w:lang w:val="en-US" w:eastAsia="zh-CN"/>
        </w:rPr>
        <w:t>41.73</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11.80</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264.62</w:t>
      </w:r>
      <w:r>
        <w:rPr>
          <w:szCs w:val="32"/>
        </w:rPr>
        <w:t>万元，其中：基本支出</w:t>
      </w:r>
      <w:r>
        <w:rPr>
          <w:rFonts w:hint="eastAsia"/>
          <w:szCs w:val="32"/>
          <w:lang w:val="en-US" w:eastAsia="zh-CN"/>
        </w:rPr>
        <w:t>122.03</w:t>
      </w:r>
      <w:r>
        <w:rPr>
          <w:szCs w:val="32"/>
        </w:rPr>
        <w:t>万元，占</w:t>
      </w:r>
      <w:r>
        <w:rPr>
          <w:rFonts w:hint="eastAsia"/>
          <w:szCs w:val="32"/>
          <w:lang w:val="en-US" w:eastAsia="zh-CN"/>
        </w:rPr>
        <w:t>46.12</w:t>
      </w:r>
      <w:r>
        <w:rPr>
          <w:szCs w:val="32"/>
        </w:rPr>
        <w:t>%；项目支出</w:t>
      </w:r>
      <w:r>
        <w:rPr>
          <w:rFonts w:hint="eastAsia"/>
          <w:szCs w:val="32"/>
          <w:lang w:val="en-US" w:eastAsia="zh-CN"/>
        </w:rPr>
        <w:t>142.59</w:t>
      </w:r>
      <w:r>
        <w:rPr>
          <w:szCs w:val="32"/>
        </w:rPr>
        <w:t>万元，占</w:t>
      </w:r>
      <w:r>
        <w:rPr>
          <w:rFonts w:hint="eastAsia"/>
          <w:szCs w:val="32"/>
          <w:lang w:val="en-US" w:eastAsia="zh-CN"/>
        </w:rPr>
        <w:t>53.88</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147.32</w:t>
      </w:r>
      <w:r>
        <w:rPr>
          <w:szCs w:val="32"/>
        </w:rPr>
        <w:t>万元，其中：</w:t>
      </w:r>
      <w:r>
        <w:rPr>
          <w:rFonts w:hint="eastAsia"/>
          <w:szCs w:val="32"/>
        </w:rPr>
        <w:t>本年</w:t>
      </w:r>
      <w:r>
        <w:rPr>
          <w:rFonts w:hint="eastAsia"/>
          <w:szCs w:val="32"/>
          <w:lang w:eastAsia="zh-CN"/>
        </w:rPr>
        <w:t>预算</w:t>
      </w:r>
      <w:r>
        <w:rPr>
          <w:rFonts w:hint="eastAsia"/>
          <w:szCs w:val="32"/>
          <w:lang w:val="en-US" w:eastAsia="zh-CN"/>
        </w:rPr>
        <w:t>147.32</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104.72</w:t>
      </w:r>
      <w:r>
        <w:rPr>
          <w:szCs w:val="32"/>
        </w:rPr>
        <w:t>万元，</w:t>
      </w:r>
      <w:r>
        <w:rPr>
          <w:kern w:val="0"/>
          <w:szCs w:val="32"/>
        </w:rPr>
        <w:t>社会保障和就业支出</w:t>
      </w:r>
      <w:r>
        <w:rPr>
          <w:rFonts w:hint="eastAsia"/>
          <w:szCs w:val="32"/>
          <w:lang w:val="en-US" w:eastAsia="zh-CN"/>
        </w:rPr>
        <w:t>26.56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6.94</w:t>
      </w:r>
      <w:r>
        <w:rPr>
          <w:szCs w:val="32"/>
        </w:rPr>
        <w:t>万元，</w:t>
      </w:r>
      <w:r>
        <w:rPr>
          <w:kern w:val="0"/>
          <w:szCs w:val="32"/>
        </w:rPr>
        <w:t>住房保障支出</w:t>
      </w:r>
      <w:r>
        <w:rPr>
          <w:rFonts w:hint="eastAsia"/>
          <w:szCs w:val="32"/>
          <w:lang w:val="en-US" w:eastAsia="zh-CN"/>
        </w:rPr>
        <w:t>9.10</w:t>
      </w:r>
      <w:r>
        <w:rPr>
          <w:szCs w:val="32"/>
        </w:rPr>
        <w:t>万元</w:t>
      </w:r>
      <w:r>
        <w:rPr>
          <w:rFonts w:hint="eastAsia"/>
          <w:szCs w:val="32"/>
          <w:lang w:eastAsia="zh-CN"/>
        </w:rPr>
        <w:t>。</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147.32</w:t>
      </w:r>
      <w:r>
        <w:rPr>
          <w:szCs w:val="32"/>
        </w:rPr>
        <w:t>万元，其中：基本支出</w:t>
      </w:r>
      <w:r>
        <w:rPr>
          <w:rFonts w:hint="eastAsia"/>
          <w:szCs w:val="32"/>
          <w:lang w:val="en-US" w:eastAsia="zh-CN"/>
        </w:rPr>
        <w:t>122.03</w:t>
      </w:r>
      <w:r>
        <w:rPr>
          <w:szCs w:val="32"/>
        </w:rPr>
        <w:t>万元，占</w:t>
      </w:r>
      <w:r>
        <w:rPr>
          <w:rFonts w:hint="eastAsia"/>
          <w:szCs w:val="32"/>
          <w:lang w:val="en-US" w:eastAsia="zh-CN"/>
        </w:rPr>
        <w:t>82.83</w:t>
      </w:r>
      <w:r>
        <w:rPr>
          <w:szCs w:val="32"/>
        </w:rPr>
        <w:t>%；项目支出</w:t>
      </w:r>
      <w:r>
        <w:rPr>
          <w:rFonts w:hint="eastAsia"/>
          <w:szCs w:val="32"/>
          <w:lang w:val="en-US" w:eastAsia="zh-CN"/>
        </w:rPr>
        <w:t>25.29</w:t>
      </w:r>
      <w:r>
        <w:rPr>
          <w:szCs w:val="32"/>
        </w:rPr>
        <w:t>万元，占</w:t>
      </w:r>
      <w:r>
        <w:rPr>
          <w:rFonts w:hint="eastAsia"/>
          <w:szCs w:val="32"/>
          <w:lang w:val="en-US" w:eastAsia="zh-CN"/>
        </w:rPr>
        <w:t>17.17</w:t>
      </w:r>
      <w:r>
        <w:rPr>
          <w:szCs w:val="32"/>
        </w:rPr>
        <w:t>%。基本支出中，人员经费</w:t>
      </w:r>
      <w:r>
        <w:rPr>
          <w:rFonts w:hint="eastAsia"/>
          <w:szCs w:val="32"/>
          <w:lang w:val="en-US" w:eastAsia="zh-CN"/>
        </w:rPr>
        <w:t>106.63</w:t>
      </w:r>
      <w:r>
        <w:rPr>
          <w:szCs w:val="32"/>
        </w:rPr>
        <w:t>万元，占</w:t>
      </w:r>
      <w:r>
        <w:rPr>
          <w:rFonts w:hint="eastAsia"/>
          <w:szCs w:val="32"/>
          <w:lang w:val="en-US" w:eastAsia="zh-CN"/>
        </w:rPr>
        <w:t>87.38</w:t>
      </w:r>
      <w:r>
        <w:rPr>
          <w:szCs w:val="32"/>
        </w:rPr>
        <w:t>%；公用经费</w:t>
      </w:r>
      <w:r>
        <w:rPr>
          <w:rFonts w:hint="eastAsia"/>
          <w:szCs w:val="32"/>
          <w:lang w:val="en-US" w:eastAsia="zh-CN"/>
        </w:rPr>
        <w:t>15.40</w:t>
      </w:r>
      <w:r>
        <w:rPr>
          <w:szCs w:val="32"/>
        </w:rPr>
        <w:t>万元，占</w:t>
      </w:r>
      <w:r>
        <w:rPr>
          <w:rFonts w:hint="eastAsia"/>
          <w:szCs w:val="32"/>
          <w:lang w:val="en-US" w:eastAsia="zh-CN"/>
        </w:rPr>
        <w:t>12.62</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104.72</w:t>
      </w:r>
      <w:r>
        <w:rPr>
          <w:szCs w:val="32"/>
        </w:rPr>
        <w:t>万元，占</w:t>
      </w:r>
      <w:r>
        <w:rPr>
          <w:rFonts w:hint="eastAsia"/>
          <w:szCs w:val="32"/>
          <w:lang w:val="en-US" w:eastAsia="zh-CN"/>
        </w:rPr>
        <w:t>71.08</w:t>
      </w:r>
      <w:r>
        <w:rPr>
          <w:szCs w:val="32"/>
        </w:rPr>
        <w:t>%，主要用于</w:t>
      </w:r>
      <w:r>
        <w:rPr>
          <w:rFonts w:hint="eastAsia"/>
          <w:szCs w:val="32"/>
        </w:rPr>
        <w:t>保障职工工资，维持机关正常运转</w:t>
      </w:r>
      <w:r>
        <w:rPr>
          <w:rFonts w:hint="eastAsia"/>
          <w:szCs w:val="32"/>
          <w:lang w:val="en-US" w:eastAsia="zh-CN"/>
        </w:rPr>
        <w:t>以及</w:t>
      </w:r>
      <w:r>
        <w:rPr>
          <w:rFonts w:hint="eastAsia"/>
          <w:szCs w:val="32"/>
        </w:rPr>
        <w:t>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26.56</w:t>
      </w:r>
      <w:r>
        <w:rPr>
          <w:szCs w:val="32"/>
        </w:rPr>
        <w:t>万元，占</w:t>
      </w:r>
      <w:r>
        <w:rPr>
          <w:rFonts w:hint="eastAsia"/>
          <w:szCs w:val="32"/>
          <w:lang w:val="en-US" w:eastAsia="zh-CN"/>
        </w:rPr>
        <w:t>18.03</w:t>
      </w:r>
      <w:r>
        <w:rPr>
          <w:szCs w:val="32"/>
        </w:rPr>
        <w:t>%，主要用于</w:t>
      </w:r>
      <w:r>
        <w:rPr>
          <w:rFonts w:hint="eastAsia"/>
          <w:szCs w:val="32"/>
        </w:rPr>
        <w:t>保障退休职工工资</w:t>
      </w:r>
      <w:r>
        <w:rPr>
          <w:rFonts w:hint="eastAsia"/>
          <w:szCs w:val="32"/>
          <w:lang w:eastAsia="zh-CN"/>
        </w:rPr>
        <w:t>、</w:t>
      </w:r>
      <w:r>
        <w:rPr>
          <w:rFonts w:hint="eastAsia"/>
          <w:szCs w:val="32"/>
        </w:rPr>
        <w:t>退休职工</w:t>
      </w:r>
      <w:r>
        <w:rPr>
          <w:rFonts w:hint="eastAsia"/>
          <w:szCs w:val="32"/>
          <w:lang w:val="en-US" w:eastAsia="zh-CN"/>
        </w:rPr>
        <w:t>采暖补贴以</w:t>
      </w:r>
      <w:r>
        <w:rPr>
          <w:rFonts w:hint="eastAsia"/>
          <w:szCs w:val="32"/>
        </w:rPr>
        <w:t>及</w:t>
      </w:r>
      <w:r>
        <w:rPr>
          <w:rFonts w:hint="eastAsia"/>
          <w:szCs w:val="32"/>
          <w:lang w:val="en-US" w:eastAsia="zh-CN"/>
        </w:rPr>
        <w:t>缴纳</w:t>
      </w:r>
      <w:r>
        <w:rPr>
          <w:rFonts w:hint="eastAsia"/>
          <w:szCs w:val="32"/>
        </w:rPr>
        <w:t>机关单位基本养老保险</w:t>
      </w:r>
      <w:r>
        <w:rPr>
          <w:rFonts w:hint="eastAsia"/>
          <w:szCs w:val="32"/>
          <w:lang w:eastAsia="zh-CN"/>
        </w:rPr>
        <w:t>、</w:t>
      </w:r>
      <w:r>
        <w:rPr>
          <w:rFonts w:hint="eastAsia"/>
          <w:szCs w:val="32"/>
          <w:lang w:val="en-US" w:eastAsia="zh-CN"/>
        </w:rPr>
        <w:t>职业年金</w:t>
      </w:r>
      <w:r>
        <w:rPr>
          <w:rFonts w:hint="eastAsia"/>
          <w:szCs w:val="32"/>
        </w:rPr>
        <w:t>缴费支出</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6.94</w:t>
      </w:r>
      <w:r>
        <w:rPr>
          <w:szCs w:val="32"/>
        </w:rPr>
        <w:t>万元，占</w:t>
      </w:r>
      <w:r>
        <w:rPr>
          <w:rFonts w:hint="eastAsia"/>
          <w:szCs w:val="32"/>
          <w:lang w:val="en-US" w:eastAsia="zh-CN"/>
        </w:rPr>
        <w:t>4.71</w:t>
      </w:r>
      <w:r>
        <w:rPr>
          <w:szCs w:val="32"/>
        </w:rPr>
        <w:t>%，主要用于</w:t>
      </w:r>
      <w:r>
        <w:rPr>
          <w:rFonts w:hint="eastAsia"/>
          <w:szCs w:val="32"/>
          <w:lang w:eastAsia="zh-CN"/>
        </w:rPr>
        <w:t>缴纳职工医疗保险</w:t>
      </w:r>
      <w:r>
        <w:rPr>
          <w:szCs w:val="32"/>
        </w:rPr>
        <w:t>。</w:t>
      </w:r>
    </w:p>
    <w:p>
      <w:pPr>
        <w:spacing w:line="520" w:lineRule="exact"/>
        <w:ind w:firstLine="640" w:firstLineChars="200"/>
        <w:rPr>
          <w:rFonts w:hint="eastAsia"/>
          <w:szCs w:val="32"/>
        </w:rPr>
      </w:pPr>
      <w:r>
        <w:rPr>
          <w:szCs w:val="32"/>
        </w:rPr>
        <w:t>住房保障（类）支出</w:t>
      </w:r>
      <w:r>
        <w:rPr>
          <w:rFonts w:hint="eastAsia"/>
          <w:szCs w:val="32"/>
          <w:lang w:val="en-US" w:eastAsia="zh-CN"/>
        </w:rPr>
        <w:t>9.10</w:t>
      </w:r>
      <w:r>
        <w:rPr>
          <w:szCs w:val="32"/>
        </w:rPr>
        <w:t>万元，占</w:t>
      </w:r>
      <w:r>
        <w:rPr>
          <w:rFonts w:hint="eastAsia"/>
          <w:szCs w:val="32"/>
          <w:lang w:val="en-US" w:eastAsia="zh-CN"/>
        </w:rPr>
        <w:t>6.18</w:t>
      </w:r>
      <w:r>
        <w:rPr>
          <w:szCs w:val="32"/>
        </w:rPr>
        <w:t>%，主要用于</w:t>
      </w:r>
      <w:r>
        <w:rPr>
          <w:rFonts w:hint="eastAsia"/>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122.03</w:t>
      </w:r>
      <w:r>
        <w:rPr>
          <w:szCs w:val="32"/>
        </w:rPr>
        <w:t>万元，其中：</w:t>
      </w:r>
    </w:p>
    <w:p>
      <w:pPr>
        <w:ind w:firstLine="640" w:firstLineChars="200"/>
        <w:rPr>
          <w:kern w:val="0"/>
          <w:szCs w:val="32"/>
        </w:rPr>
      </w:pPr>
      <w:r>
        <w:rPr>
          <w:szCs w:val="32"/>
        </w:rPr>
        <w:t>人员经费</w:t>
      </w:r>
      <w:r>
        <w:rPr>
          <w:rFonts w:hint="eastAsia"/>
          <w:szCs w:val="32"/>
          <w:lang w:val="en-US" w:eastAsia="zh-CN"/>
        </w:rPr>
        <w:t>106.63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15.40</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ascii="仿宋_GB2312" w:hAnsi="仿宋_GB2312" w:eastAsia="仿宋_GB2312" w:cs="仿宋_GB2312"/>
          <w:szCs w:val="32"/>
        </w:rPr>
        <w:t>本单位无</w:t>
      </w:r>
      <w:r>
        <w:rPr>
          <w:rFonts w:hint="eastAsia" w:ascii="仿宋_GB2312" w:hAnsi="仿宋_GB2312" w:eastAsia="仿宋_GB2312" w:cs="仿宋_GB2312"/>
          <w:szCs w:val="30"/>
        </w:rPr>
        <w:t>一般公共预算财政拨款“三公”经费</w:t>
      </w:r>
      <w:r>
        <w:rPr>
          <w:rFonts w:hint="eastAsia" w:ascii="仿宋_GB2312" w:hAnsi="仿宋_GB2312" w:eastAsia="仿宋_GB2312" w:cs="仿宋_GB2312"/>
          <w:szCs w:val="32"/>
        </w:rPr>
        <w:t>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本单位无政府性基金预算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本单位无国有资本经营预算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15.40</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5.3</w:t>
      </w:r>
      <w:r>
        <w:rPr>
          <w:szCs w:val="32"/>
        </w:rPr>
        <w:t>万元，下降</w:t>
      </w:r>
      <w:r>
        <w:rPr>
          <w:rFonts w:hint="eastAsia"/>
          <w:szCs w:val="32"/>
          <w:lang w:val="en-US" w:eastAsia="zh-CN"/>
        </w:rPr>
        <w:t>25.60</w:t>
      </w:r>
      <w:r>
        <w:rPr>
          <w:szCs w:val="32"/>
        </w:rPr>
        <w:t>%</w:t>
      </w:r>
      <w:r>
        <w:rPr>
          <w:rFonts w:hint="eastAsia"/>
          <w:szCs w:val="32"/>
        </w:rPr>
        <w:t>，主要原因是</w:t>
      </w:r>
      <w:r>
        <w:rPr>
          <w:rFonts w:hint="eastAsia"/>
          <w:szCs w:val="32"/>
          <w:lang w:val="en-US" w:eastAsia="zh-CN"/>
        </w:rPr>
        <w:t>在职人员较上年减少2人，按照比例核定的机关运行经费较上年减少</w:t>
      </w:r>
      <w:r>
        <w:rPr>
          <w:szCs w:val="32"/>
        </w:rPr>
        <w:t>。</w:t>
      </w:r>
    </w:p>
    <w:p>
      <w:pPr>
        <w:spacing w:line="540" w:lineRule="exact"/>
        <w:ind w:firstLine="640" w:firstLineChars="200"/>
        <w:rPr>
          <w:rFonts w:eastAsia="楷体"/>
          <w:szCs w:val="32"/>
        </w:rPr>
      </w:pPr>
      <w:r>
        <w:rPr>
          <w:rFonts w:eastAsia="楷体"/>
          <w:szCs w:val="32"/>
        </w:rPr>
        <w:t>（二）政府采购情况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本单位无政府采购预算。</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本单位</w:t>
      </w:r>
      <w:r>
        <w:rPr>
          <w:rFonts w:hint="eastAsia"/>
          <w:szCs w:val="32"/>
        </w:rPr>
        <w:t>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142.59</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25.29</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使用单位资金105.50万元，非财政拨款结转11.80万元。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rPr>
          <w:rFonts w:hint="default" w:ascii="Times New Roman" w:hAnsi="Times New Roman" w:cs="Times New Roman"/>
        </w:rPr>
        <w:t>202</w:t>
      </w:r>
      <w:r>
        <w:rPr>
          <w:rFonts w:hint="default" w:ascii="Times New Roman" w:hAnsi="Times New Roman" w:cs="Times New Roman"/>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142.59</w:t>
      </w:r>
      <w:r>
        <w:rPr>
          <w:rFonts w:hint="eastAsia" w:ascii="宋体" w:hAnsi="宋体"/>
        </w:rPr>
        <w:t>万元。</w:t>
      </w: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2FC6E90"/>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D5591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58507D"/>
    <w:rsid w:val="3BC92948"/>
    <w:rsid w:val="3BE370D4"/>
    <w:rsid w:val="3C1A026D"/>
    <w:rsid w:val="3C207BA3"/>
    <w:rsid w:val="3C29381E"/>
    <w:rsid w:val="3C711E1D"/>
    <w:rsid w:val="3C7F463D"/>
    <w:rsid w:val="3CAE3960"/>
    <w:rsid w:val="3CEF6494"/>
    <w:rsid w:val="3D365BF6"/>
    <w:rsid w:val="3D7F7007"/>
    <w:rsid w:val="3DB008AA"/>
    <w:rsid w:val="3DF23324"/>
    <w:rsid w:val="3EA14040"/>
    <w:rsid w:val="3EC75624"/>
    <w:rsid w:val="3EE8108D"/>
    <w:rsid w:val="3F6136D0"/>
    <w:rsid w:val="3F743323"/>
    <w:rsid w:val="3F8201A3"/>
    <w:rsid w:val="3FB427C9"/>
    <w:rsid w:val="402675EA"/>
    <w:rsid w:val="40B80EFF"/>
    <w:rsid w:val="41A35364"/>
    <w:rsid w:val="41C31686"/>
    <w:rsid w:val="41C837BC"/>
    <w:rsid w:val="421643AC"/>
    <w:rsid w:val="42982B4E"/>
    <w:rsid w:val="429F5D0C"/>
    <w:rsid w:val="42AE03FD"/>
    <w:rsid w:val="42D83665"/>
    <w:rsid w:val="434A6B47"/>
    <w:rsid w:val="436B1E42"/>
    <w:rsid w:val="437604A1"/>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2F001F"/>
    <w:rsid w:val="569B7F91"/>
    <w:rsid w:val="56D21BED"/>
    <w:rsid w:val="572651B2"/>
    <w:rsid w:val="57AE5C26"/>
    <w:rsid w:val="57DD75A9"/>
    <w:rsid w:val="5801059F"/>
    <w:rsid w:val="58256ABD"/>
    <w:rsid w:val="58C27FDB"/>
    <w:rsid w:val="59472AC7"/>
    <w:rsid w:val="59D514A6"/>
    <w:rsid w:val="59EC6E09"/>
    <w:rsid w:val="5A283627"/>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6F6305"/>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29</Pages>
  <Words>1513</Words>
  <Characters>8625</Characters>
  <Lines>71</Lines>
  <Paragraphs>20</Paragraphs>
  <TotalTime>99</TotalTime>
  <ScaleCrop>false</ScaleCrop>
  <LinksUpToDate>false</LinksUpToDate>
  <CharactersWithSpaces>10118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DELL</cp:lastModifiedBy>
  <cp:lastPrinted>2026-03-02T01:13:00Z</cp:lastPrinted>
  <dcterms:modified xsi:type="dcterms:W3CDTF">2026-03-10T02:37:04Z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