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eastAsia="zh-CN"/>
        </w:rPr>
        <w:t>敦化市统计局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pPr>
        <w:ind w:firstLine="640" w:firstLineChars="200"/>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pPr>
        <w:ind w:firstLine="640" w:firstLineChars="200"/>
        <w:rPr>
          <w:rFonts w:hint="eastAsia"/>
          <w:color w:val="000000"/>
          <w:szCs w:val="32"/>
        </w:rPr>
      </w:pPr>
      <w:r>
        <w:rPr>
          <w:rFonts w:hint="eastAsia"/>
          <w:color w:val="000000"/>
          <w:szCs w:val="32"/>
        </w:rPr>
        <w:t>3.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w:t>
      </w:r>
    </w:p>
    <w:p>
      <w:pPr>
        <w:ind w:firstLine="640" w:firstLineChars="200"/>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pPr>
        <w:ind w:firstLine="640" w:firstLineChars="200"/>
        <w:rPr>
          <w:rFonts w:hint="eastAsia"/>
          <w:color w:val="000000"/>
          <w:szCs w:val="32"/>
        </w:rPr>
      </w:pPr>
      <w:r>
        <w:rPr>
          <w:rFonts w:hint="eastAsia"/>
          <w:color w:val="000000"/>
          <w:szCs w:val="32"/>
        </w:rPr>
        <w:t>5.建立、完善和管理全市统计信息自动化系统和全市统计数据库体系。</w:t>
      </w:r>
    </w:p>
    <w:p>
      <w:pPr>
        <w:ind w:firstLine="640" w:firstLineChars="200"/>
        <w:rPr>
          <w:rFonts w:hint="eastAsia"/>
          <w:color w:val="000000"/>
          <w:szCs w:val="32"/>
        </w:rPr>
      </w:pPr>
      <w:r>
        <w:rPr>
          <w:rFonts w:hint="eastAsia"/>
          <w:color w:val="000000"/>
          <w:szCs w:val="32"/>
        </w:rPr>
        <w:t>6.负责全市统计系统的干部人事、劳动工资、机构编制和财务经费、审计监督及资产设施管理。</w:t>
      </w:r>
    </w:p>
    <w:p>
      <w:pPr>
        <w:ind w:firstLine="640" w:firstLineChars="200"/>
        <w:rPr>
          <w:rFonts w:hint="eastAsia" w:eastAsia="仿宋_GB2312"/>
          <w:color w:val="000000"/>
          <w:sz w:val="21"/>
          <w:szCs w:val="21"/>
          <w:lang w:eastAsia="zh-CN"/>
        </w:rPr>
      </w:pPr>
      <w:r>
        <w:rPr>
          <w:rFonts w:hint="eastAsia"/>
          <w:color w:val="000000"/>
          <w:szCs w:val="32"/>
        </w:rPr>
        <w:t>7.承办延边朝鲜族自治州统计局和敦化市政府交办的其他事项</w:t>
      </w:r>
      <w:r>
        <w:rPr>
          <w:rFonts w:hint="eastAsia"/>
          <w:color w:val="000000"/>
          <w:szCs w:val="32"/>
          <w:lang w:eastAsia="zh-CN"/>
        </w:rPr>
        <w:t>。</w:t>
      </w:r>
    </w:p>
    <w:p>
      <w:pPr>
        <w:ind w:firstLine="640" w:firstLineChars="200"/>
      </w:pPr>
      <w:r>
        <w:rPr>
          <w:rFonts w:eastAsia="楷体_GB2312"/>
        </w:rPr>
        <w:t>二、机构设置</w:t>
      </w:r>
    </w:p>
    <w:p>
      <w:pPr>
        <w:pStyle w:val="27"/>
        <w:ind w:firstLine="640" w:firstLineChars="200"/>
        <w:rPr>
          <w:rFonts w:eastAsia="仿宋_GB2312"/>
        </w:rPr>
      </w:pPr>
      <w:r>
        <w:rPr>
          <w:rFonts w:hint="eastAsia" w:eastAsia="仿宋_GB2312"/>
        </w:rPr>
        <w:t>根据上述职责，敦化市统计局内设3个机构，分别为办公室、综合统计科、社会经济统计科</w:t>
      </w:r>
      <w:r>
        <w:rPr>
          <w:rFonts w:eastAsia="仿宋_GB2312"/>
        </w:rPr>
        <w:t>。</w:t>
      </w:r>
    </w:p>
    <w:p>
      <w:pPr>
        <w:pStyle w:val="27"/>
        <w:ind w:firstLine="640" w:firstLineChars="200"/>
        <w:rPr>
          <w:rFonts w:eastAsia="楷体"/>
        </w:rPr>
      </w:pP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290.70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290.70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319.48</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color w:val="000000"/>
                <w:kern w:val="0"/>
                <w:sz w:val="20"/>
                <w:lang w:val="en-US" w:eastAsia="zh-CN"/>
              </w:rPr>
              <w:t>319.48</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290.70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290.70</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43.43</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43.43</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5.87</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5.87</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15.11</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15.11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75.42</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75.42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75.40</w:t>
            </w:r>
          </w:p>
        </w:tc>
        <w:tc>
          <w:tcPr>
            <w:tcW w:w="984"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lang w:val="en-US" w:eastAsia="zh-CN"/>
              </w:rPr>
              <w:t>75.40</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366.10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366.10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b/>
                <w:bCs/>
                <w:kern w:val="0"/>
                <w:sz w:val="20"/>
                <w:lang w:val="en-US" w:eastAsia="zh-CN"/>
              </w:rPr>
            </w:pPr>
            <w:r>
              <w:rPr>
                <w:rFonts w:hint="eastAsia" w:eastAsia="宋体"/>
                <w:b w:val="0"/>
                <w:bCs w:val="0"/>
                <w:kern w:val="0"/>
                <w:sz w:val="20"/>
                <w:lang w:val="en-US" w:eastAsia="zh-CN"/>
              </w:rPr>
              <w:t>383.89</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383.89</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17.79</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17.79</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383.89</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383.89</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383.89</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383.89</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62"/>
        <w:gridCol w:w="810"/>
        <w:gridCol w:w="876"/>
        <w:gridCol w:w="834"/>
        <w:gridCol w:w="405"/>
        <w:gridCol w:w="435"/>
        <w:gridCol w:w="465"/>
        <w:gridCol w:w="405"/>
        <w:gridCol w:w="435"/>
        <w:gridCol w:w="480"/>
        <w:gridCol w:w="465"/>
        <w:gridCol w:w="720"/>
        <w:gridCol w:w="690"/>
        <w:gridCol w:w="435"/>
        <w:gridCol w:w="495"/>
        <w:gridCol w:w="420"/>
        <w:gridCol w:w="435"/>
        <w:gridCol w:w="721"/>
      </w:tblGrid>
      <w:tr>
        <w:tblPrEx>
          <w:tblCellMar>
            <w:top w:w="0" w:type="dxa"/>
            <w:left w:w="108" w:type="dxa"/>
            <w:bottom w:w="0" w:type="dxa"/>
            <w:right w:w="108" w:type="dxa"/>
          </w:tblCellMar>
        </w:tblPrEx>
        <w:trPr>
          <w:trHeight w:val="335" w:hRule="atLeast"/>
          <w:jc w:val="center"/>
        </w:trPr>
        <w:tc>
          <w:tcPr>
            <w:tcW w:w="962" w:type="dxa"/>
            <w:tcBorders>
              <w:bottom w:val="single" w:color="000000" w:sz="4" w:space="0"/>
            </w:tcBorders>
            <w:noWrap w:val="0"/>
            <w:vAlign w:val="top"/>
          </w:tcPr>
          <w:p>
            <w:pPr>
              <w:autoSpaceDN w:val="0"/>
              <w:jc w:val="left"/>
              <w:textAlignment w:val="center"/>
              <w:rPr>
                <w:rFonts w:eastAsia="华文细黑"/>
                <w:color w:val="000000"/>
                <w:sz w:val="20"/>
              </w:rPr>
            </w:pPr>
          </w:p>
        </w:tc>
        <w:tc>
          <w:tcPr>
            <w:tcW w:w="4665"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665" w:type="dxa"/>
            <w:gridSpan w:val="3"/>
            <w:noWrap w:val="0"/>
            <w:vAlign w:val="center"/>
          </w:tcPr>
          <w:p>
            <w:pPr>
              <w:autoSpaceDN w:val="0"/>
              <w:jc w:val="left"/>
              <w:textAlignment w:val="center"/>
              <w:rPr>
                <w:rFonts w:eastAsia="华文细黑"/>
                <w:color w:val="000000"/>
                <w:sz w:val="20"/>
              </w:rPr>
            </w:pPr>
          </w:p>
        </w:tc>
        <w:tc>
          <w:tcPr>
            <w:tcW w:w="690" w:type="dxa"/>
            <w:noWrap w:val="0"/>
            <w:vAlign w:val="center"/>
          </w:tcPr>
          <w:p>
            <w:pPr>
              <w:autoSpaceDN w:val="0"/>
              <w:jc w:val="left"/>
              <w:textAlignment w:val="center"/>
              <w:rPr>
                <w:rFonts w:eastAsia="华文细黑"/>
                <w:color w:val="000000"/>
                <w:sz w:val="20"/>
              </w:rPr>
            </w:pPr>
          </w:p>
        </w:tc>
        <w:tc>
          <w:tcPr>
            <w:tcW w:w="435" w:type="dxa"/>
            <w:noWrap w:val="0"/>
            <w:vAlign w:val="center"/>
          </w:tcPr>
          <w:p>
            <w:pPr>
              <w:autoSpaceDN w:val="0"/>
              <w:jc w:val="left"/>
              <w:textAlignment w:val="center"/>
              <w:rPr>
                <w:rFonts w:eastAsia="华文细黑"/>
                <w:color w:val="000000"/>
                <w:sz w:val="20"/>
              </w:rPr>
            </w:pPr>
          </w:p>
        </w:tc>
        <w:tc>
          <w:tcPr>
            <w:tcW w:w="495" w:type="dxa"/>
            <w:noWrap w:val="0"/>
            <w:vAlign w:val="bottom"/>
          </w:tcPr>
          <w:p>
            <w:pPr>
              <w:autoSpaceDN w:val="0"/>
              <w:jc w:val="right"/>
              <w:textAlignment w:val="bottom"/>
              <w:rPr>
                <w:rFonts w:eastAsia="宋体"/>
                <w:color w:val="000000"/>
                <w:sz w:val="20"/>
              </w:rPr>
            </w:pPr>
          </w:p>
        </w:tc>
        <w:tc>
          <w:tcPr>
            <w:tcW w:w="1576"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962"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0"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20"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96"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962"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10"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76"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74"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65"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05"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90"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350"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56"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96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1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87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83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5"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42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敦化市</w:t>
            </w:r>
          </w:p>
          <w:p>
            <w:pPr>
              <w:widowControl/>
              <w:jc w:val="center"/>
              <w:rPr>
                <w:rFonts w:eastAsia="宋体"/>
                <w:color w:val="000000"/>
                <w:sz w:val="20"/>
                <w:shd w:val="clear" w:color="auto" w:fill="FFFFFF"/>
              </w:rPr>
            </w:pPr>
            <w:r>
              <w:rPr>
                <w:rFonts w:hint="eastAsia" w:eastAsia="宋体"/>
                <w:color w:val="000000"/>
                <w:sz w:val="20"/>
                <w:shd w:val="clear" w:color="auto" w:fill="FFFFFF"/>
                <w:lang w:eastAsia="zh-CN"/>
              </w:rPr>
              <w:t>统计局</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383.89</w:t>
            </w:r>
          </w:p>
        </w:tc>
        <w:tc>
          <w:tcPr>
            <w:tcW w:w="8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366.10</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290.70</w:t>
            </w:r>
          </w:p>
        </w:tc>
        <w:tc>
          <w:tcPr>
            <w:tcW w:w="40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75.40</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17.79</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17.79</w:t>
            </w:r>
          </w:p>
        </w:tc>
      </w:tr>
      <w:tr>
        <w:tblPrEx>
          <w:tblCellMar>
            <w:top w:w="0" w:type="dxa"/>
            <w:left w:w="108" w:type="dxa"/>
            <w:bottom w:w="0" w:type="dxa"/>
            <w:right w:w="108" w:type="dxa"/>
          </w:tblCellMar>
        </w:tblPrEx>
        <w:trPr>
          <w:trHeight w:val="517"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96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383.89</w:t>
            </w:r>
          </w:p>
        </w:tc>
        <w:tc>
          <w:tcPr>
            <w:tcW w:w="8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366.10</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290.70</w:t>
            </w:r>
          </w:p>
        </w:tc>
        <w:tc>
          <w:tcPr>
            <w:tcW w:w="405"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75.40</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17.79</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7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17.79</w:t>
            </w: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951" w:hRule="atLeast"/>
              </w:trPr>
              <w:tc>
                <w:tcPr>
                  <w:tcW w:w="214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宋体"/>
                      <w:color w:val="000000"/>
                      <w:kern w:val="0"/>
                      <w:sz w:val="20"/>
                    </w:rPr>
                    <w:t>一、一般公共服务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319.48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170.19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both"/>
                    <w:rPr>
                      <w:rFonts w:eastAsia="华文细黑"/>
                      <w:color w:val="000000"/>
                      <w:kern w:val="0"/>
                      <w:sz w:val="20"/>
                    </w:rPr>
                  </w:pP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319.48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170.19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eastAsia="宋体"/>
                      <w:color w:val="000000"/>
                      <w:kern w:val="0"/>
                      <w:sz w:val="20"/>
                    </w:rPr>
                  </w:pPr>
                  <w:r>
                    <w:rPr>
                      <w:rFonts w:hint="eastAsia" w:eastAsia="宋体"/>
                      <w:color w:val="000000"/>
                      <w:kern w:val="0"/>
                      <w:sz w:val="20"/>
                      <w:lang w:val="en-US" w:eastAsia="zh-CN"/>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eastAsia="宋体"/>
                      <w:color w:val="000000"/>
                      <w:kern w:val="0"/>
                      <w:sz w:val="20"/>
                    </w:rPr>
                  </w:pP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58.67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hint="eastAsia"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80.00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80.00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31.52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31.52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left"/>
                    <w:rPr>
                      <w:rFonts w:eastAsia="宋体"/>
                      <w:color w:val="000000"/>
                      <w:kern w:val="0"/>
                      <w:sz w:val="20"/>
                    </w:rPr>
                  </w:pPr>
                  <w:r>
                    <w:rPr>
                      <w:rFonts w:hint="eastAsia" w:eastAsia="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default" w:eastAsia="宋体"/>
                      <w:color w:val="000000"/>
                      <w:kern w:val="0"/>
                      <w:sz w:val="20"/>
                      <w:lang w:val="en-US" w:eastAsia="zh-CN"/>
                    </w:rPr>
                    <w:t>8.83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default" w:eastAsia="宋体"/>
                      <w:color w:val="000000"/>
                      <w:kern w:val="0"/>
                      <w:sz w:val="20"/>
                      <w:lang w:val="en-US" w:eastAsia="zh-CN"/>
                    </w:rPr>
                    <w:t>8.83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left"/>
                    <w:rPr>
                      <w:rFonts w:eastAsia="华文细黑"/>
                      <w:color w:val="000000"/>
                      <w:kern w:val="0"/>
                      <w:sz w:val="20"/>
                    </w:rPr>
                  </w:pPr>
                  <w:r>
                    <w:rPr>
                      <w:rFonts w:hint="eastAsia" w:eastAsia="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hint="eastAsia" w:eastAsia="宋体"/>
                      <w:color w:val="000000"/>
                      <w:kern w:val="0"/>
                      <w:sz w:val="20"/>
                      <w:lang w:eastAsia="zh-CN"/>
                    </w:rPr>
                    <w:t>四</w:t>
                  </w:r>
                  <w:r>
                    <w:rPr>
                      <w:rFonts w:eastAsia="宋体"/>
                      <w:color w:val="000000"/>
                      <w:kern w:val="0"/>
                      <w:sz w:val="20"/>
                    </w:rPr>
                    <w:t>、</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both"/>
                    <w:rPr>
                      <w:rFonts w:eastAsia="华文细黑"/>
                      <w:color w:val="000000"/>
                      <w:kern w:val="0"/>
                      <w:sz w:val="20"/>
                    </w:rPr>
                  </w:pPr>
                  <w:r>
                    <w:rPr>
                      <w:rFonts w:hint="eastAsia" w:eastAsia="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eastAsia="华文细黑"/>
                      <w:color w:val="000000"/>
                      <w:kern w:val="0"/>
                      <w:sz w:val="20"/>
                    </w:rPr>
                  </w:pPr>
                  <w:r>
                    <w:rPr>
                      <w:rFonts w:hint="eastAsia" w:eastAsia="宋体"/>
                      <w:color w:val="000000"/>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383.89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170.19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371"/>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50"/>
              <w:gridCol w:w="1072"/>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18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450"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72"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290.70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290.70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290.70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290.70</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290.70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290.70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226.29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226.29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sz w:val="20"/>
                    </w:rPr>
                    <w:t>二</w:t>
                  </w:r>
                  <w:r>
                    <w:rPr>
                      <w:rFonts w:hint="eastAsia" w:eastAsia="宋体"/>
                      <w:color w:val="000000"/>
                      <w:kern w:val="0"/>
                      <w:sz w:val="20"/>
                      <w:lang w:eastAsia="zh-CN"/>
                    </w:rPr>
                    <w:t>）</w:t>
                  </w:r>
                  <w:r>
                    <w:rPr>
                      <w:rFonts w:hint="eastAsia" w:eastAsia="宋体"/>
                      <w:color w:val="000000"/>
                      <w:kern w:val="0"/>
                      <w:sz w:val="20"/>
                    </w:rPr>
                    <w:t>社会保障和就业支出　</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43.43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lang w:val="en-US" w:eastAsia="zh-CN"/>
                    </w:rPr>
                    <w:t>43.43</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5.87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lang w:val="en-US" w:eastAsia="zh-CN"/>
                    </w:rPr>
                    <w:t>5.87</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rPr>
                    <w:t>住房保障支出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15.11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lang w:val="en-US" w:eastAsia="zh-CN"/>
                    </w:rPr>
                    <w:t>15.11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290.70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290.70</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290.70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lang w:val="en-US" w:eastAsia="zh-CN"/>
                    </w:rPr>
                    <w:t>290.70</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495"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117.73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31.56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77.00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117.73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31.56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77.00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149.29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117.73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31.56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37.48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37.48</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8.00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rPr>
                      <w:rFonts w:eastAsia="宋体"/>
                      <w:color w:val="000000"/>
                      <w:kern w:val="0"/>
                      <w:sz w:val="20"/>
                    </w:rPr>
                  </w:pPr>
                  <w:r>
                    <w:rPr>
                      <w:rFonts w:hint="eastAsia" w:eastAsia="宋体"/>
                      <w:color w:val="000000"/>
                      <w:kern w:val="0"/>
                      <w:sz w:val="20"/>
                      <w:lang w:val="en-US" w:eastAsia="zh-CN"/>
                    </w:rPr>
                    <w:t>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31.52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31.52</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宋体"/>
                      <w:color w:val="000000"/>
                      <w:kern w:val="0"/>
                      <w:sz w:val="20"/>
                    </w:rPr>
                  </w:pPr>
                  <w:r>
                    <w:rPr>
                      <w:rFonts w:hint="eastAsia" w:eastAsia="宋体"/>
                      <w:color w:val="000000"/>
                      <w:kern w:val="0"/>
                      <w:sz w:val="20"/>
                      <w:lang w:val="en-US" w:eastAsia="zh-CN"/>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43.43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hint="eastAsia" w:eastAsia="宋体"/>
                      <w:color w:val="000000"/>
                      <w:kern w:val="0"/>
                      <w:sz w:val="20"/>
                      <w:lang w:val="en-US" w:eastAsia="zh-CN"/>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31.56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77.00</w:t>
                  </w:r>
                </w:p>
              </w:tc>
            </w:tr>
          </w:tbl>
          <w:p>
            <w:pPr>
              <w:widowControl/>
              <w:jc w:val="center"/>
              <w:rPr>
                <w:rFonts w:eastAsia="方正小标宋简体"/>
                <w:kern w:val="0"/>
                <w:sz w:val="44"/>
                <w:szCs w:val="44"/>
              </w:rPr>
            </w:pPr>
          </w:p>
        </w:tc>
      </w:tr>
    </w:tbl>
    <w:p>
      <w:pPr>
        <w:ind w:firstLine="640" w:firstLineChars="200"/>
        <w:rPr>
          <w:rFonts w:eastAsia="楷体"/>
        </w:rPr>
      </w:pPr>
    </w:p>
    <w:p>
      <w:pPr>
        <w:ind w:firstLine="640" w:firstLineChars="200"/>
        <w:rPr>
          <w:rFonts w:eastAsia="楷体"/>
        </w:rPr>
      </w:pPr>
    </w:p>
    <w:p>
      <w:pPr>
        <w:rPr>
          <w:rFonts w:hAnsi="楷体" w:eastAsia="楷体"/>
        </w:rPr>
      </w:pPr>
    </w:p>
    <w:p>
      <w:pPr>
        <w:rPr>
          <w:rFonts w:hAnsi="楷体" w:eastAsia="楷体"/>
        </w:rPr>
      </w:pPr>
    </w:p>
    <w:tbl>
      <w:tblPr>
        <w:tblStyle w:val="9"/>
        <w:tblW w:w="0" w:type="auto"/>
        <w:jc w:val="center"/>
        <w:tblLayout w:type="fixed"/>
        <w:tblCellMar>
          <w:top w:w="0" w:type="dxa"/>
          <w:left w:w="108" w:type="dxa"/>
          <w:bottom w:w="0" w:type="dxa"/>
          <w:right w:w="108" w:type="dxa"/>
        </w:tblCellMar>
      </w:tblPr>
      <w:tblGrid>
        <w:gridCol w:w="3558"/>
        <w:gridCol w:w="1838"/>
        <w:gridCol w:w="1704"/>
        <w:gridCol w:w="1831"/>
      </w:tblGrid>
      <w:tr>
        <w:tblPrEx>
          <w:tblCellMar>
            <w:top w:w="0" w:type="dxa"/>
            <w:left w:w="108" w:type="dxa"/>
            <w:bottom w:w="0" w:type="dxa"/>
            <w:right w:w="108" w:type="dxa"/>
          </w:tblCellMar>
        </w:tblPrEx>
        <w:trPr>
          <w:trHeight w:val="1008"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558"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1838"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1838"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164.69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164.69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52.84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52.84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津贴补贴</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36.82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36.82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奖金</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25.56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25.56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lang w:val="en-US" w:eastAsia="zh-CN"/>
              </w:rPr>
              <w:t>机关事业单位基本养老保险缴费</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17.65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职业年金缴费</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lang w:val="en-US" w:eastAsia="zh-CN"/>
              </w:rPr>
              <w:t>职工基本医疗保险缴费</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5.69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lang w:val="en-US" w:eastAsia="zh-CN"/>
              </w:rPr>
              <w:t>其他社会保障缴费</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lang w:val="en-US" w:eastAsia="zh-CN"/>
              </w:rPr>
              <w:t>住房公积金</w:t>
            </w:r>
          </w:p>
        </w:tc>
        <w:tc>
          <w:tcPr>
            <w:tcW w:w="18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lang w:val="en-US" w:eastAsia="zh-CN"/>
              </w:rPr>
              <w:t>医疗费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2.00</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其他工资福利支出</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eastAsia="宋体"/>
                <w:color w:val="000000"/>
                <w:sz w:val="20"/>
              </w:rPr>
              <w:t>二、商品和服务支出</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30.64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30.64</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办公费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3.06</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印刷费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0.26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0.26</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手续费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0.10</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水费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0.40</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邮电费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0.85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0.85</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差旅费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4.98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4.98</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培训费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0.44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0.44</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公务接待费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0.23</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劳务费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1.20</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工会经费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1.78</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其他交通费用</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8.46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8.46</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其他商品和服务支出</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8.88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8.88</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szCs w:val="20"/>
              </w:rPr>
              <w:t>三、对个人和家庭的补助</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17.45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17.45</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退休费</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16.95</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其他对个人和家庭的补助</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0.50</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szCs w:val="20"/>
              </w:rPr>
              <w:t>四、资本性支出</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0.92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0.92</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办公设备购置</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0.92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0.92</w:t>
            </w:r>
          </w:p>
        </w:tc>
      </w:tr>
      <w:tr>
        <w:tblPrEx>
          <w:tblCellMar>
            <w:top w:w="0" w:type="dxa"/>
            <w:left w:w="108" w:type="dxa"/>
            <w:bottom w:w="0" w:type="dxa"/>
            <w:right w:w="108" w:type="dxa"/>
          </w:tblCellMar>
        </w:tblPrEx>
        <w:trPr>
          <w:trHeight w:val="340" w:hRule="atLeast"/>
          <w:jc w:val="center"/>
        </w:trPr>
        <w:tc>
          <w:tcPr>
            <w:tcW w:w="3558"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center"/>
              <w:textAlignment w:val="center"/>
              <w:rPr>
                <w:rFonts w:hint="eastAsia" w:ascii="宋体" w:hAnsi="宋体" w:eastAsia="宋体" w:cs="宋体"/>
                <w:color w:val="000000"/>
                <w:sz w:val="20"/>
                <w:szCs w:val="20"/>
              </w:rPr>
            </w:pPr>
            <w:r>
              <w:rPr>
                <w:rFonts w:hint="eastAsia" w:eastAsia="宋体"/>
                <w:kern w:val="0"/>
                <w:sz w:val="20"/>
                <w:lang w:eastAsia="zh-CN"/>
              </w:rPr>
              <w:t>合计</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213.70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182.14</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31.56</w:t>
            </w:r>
          </w:p>
        </w:tc>
      </w:tr>
    </w:tbl>
    <w:p>
      <w:pPr>
        <w:rPr>
          <w:sz w:val="16"/>
          <w:szCs w:val="16"/>
        </w:rPr>
      </w:pPr>
    </w:p>
    <w:p>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autoSpaceDN w:val="0"/>
        <w:jc w:val="both"/>
        <w:textAlignment w:val="center"/>
        <w:rPr>
          <w:rFonts w:eastAsia="楷体_GB2312"/>
          <w:kern w:val="0"/>
          <w:szCs w:val="32"/>
        </w:rPr>
      </w:pPr>
      <w:r>
        <w:rPr>
          <w:rFonts w:hint="eastAsia" w:ascii="仿宋_GB2312" w:hAnsi="仿宋_GB2312" w:eastAsia="仿宋_GB2312" w:cs="仿宋_GB2312"/>
          <w:color w:val="000000"/>
          <w:sz w:val="24"/>
          <w:szCs w:val="24"/>
        </w:rPr>
        <w:t>说明：本单位202</w:t>
      </w:r>
      <w:r>
        <w:rPr>
          <w:rFonts w:hint="eastAsia" w:ascii="仿宋_GB2312" w:hAnsi="仿宋_GB2312" w:cs="仿宋_GB2312"/>
          <w:color w:val="000000"/>
          <w:sz w:val="24"/>
          <w:szCs w:val="24"/>
          <w:lang w:val="en-US" w:eastAsia="zh-CN"/>
        </w:rPr>
        <w:t>6</w:t>
      </w:r>
      <w:r>
        <w:rPr>
          <w:rFonts w:hint="eastAsia" w:ascii="仿宋_GB2312" w:hAnsi="仿宋_GB2312" w:eastAsia="仿宋_GB2312" w:cs="仿宋_GB2312"/>
          <w:color w:val="000000"/>
          <w:sz w:val="24"/>
          <w:szCs w:val="24"/>
        </w:rPr>
        <w:t>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autoSpaceDN w:val="0"/>
        <w:jc w:val="both"/>
        <w:textAlignment w:val="center"/>
        <w:rPr>
          <w:rFonts w:eastAsia="楷体"/>
          <w:kern w:val="0"/>
          <w:szCs w:val="32"/>
        </w:rPr>
      </w:pPr>
      <w:r>
        <w:rPr>
          <w:rFonts w:hint="eastAsia" w:ascii="仿宋_GB2312" w:hAnsi="仿宋_GB2312" w:eastAsia="仿宋_GB2312" w:cs="仿宋_GB2312"/>
          <w:color w:val="000000"/>
          <w:sz w:val="24"/>
          <w:szCs w:val="24"/>
        </w:rPr>
        <w:t>说明：本单位202</w:t>
      </w:r>
      <w:r>
        <w:rPr>
          <w:rFonts w:hint="eastAsia" w:ascii="仿宋_GB2312" w:hAnsi="仿宋_GB2312" w:cs="仿宋_GB2312"/>
          <w:color w:val="000000"/>
          <w:sz w:val="24"/>
          <w:szCs w:val="24"/>
          <w:lang w:val="en-US" w:eastAsia="zh-CN"/>
        </w:rPr>
        <w:t>6</w:t>
      </w:r>
      <w:r>
        <w:rPr>
          <w:rFonts w:hint="eastAsia" w:ascii="仿宋_GB2312" w:hAnsi="仿宋_GB2312" w:eastAsia="仿宋_GB2312" w:cs="仿宋_GB2312"/>
          <w:color w:val="000000"/>
          <w:sz w:val="24"/>
          <w:szCs w:val="24"/>
        </w:rPr>
        <w:t>年度无</w:t>
      </w:r>
      <w:r>
        <w:rPr>
          <w:rFonts w:hint="eastAsia" w:ascii="仿宋_GB2312" w:hAnsi="仿宋_GB2312" w:eastAsia="仿宋_GB2312" w:cs="仿宋_GB2312"/>
          <w:color w:val="000000"/>
          <w:sz w:val="24"/>
          <w:szCs w:val="24"/>
          <w:lang w:eastAsia="zh-CN"/>
        </w:rPr>
        <w:t>国有资本经营</w:t>
      </w:r>
      <w:r>
        <w:rPr>
          <w:rFonts w:hint="eastAsia" w:ascii="仿宋_GB2312" w:hAnsi="仿宋_GB2312" w:eastAsia="仿宋_GB2312" w:cs="仿宋_GB2312"/>
          <w:color w:val="000000"/>
          <w:sz w:val="24"/>
          <w:szCs w:val="24"/>
        </w:rPr>
        <w:t>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9"/>
        <w:gridCol w:w="975"/>
        <w:gridCol w:w="263"/>
        <w:gridCol w:w="240"/>
        <w:gridCol w:w="727"/>
        <w:gridCol w:w="438"/>
        <w:gridCol w:w="402"/>
        <w:gridCol w:w="839"/>
        <w:gridCol w:w="690"/>
        <w:gridCol w:w="390"/>
        <w:gridCol w:w="353"/>
        <w:gridCol w:w="82"/>
        <w:gridCol w:w="375"/>
        <w:gridCol w:w="690"/>
        <w:gridCol w:w="750"/>
        <w:gridCol w:w="405"/>
        <w:gridCol w:w="395"/>
        <w:gridCol w:w="46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0" w:type="dxa"/>
          <w:trHeight w:val="1273" w:hRule="atLeast"/>
          <w:jc w:val="center"/>
        </w:trPr>
        <w:tc>
          <w:tcPr>
            <w:tcW w:w="9743" w:type="dxa"/>
            <w:gridSpan w:val="19"/>
            <w:tcBorders>
              <w:top w:val="nil"/>
              <w:left w:val="nil"/>
              <w:bottom w:val="nil"/>
              <w:right w:val="nil"/>
            </w:tcBorders>
            <w:noWrap w:val="0"/>
            <w:vAlign w:val="center"/>
          </w:tcPr>
          <w:p>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0" w:type="dxa"/>
          <w:trHeight w:val="550" w:hRule="atLeast"/>
          <w:jc w:val="center"/>
        </w:trPr>
        <w:tc>
          <w:tcPr>
            <w:tcW w:w="113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367" w:type="dxa"/>
            <w:gridSpan w:val="3"/>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27"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438"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3162" w:type="dxa"/>
            <w:gridSpan w:val="7"/>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64"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205" w:type="dxa"/>
            <w:gridSpan w:val="4"/>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40" w:type="dxa"/>
            <w:gridSpan w:val="2"/>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39"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80" w:type="dxa"/>
            <w:gridSpan w:val="6"/>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95"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64"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75"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230" w:type="dxa"/>
            <w:gridSpan w:val="3"/>
            <w:vMerge w:val="restart"/>
            <w:noWrap w:val="0"/>
            <w:vAlign w:val="center"/>
          </w:tcPr>
          <w:p>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840" w:type="dxa"/>
            <w:gridSpan w:val="2"/>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3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515" w:type="dxa"/>
            <w:gridSpan w:val="4"/>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9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50"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45"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264"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7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230" w:type="dxa"/>
            <w:gridSpan w:val="3"/>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40"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3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9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35" w:type="dxa"/>
            <w:gridSpan w:val="2"/>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690"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75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5"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8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31部门特定目标类项目</w:t>
            </w:r>
          </w:p>
        </w:tc>
        <w:tc>
          <w:tcPr>
            <w:tcW w:w="975" w:type="dxa"/>
            <w:noWrap w:val="0"/>
            <w:vAlign w:val="center"/>
          </w:tcPr>
          <w:p>
            <w:pPr>
              <w:autoSpaceDN w:val="0"/>
              <w:jc w:val="center"/>
              <w:textAlignment w:val="center"/>
              <w:rPr>
                <w:rFonts w:hint="eastAsia" w:ascii="Calibri" w:hAnsi="Calibri" w:eastAsia="华文细黑"/>
                <w:color w:val="000000"/>
                <w:sz w:val="20"/>
                <w:szCs w:val="22"/>
              </w:rPr>
            </w:pP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rPr>
            </w:pPr>
          </w:p>
        </w:tc>
        <w:tc>
          <w:tcPr>
            <w:tcW w:w="840" w:type="dxa"/>
            <w:gridSpan w:val="2"/>
            <w:noWrap w:val="0"/>
            <w:vAlign w:val="center"/>
          </w:tcPr>
          <w:p>
            <w:pPr>
              <w:spacing w:line="700" w:lineRule="exact"/>
              <w:jc w:val="center"/>
              <w:rPr>
                <w:rFonts w:ascii="Calibri" w:hAnsi="Calibri" w:eastAsia="楷体"/>
                <w:kern w:val="0"/>
                <w:szCs w:val="32"/>
              </w:rPr>
            </w:pPr>
          </w:p>
        </w:tc>
        <w:tc>
          <w:tcPr>
            <w:tcW w:w="839"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170.19</w:t>
            </w:r>
          </w:p>
        </w:tc>
        <w:tc>
          <w:tcPr>
            <w:tcW w:w="69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77.00</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75.40</w:t>
            </w:r>
          </w:p>
        </w:tc>
        <w:tc>
          <w:tcPr>
            <w:tcW w:w="75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17.79</w:t>
            </w: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p>
        </w:tc>
        <w:tc>
          <w:tcPr>
            <w:tcW w:w="975"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专项统计业务</w:t>
            </w: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rPr>
            </w:pPr>
          </w:p>
        </w:tc>
        <w:tc>
          <w:tcPr>
            <w:tcW w:w="840" w:type="dxa"/>
            <w:gridSpan w:val="2"/>
            <w:noWrap w:val="0"/>
            <w:vAlign w:val="center"/>
          </w:tcPr>
          <w:p>
            <w:pPr>
              <w:spacing w:line="700" w:lineRule="exact"/>
              <w:jc w:val="center"/>
              <w:rPr>
                <w:rFonts w:ascii="Calibri" w:hAnsi="Calibri" w:eastAsia="楷体"/>
                <w:kern w:val="0"/>
                <w:szCs w:val="32"/>
              </w:rPr>
            </w:pPr>
          </w:p>
        </w:tc>
        <w:tc>
          <w:tcPr>
            <w:tcW w:w="839"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58.67</w:t>
            </w:r>
          </w:p>
        </w:tc>
        <w:tc>
          <w:tcPr>
            <w:tcW w:w="690"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37.48</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75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5.79</w:t>
            </w: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p>
        </w:tc>
        <w:tc>
          <w:tcPr>
            <w:tcW w:w="975" w:type="dxa"/>
            <w:noWrap w:val="0"/>
            <w:vAlign w:val="center"/>
          </w:tcPr>
          <w:p>
            <w:pPr>
              <w:autoSpaceDN w:val="0"/>
              <w:jc w:val="center"/>
              <w:textAlignment w:val="center"/>
              <w:rPr>
                <w:rFonts w:hint="eastAsia" w:ascii="Calibri" w:hAnsi="Calibri" w:eastAsia="华文细黑"/>
                <w:color w:val="000000"/>
                <w:sz w:val="20"/>
                <w:szCs w:val="22"/>
              </w:rPr>
            </w:pP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综合统计业务费</w:t>
            </w:r>
          </w:p>
        </w:tc>
        <w:tc>
          <w:tcPr>
            <w:tcW w:w="840" w:type="dxa"/>
            <w:gridSpan w:val="2"/>
            <w:noWrap w:val="0"/>
            <w:vAlign w:val="center"/>
          </w:tcPr>
          <w:p>
            <w:pPr>
              <w:autoSpaceDN w:val="0"/>
              <w:jc w:val="center"/>
              <w:textAlignment w:val="center"/>
              <w:rPr>
                <w:rFonts w:hint="eastAsia" w:ascii="Calibri" w:hAnsi="Calibri" w:eastAsia="楷体"/>
                <w:kern w:val="0"/>
                <w:szCs w:val="32"/>
                <w:lang w:eastAsia="zh-CN"/>
              </w:rPr>
            </w:pPr>
            <w:r>
              <w:rPr>
                <w:rFonts w:hint="eastAsia" w:ascii="华文细黑" w:hAnsi="华文细黑" w:eastAsia="华文细黑" w:cs="华文细黑"/>
                <w:kern w:val="0"/>
                <w:sz w:val="20"/>
                <w:szCs w:val="20"/>
                <w:lang w:eastAsia="zh-CN"/>
              </w:rPr>
              <w:t>敦化市统计局</w:t>
            </w:r>
          </w:p>
        </w:tc>
        <w:tc>
          <w:tcPr>
            <w:tcW w:w="839"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58.67</w:t>
            </w:r>
          </w:p>
        </w:tc>
        <w:tc>
          <w:tcPr>
            <w:tcW w:w="690"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37.48</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75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5.79</w:t>
            </w: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p>
        </w:tc>
        <w:tc>
          <w:tcPr>
            <w:tcW w:w="975"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统计抽样调查</w:t>
            </w: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rPr>
            </w:pPr>
          </w:p>
        </w:tc>
        <w:tc>
          <w:tcPr>
            <w:tcW w:w="840" w:type="dxa"/>
            <w:gridSpan w:val="2"/>
            <w:noWrap w:val="0"/>
            <w:vAlign w:val="center"/>
          </w:tcPr>
          <w:p>
            <w:pPr>
              <w:spacing w:line="700" w:lineRule="exact"/>
              <w:jc w:val="center"/>
              <w:rPr>
                <w:rFonts w:ascii="Calibri" w:hAnsi="Calibri" w:eastAsia="楷体"/>
                <w:kern w:val="0"/>
                <w:szCs w:val="32"/>
              </w:rPr>
            </w:pPr>
          </w:p>
        </w:tc>
        <w:tc>
          <w:tcPr>
            <w:tcW w:w="839"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31.52</w:t>
            </w:r>
          </w:p>
        </w:tc>
        <w:tc>
          <w:tcPr>
            <w:tcW w:w="690"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31.52</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p>
        </w:tc>
        <w:tc>
          <w:tcPr>
            <w:tcW w:w="750" w:type="dxa"/>
            <w:noWrap w:val="0"/>
            <w:vAlign w:val="center"/>
          </w:tcPr>
          <w:p>
            <w:pPr>
              <w:widowControl/>
              <w:jc w:val="right"/>
              <w:rPr>
                <w:rFonts w:hint="default" w:eastAsia="宋体"/>
                <w:color w:val="000000"/>
                <w:kern w:val="0"/>
                <w:sz w:val="20"/>
                <w:lang w:val="en-US" w:eastAsia="zh-CN"/>
              </w:rPr>
            </w:pP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p>
        </w:tc>
        <w:tc>
          <w:tcPr>
            <w:tcW w:w="975" w:type="dxa"/>
            <w:noWrap w:val="0"/>
            <w:vAlign w:val="center"/>
          </w:tcPr>
          <w:p>
            <w:pPr>
              <w:autoSpaceDN w:val="0"/>
              <w:jc w:val="center"/>
              <w:textAlignment w:val="center"/>
              <w:rPr>
                <w:rFonts w:hint="eastAsia" w:ascii="Calibri" w:hAnsi="Calibri" w:eastAsia="华文细黑"/>
                <w:color w:val="000000"/>
                <w:sz w:val="20"/>
                <w:szCs w:val="22"/>
                <w:lang w:eastAsia="zh-CN"/>
              </w:rPr>
            </w:pP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统计调查综合补助</w:t>
            </w:r>
          </w:p>
        </w:tc>
        <w:tc>
          <w:tcPr>
            <w:tcW w:w="840" w:type="dxa"/>
            <w:gridSpan w:val="2"/>
            <w:noWrap w:val="0"/>
            <w:vAlign w:val="center"/>
          </w:tcPr>
          <w:p>
            <w:pPr>
              <w:autoSpaceDN w:val="0"/>
              <w:jc w:val="center"/>
              <w:textAlignment w:val="center"/>
              <w:rPr>
                <w:rFonts w:ascii="Calibri" w:hAnsi="Calibri" w:eastAsia="楷体"/>
                <w:kern w:val="0"/>
                <w:szCs w:val="32"/>
              </w:rPr>
            </w:pPr>
            <w:r>
              <w:rPr>
                <w:rFonts w:hint="eastAsia" w:ascii="华文细黑" w:hAnsi="华文细黑" w:eastAsia="华文细黑" w:cs="华文细黑"/>
                <w:kern w:val="0"/>
                <w:sz w:val="20"/>
                <w:szCs w:val="20"/>
                <w:lang w:eastAsia="zh-CN"/>
              </w:rPr>
              <w:t>敦化市统计局</w:t>
            </w:r>
          </w:p>
        </w:tc>
        <w:tc>
          <w:tcPr>
            <w:tcW w:w="839"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31.52</w:t>
            </w:r>
          </w:p>
        </w:tc>
        <w:tc>
          <w:tcPr>
            <w:tcW w:w="690"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31.52</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p>
        </w:tc>
        <w:tc>
          <w:tcPr>
            <w:tcW w:w="750" w:type="dxa"/>
            <w:noWrap w:val="0"/>
            <w:vAlign w:val="center"/>
          </w:tcPr>
          <w:p>
            <w:pPr>
              <w:widowControl/>
              <w:jc w:val="right"/>
              <w:rPr>
                <w:rFonts w:hint="default" w:eastAsia="宋体"/>
                <w:color w:val="000000"/>
                <w:kern w:val="0"/>
                <w:sz w:val="20"/>
                <w:lang w:val="en-US" w:eastAsia="zh-CN"/>
              </w:rPr>
            </w:pP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p>
        </w:tc>
        <w:tc>
          <w:tcPr>
            <w:tcW w:w="975"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专项普查活动</w:t>
            </w: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rPr>
            </w:pPr>
          </w:p>
        </w:tc>
        <w:tc>
          <w:tcPr>
            <w:tcW w:w="840" w:type="dxa"/>
            <w:gridSpan w:val="2"/>
            <w:noWrap w:val="0"/>
            <w:vAlign w:val="center"/>
          </w:tcPr>
          <w:p>
            <w:pPr>
              <w:spacing w:line="700" w:lineRule="exact"/>
              <w:jc w:val="center"/>
              <w:rPr>
                <w:rFonts w:ascii="Calibri" w:hAnsi="Calibri" w:eastAsia="楷体"/>
                <w:kern w:val="0"/>
                <w:szCs w:val="32"/>
              </w:rPr>
            </w:pPr>
          </w:p>
        </w:tc>
        <w:tc>
          <w:tcPr>
            <w:tcW w:w="839"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80.00</w:t>
            </w:r>
          </w:p>
        </w:tc>
        <w:tc>
          <w:tcPr>
            <w:tcW w:w="690"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8.00</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60.00</w:t>
            </w:r>
          </w:p>
        </w:tc>
        <w:tc>
          <w:tcPr>
            <w:tcW w:w="75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12.00</w:t>
            </w: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gridSpan w:val="2"/>
            <w:noWrap w:val="0"/>
            <w:vAlign w:val="center"/>
          </w:tcPr>
          <w:p>
            <w:pPr>
              <w:autoSpaceDN w:val="0"/>
              <w:jc w:val="center"/>
              <w:textAlignment w:val="center"/>
              <w:rPr>
                <w:rFonts w:hint="eastAsia" w:ascii="Calibri" w:hAnsi="Calibri" w:eastAsia="华文细黑"/>
                <w:color w:val="000000"/>
                <w:sz w:val="20"/>
                <w:szCs w:val="22"/>
              </w:rPr>
            </w:pPr>
          </w:p>
        </w:tc>
        <w:tc>
          <w:tcPr>
            <w:tcW w:w="975" w:type="dxa"/>
            <w:noWrap w:val="0"/>
            <w:vAlign w:val="center"/>
          </w:tcPr>
          <w:p>
            <w:pPr>
              <w:autoSpaceDN w:val="0"/>
              <w:jc w:val="center"/>
              <w:textAlignment w:val="center"/>
              <w:rPr>
                <w:rFonts w:hint="eastAsia" w:ascii="Calibri" w:hAnsi="Calibri" w:eastAsia="华文细黑"/>
                <w:color w:val="000000"/>
                <w:sz w:val="20"/>
                <w:szCs w:val="22"/>
                <w:lang w:eastAsia="zh-CN"/>
              </w:rPr>
            </w:pPr>
          </w:p>
        </w:tc>
        <w:tc>
          <w:tcPr>
            <w:tcW w:w="1230" w:type="dxa"/>
            <w:gridSpan w:val="3"/>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大型普查综合业务费</w:t>
            </w:r>
          </w:p>
        </w:tc>
        <w:tc>
          <w:tcPr>
            <w:tcW w:w="840" w:type="dxa"/>
            <w:gridSpan w:val="2"/>
            <w:noWrap w:val="0"/>
            <w:vAlign w:val="center"/>
          </w:tcPr>
          <w:p>
            <w:pPr>
              <w:autoSpaceDN w:val="0"/>
              <w:jc w:val="center"/>
              <w:textAlignment w:val="center"/>
              <w:rPr>
                <w:rFonts w:ascii="Calibri" w:hAnsi="Calibri" w:eastAsia="楷体"/>
                <w:kern w:val="0"/>
                <w:szCs w:val="32"/>
              </w:rPr>
            </w:pPr>
            <w:r>
              <w:rPr>
                <w:rFonts w:hint="eastAsia" w:ascii="华文细黑" w:hAnsi="华文细黑" w:eastAsia="华文细黑" w:cs="华文细黑"/>
                <w:kern w:val="0"/>
                <w:sz w:val="20"/>
                <w:szCs w:val="20"/>
                <w:lang w:eastAsia="zh-CN"/>
              </w:rPr>
              <w:t>敦化市统计局</w:t>
            </w:r>
          </w:p>
        </w:tc>
        <w:tc>
          <w:tcPr>
            <w:tcW w:w="839"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80.00</w:t>
            </w:r>
          </w:p>
        </w:tc>
        <w:tc>
          <w:tcPr>
            <w:tcW w:w="690" w:type="dxa"/>
            <w:noWrap w:val="0"/>
            <w:vAlign w:val="center"/>
          </w:tcPr>
          <w:p>
            <w:pPr>
              <w:widowControl/>
              <w:jc w:val="right"/>
              <w:rPr>
                <w:rFonts w:hint="default" w:eastAsia="宋体"/>
                <w:color w:val="000000"/>
                <w:kern w:val="0"/>
                <w:sz w:val="20"/>
                <w:lang w:val="en-US" w:eastAsia="zh-CN"/>
              </w:rPr>
            </w:pPr>
            <w:r>
              <w:rPr>
                <w:rFonts w:hint="default" w:eastAsia="宋体"/>
                <w:color w:val="000000"/>
                <w:kern w:val="0"/>
                <w:sz w:val="20"/>
                <w:lang w:val="en-US" w:eastAsia="zh-CN"/>
              </w:rPr>
              <w:t>8.00</w:t>
            </w:r>
          </w:p>
        </w:tc>
        <w:tc>
          <w:tcPr>
            <w:tcW w:w="390" w:type="dxa"/>
            <w:noWrap w:val="0"/>
            <w:vAlign w:val="center"/>
          </w:tcPr>
          <w:p>
            <w:pPr>
              <w:widowControl/>
              <w:jc w:val="right"/>
              <w:rPr>
                <w:rFonts w:hint="default" w:eastAsia="宋体"/>
                <w:color w:val="000000"/>
                <w:kern w:val="0"/>
                <w:sz w:val="20"/>
                <w:lang w:val="en-US" w:eastAsia="zh-CN"/>
              </w:rPr>
            </w:pPr>
          </w:p>
        </w:tc>
        <w:tc>
          <w:tcPr>
            <w:tcW w:w="435" w:type="dxa"/>
            <w:gridSpan w:val="2"/>
            <w:noWrap w:val="0"/>
            <w:vAlign w:val="center"/>
          </w:tcPr>
          <w:p>
            <w:pPr>
              <w:widowControl/>
              <w:jc w:val="right"/>
              <w:rPr>
                <w:rFonts w:hint="default" w:eastAsia="宋体"/>
                <w:color w:val="000000"/>
                <w:kern w:val="0"/>
                <w:sz w:val="20"/>
                <w:lang w:val="en-US" w:eastAsia="zh-CN"/>
              </w:rPr>
            </w:pPr>
          </w:p>
        </w:tc>
        <w:tc>
          <w:tcPr>
            <w:tcW w:w="375" w:type="dxa"/>
            <w:noWrap w:val="0"/>
            <w:vAlign w:val="center"/>
          </w:tcPr>
          <w:p>
            <w:pPr>
              <w:widowControl/>
              <w:jc w:val="right"/>
              <w:rPr>
                <w:rFonts w:hint="default" w:eastAsia="宋体"/>
                <w:color w:val="000000"/>
                <w:kern w:val="0"/>
                <w:sz w:val="20"/>
                <w:lang w:val="en-US" w:eastAsia="zh-CN"/>
              </w:rPr>
            </w:pPr>
          </w:p>
        </w:tc>
        <w:tc>
          <w:tcPr>
            <w:tcW w:w="69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60.00</w:t>
            </w:r>
          </w:p>
        </w:tc>
        <w:tc>
          <w:tcPr>
            <w:tcW w:w="75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12.00</w:t>
            </w:r>
          </w:p>
        </w:tc>
        <w:tc>
          <w:tcPr>
            <w:tcW w:w="405" w:type="dxa"/>
            <w:noWrap w:val="0"/>
            <w:vAlign w:val="center"/>
          </w:tcPr>
          <w:p>
            <w:pPr>
              <w:widowControl/>
              <w:jc w:val="right"/>
              <w:rPr>
                <w:rFonts w:hint="default" w:eastAsia="宋体"/>
                <w:color w:val="000000"/>
                <w:kern w:val="0"/>
                <w:sz w:val="20"/>
                <w:lang w:val="en-US" w:eastAsia="zh-CN"/>
              </w:rPr>
            </w:pPr>
          </w:p>
        </w:tc>
        <w:tc>
          <w:tcPr>
            <w:tcW w:w="395" w:type="dxa"/>
            <w:noWrap w:val="0"/>
            <w:vAlign w:val="center"/>
          </w:tcPr>
          <w:p>
            <w:pPr>
              <w:widowControl/>
              <w:jc w:val="right"/>
              <w:rPr>
                <w:rFonts w:hint="default" w:eastAsia="宋体"/>
                <w:color w:val="000000"/>
                <w:kern w:val="0"/>
                <w:sz w:val="20"/>
                <w:lang w:val="en-US" w:eastAsia="zh-CN"/>
              </w:rPr>
            </w:pPr>
          </w:p>
        </w:tc>
        <w:tc>
          <w:tcPr>
            <w:tcW w:w="465" w:type="dxa"/>
            <w:noWrap w:val="0"/>
            <w:vAlign w:val="center"/>
          </w:tcPr>
          <w:p>
            <w:pPr>
              <w:widowControl/>
              <w:jc w:val="right"/>
              <w:rPr>
                <w:rFonts w:hint="default" w:eastAsia="宋体"/>
                <w:color w:val="000000"/>
                <w:kern w:val="0"/>
                <w:sz w:val="20"/>
                <w:lang w:val="en-US" w:eastAsia="zh-CN"/>
              </w:rPr>
            </w:pPr>
          </w:p>
        </w:tc>
        <w:tc>
          <w:tcPr>
            <w:tcW w:w="780" w:type="dxa"/>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12.00</w:t>
            </w:r>
          </w:p>
        </w:tc>
      </w:tr>
    </w:tbl>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rPr>
          <w:rFonts w:eastAsia="楷体"/>
          <w:kern w:val="0"/>
          <w:szCs w:val="32"/>
        </w:rPr>
      </w:pPr>
      <w:r>
        <w:rPr>
          <w:rFonts w:hint="eastAsia" w:ascii="仿宋_GB2312" w:hAnsi="仿宋_GB2312" w:eastAsia="仿宋_GB2312" w:cs="仿宋_GB2312"/>
          <w:color w:val="000000"/>
          <w:sz w:val="24"/>
          <w:szCs w:val="24"/>
        </w:rPr>
        <w:t>说明：本单位2026年度无财政拨款委托业务费支出预算，故本表无数据。</w:t>
      </w: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tbl>
      <w:tblPr>
        <w:tblStyle w:val="10"/>
        <w:tblW w:w="10845" w:type="dxa"/>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80"/>
        <w:gridCol w:w="960"/>
        <w:gridCol w:w="2700"/>
        <w:gridCol w:w="450"/>
        <w:gridCol w:w="1350"/>
        <w:gridCol w:w="1005"/>
        <w:gridCol w:w="1470"/>
        <w:gridCol w:w="117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845"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敦化市统计局</w:t>
            </w:r>
          </w:p>
        </w:tc>
        <w:tc>
          <w:tcPr>
            <w:tcW w:w="78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val="en-US" w:eastAsia="zh-CN"/>
              </w:rPr>
              <w:t>大型普查综合业务费</w:t>
            </w:r>
          </w:p>
        </w:tc>
        <w:tc>
          <w:tcPr>
            <w:tcW w:w="96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vertAlign w:val="baseline"/>
                <w:lang w:val="en-US" w:eastAsia="zh-CN"/>
              </w:rPr>
              <w:t>80.00</w:t>
            </w:r>
          </w:p>
        </w:tc>
        <w:tc>
          <w:tcPr>
            <w:tcW w:w="270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val="en-US" w:eastAsia="zh-CN"/>
              </w:rPr>
              <w:t>1</w:t>
            </w:r>
            <w:r>
              <w:rPr>
                <w:rFonts w:hint="eastAsia" w:ascii="华文细黑" w:hAnsi="华文细黑" w:eastAsia="华文细黑" w:cs="华文细黑"/>
                <w:kern w:val="0"/>
                <w:sz w:val="18"/>
                <w:szCs w:val="18"/>
                <w:vertAlign w:val="baseline"/>
                <w:lang w:eastAsia="zh-CN"/>
              </w:rPr>
              <w:t>.开展1%人口抽样调查“两员”培训，提高“两员”业务能力；</w:t>
            </w:r>
          </w:p>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2.印刷1%人口抽样调查和四农普的文件、公告、调查员手册等；</w:t>
            </w:r>
          </w:p>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3.100%建立健全乡（镇）、村两级普查工作机制，明确职责分工；</w:t>
            </w:r>
          </w:p>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4.根据普查工作计划，在综合试点、普查区划分、清查摸底、正式登记等阶段开展多层次、全方位业务培训，提高基层业务工作人员和“两员”的工作能力和业务水平；</w:t>
            </w:r>
          </w:p>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5.做好1%人口抽样调查和普查宣传工作，在全社会营造良好的普查氛围。</w:t>
            </w:r>
          </w:p>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6.按时完成调查员的劳务费核定与发放工作，确保劳务费发放到位。</w:t>
            </w:r>
          </w:p>
        </w:tc>
        <w:tc>
          <w:tcPr>
            <w:tcW w:w="45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10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聘用普查人员数</w:t>
            </w:r>
          </w:p>
        </w:tc>
        <w:tc>
          <w:tcPr>
            <w:tcW w:w="147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反映普查员人员数量。</w:t>
            </w:r>
          </w:p>
        </w:tc>
        <w:tc>
          <w:tcPr>
            <w:tcW w:w="117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=102人</w:t>
            </w:r>
          </w:p>
        </w:tc>
        <w:tc>
          <w:tcPr>
            <w:tcW w:w="4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时效指标</w:t>
            </w:r>
          </w:p>
        </w:tc>
        <w:tc>
          <w:tcPr>
            <w:tcW w:w="100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发放补助费时间</w:t>
            </w:r>
          </w:p>
        </w:tc>
        <w:tc>
          <w:tcPr>
            <w:tcW w:w="147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反映发放记账户、辅助调查员补助费时间</w:t>
            </w:r>
          </w:p>
        </w:tc>
        <w:tc>
          <w:tcPr>
            <w:tcW w:w="117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12月底之前</w:t>
            </w:r>
          </w:p>
        </w:tc>
        <w:tc>
          <w:tcPr>
            <w:tcW w:w="48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7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960"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bidi="ar-SA"/>
              </w:rPr>
            </w:pPr>
          </w:p>
        </w:tc>
        <w:tc>
          <w:tcPr>
            <w:tcW w:w="270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45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成本指标</w:t>
            </w:r>
          </w:p>
        </w:tc>
        <w:tc>
          <w:tcPr>
            <w:tcW w:w="1350"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经济成本指标</w:t>
            </w:r>
          </w:p>
        </w:tc>
        <w:tc>
          <w:tcPr>
            <w:tcW w:w="1005"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两员补贴发放费用</w:t>
            </w:r>
          </w:p>
        </w:tc>
        <w:tc>
          <w:tcPr>
            <w:tcW w:w="1470" w:type="dxa"/>
            <w:tcBorders>
              <w:top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两员补贴发放费用</w:t>
            </w:r>
          </w:p>
        </w:tc>
        <w:tc>
          <w:tcPr>
            <w:tcW w:w="1170"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=8万元</w:t>
            </w:r>
          </w:p>
        </w:tc>
        <w:tc>
          <w:tcPr>
            <w:tcW w:w="480" w:type="dxa"/>
            <w:tcBorders>
              <w:top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shd w:val="clear" w:color="auto" w:fill="auto"/>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1350"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经济成本指标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培训人均成本</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反映培训成本控制情况</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&lt;=100元/人/天</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shd w:val="clear" w:color="auto" w:fill="auto"/>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效益指标</w:t>
            </w: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社会效益指标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宣传覆盖率</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反映宣传品发放覆盖情况。</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=100%</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78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统计调查综合补助</w:t>
            </w:r>
          </w:p>
        </w:tc>
        <w:tc>
          <w:tcPr>
            <w:tcW w:w="960"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31.52</w:t>
            </w:r>
          </w:p>
        </w:tc>
        <w:tc>
          <w:tcPr>
            <w:tcW w:w="270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完成各网点记</w:t>
            </w:r>
            <w:r>
              <w:rPr>
                <w:rFonts w:hint="eastAsia" w:ascii="华文细黑" w:hAnsi="华文细黑" w:eastAsia="华文细黑" w:cs="华文细黑"/>
                <w:kern w:val="0"/>
                <w:sz w:val="18"/>
                <w:szCs w:val="18"/>
                <w:vertAlign w:val="baseline"/>
                <w:lang w:eastAsia="zh-CN"/>
              </w:rPr>
              <w:t>账</w:t>
            </w:r>
            <w:r>
              <w:rPr>
                <w:rFonts w:hint="eastAsia" w:ascii="华文细黑" w:hAnsi="华文细黑" w:eastAsia="华文细黑" w:cs="华文细黑"/>
                <w:kern w:val="0"/>
                <w:sz w:val="18"/>
                <w:szCs w:val="18"/>
                <w:vertAlign w:val="baseline"/>
              </w:rPr>
              <w:t>户收支调查及审核检查工作，保证数据质量，确保数据真实有效，按季度召开培训会，检查记</w:t>
            </w:r>
            <w:r>
              <w:rPr>
                <w:rFonts w:hint="eastAsia" w:ascii="华文细黑" w:hAnsi="华文细黑" w:eastAsia="华文细黑" w:cs="华文细黑"/>
                <w:kern w:val="0"/>
                <w:sz w:val="18"/>
                <w:szCs w:val="18"/>
                <w:vertAlign w:val="baseline"/>
                <w:lang w:eastAsia="zh-CN"/>
              </w:rPr>
              <w:t>账</w:t>
            </w:r>
            <w:r>
              <w:rPr>
                <w:rFonts w:hint="eastAsia" w:ascii="华文细黑" w:hAnsi="华文细黑" w:eastAsia="华文细黑" w:cs="华文细黑"/>
                <w:kern w:val="0"/>
                <w:sz w:val="18"/>
                <w:szCs w:val="18"/>
                <w:vertAlign w:val="baseline"/>
              </w:rPr>
              <w:t>质量，按月录入审核数据。</w:t>
            </w:r>
          </w:p>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通过对网点的监督检查，掌握城乡居民可支配收入。</w:t>
            </w:r>
          </w:p>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完成地方点城乡居民住户调查敦化市16个村级调查点，160户城乡调查户样本，为调查员及记账户发放记账补贴，提高调查数据质量，激发调查户和村级辅助调查员的工作积极性。</w:t>
            </w:r>
          </w:p>
        </w:tc>
        <w:tc>
          <w:tcPr>
            <w:tcW w:w="45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抽样调查点发放补贴次数</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按照工作及劳务费相关要求，抽样调查点发放补贴次数</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&gt;=2次</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抽样调查点户数</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反映城乡住户调查记账户数量</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=160户</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7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96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270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45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时效指标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发放补助费时间</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反映发放记账户、辅助调查员补助费时间</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12月底之前</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7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96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270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450" w:type="dxa"/>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效益指标</w:t>
            </w: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社会效益指标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城乡住户调查补助发放覆盖率</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反映城乡住户调查补助发放覆盖的情况</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=100%</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78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综合统计业务费</w:t>
            </w:r>
          </w:p>
        </w:tc>
        <w:tc>
          <w:tcPr>
            <w:tcW w:w="960"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58.67</w:t>
            </w:r>
          </w:p>
        </w:tc>
        <w:tc>
          <w:tcPr>
            <w:tcW w:w="2700" w:type="dxa"/>
            <w:vMerge w:val="restart"/>
            <w:tcBorders>
              <w:left w:val="single" w:color="000000" w:sz="4" w:space="0"/>
              <w:right w:val="single" w:color="000000" w:sz="4" w:space="0"/>
            </w:tcBorders>
            <w:noWrap w:val="0"/>
            <w:vAlign w:val="center"/>
          </w:tcPr>
          <w:p>
            <w:pPr>
              <w:tabs>
                <w:tab w:val="left" w:pos="417"/>
              </w:tabs>
              <w:spacing w:line="240" w:lineRule="auto"/>
              <w:jc w:val="left"/>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ab/>
            </w:r>
            <w:r>
              <w:rPr>
                <w:rFonts w:hint="eastAsia" w:ascii="华文细黑" w:hAnsi="华文细黑" w:eastAsia="华文细黑" w:cs="华文细黑"/>
                <w:kern w:val="0"/>
                <w:sz w:val="18"/>
                <w:szCs w:val="18"/>
                <w:vertAlign w:val="baseline"/>
                <w:lang w:eastAsia="zh-CN"/>
              </w:rPr>
              <w:t>为确保全省统一统计调查任务的完成，为主动适应经济发展新常态，全面落实上级主管部门和市委市政府决策部署，牢牢把握稳中求进总基调，全年开展国民经济核算统计、基本单位统计、农业农村统计、规模以上工业统计、建筑业统计、批发和零售业统计、住宿和餐饮业统计、固定资产投资统计、房地产开发统计、能源统计、四下企业抽样调查、人口年变、吉林省县级粮食产量抽样调查等业务工作。分为月度报表、季度报表、年度报表，分别在每月底、季度末、年末之前完成。对国民经济和社会发展等情况进行统计分析、统计预测预警和统计监督，向市委、市政府及有关部门提供统计信息和咨询建议，定期向社会公众发布全市国民经济和社会发展情况的统计信息。根据经济普查清查及登记情况，对符合入库入统条件的服务业企业，进行入户跟踪调查，指导企业准备相关材料进行申报。对上级统计部门抽中的规模以下（工业）企业和个体户的登记注册类型、人员及生产经营状况等进行调查，调查分为年报和季报。上报数据用于推算全省规模以下工业经济总量和增长速度。</w:t>
            </w:r>
          </w:p>
        </w:tc>
        <w:tc>
          <w:tcPr>
            <w:tcW w:w="450" w:type="dxa"/>
            <w:vMerge w:val="restart"/>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培训人次</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反映参加培训人员的数量情况。</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&gt;=200人</w:t>
            </w:r>
          </w:p>
        </w:tc>
        <w:tc>
          <w:tcPr>
            <w:tcW w:w="480" w:type="dxa"/>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vMerge w:val="continue"/>
            <w:noWrap w:val="0"/>
            <w:vAlign w:val="center"/>
          </w:tcPr>
          <w:p>
            <w:pPr>
              <w:spacing w:line="240" w:lineRule="auto"/>
              <w:jc w:val="center"/>
              <w:rPr>
                <w:sz w:val="36"/>
                <w:szCs w:val="21"/>
              </w:rPr>
            </w:pP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经济分析报告篇数</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反映为市委市政府提供经济运行报告的数量情况。</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&gt;=8篇</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rPr>
            </w:pPr>
          </w:p>
        </w:tc>
        <w:tc>
          <w:tcPr>
            <w:tcW w:w="7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rPr>
            </w:pPr>
          </w:p>
        </w:tc>
        <w:tc>
          <w:tcPr>
            <w:tcW w:w="96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rPr>
            </w:pPr>
          </w:p>
        </w:tc>
        <w:tc>
          <w:tcPr>
            <w:tcW w:w="270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rPr>
            </w:pPr>
          </w:p>
        </w:tc>
        <w:tc>
          <w:tcPr>
            <w:tcW w:w="450" w:type="dxa"/>
            <w:vMerge w:val="continue"/>
            <w:noWrap w:val="0"/>
            <w:vAlign w:val="center"/>
          </w:tcPr>
          <w:p>
            <w:pPr>
              <w:spacing w:line="240" w:lineRule="auto"/>
              <w:jc w:val="center"/>
              <w:rPr>
                <w:rFonts w:hint="eastAsia" w:ascii="华文细黑" w:hAnsi="华文细黑" w:eastAsia="华文细黑" w:cs="华文细黑"/>
                <w:kern w:val="0"/>
                <w:sz w:val="18"/>
                <w:szCs w:val="18"/>
                <w:vertAlign w:val="baseline"/>
                <w:lang w:val="en-US" w:eastAsia="zh-CN"/>
              </w:rPr>
            </w:pP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统计信息发布数</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反映统计信息发布的数量</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&gt;=22篇</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成本指标</w:t>
            </w: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经济成本指标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人均培训成本</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人均培训成本</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&lt;=100元/人/天</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7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96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270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450" w:type="dxa"/>
            <w:vMerge w:val="restart"/>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效益指标</w:t>
            </w: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社会效益指标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编印上年经济运行的统计公报，为党政领导决策提供数据支撑</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编印上年经济运行的统计公报，为党政领导决策提供数据支撑</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=1篇</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78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96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2700" w:type="dxa"/>
            <w:vMerge w:val="continue"/>
            <w:tcBorders>
              <w:left w:val="single" w:color="000000" w:sz="4" w:space="0"/>
              <w:right w:val="single" w:color="000000" w:sz="4" w:space="0"/>
            </w:tcBorders>
            <w:noWrap w:val="0"/>
            <w:vAlign w:val="center"/>
          </w:tcPr>
          <w:p>
            <w:pPr>
              <w:spacing w:line="240" w:lineRule="auto"/>
              <w:jc w:val="center"/>
              <w:rPr>
                <w:sz w:val="36"/>
                <w:szCs w:val="21"/>
              </w:rPr>
            </w:pPr>
          </w:p>
        </w:tc>
        <w:tc>
          <w:tcPr>
            <w:tcW w:w="450" w:type="dxa"/>
            <w:vMerge w:val="continue"/>
            <w:noWrap w:val="0"/>
            <w:vAlign w:val="center"/>
          </w:tcPr>
          <w:p>
            <w:pPr>
              <w:spacing w:line="240" w:lineRule="auto"/>
              <w:jc w:val="center"/>
              <w:rPr>
                <w:sz w:val="36"/>
                <w:szCs w:val="21"/>
              </w:rPr>
            </w:pP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社会效益指标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编印历年经济运行的统计年鉴，为党政领导决策提供数据支撑</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编印全市历年经济运行的统计年鉴，为党政领导决策提供数据支撑</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&gt;=120册</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78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96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270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450" w:type="dxa"/>
            <w:vMerge w:val="continue"/>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p>
        </w:tc>
        <w:tc>
          <w:tcPr>
            <w:tcW w:w="135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社会效益指标</w:t>
            </w:r>
          </w:p>
        </w:tc>
        <w:tc>
          <w:tcPr>
            <w:tcW w:w="1005"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编印当年月度经济运行的统计月报，为党政领导决策提供数据支撑</w:t>
            </w:r>
          </w:p>
        </w:tc>
        <w:tc>
          <w:tcPr>
            <w:tcW w:w="1470"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提供反映当年月度经济运行发展情况，为党政领导决策提供数据支撑，发挥统计参谋和助手作用的统计月报。</w:t>
            </w:r>
          </w:p>
        </w:tc>
        <w:tc>
          <w:tcPr>
            <w:tcW w:w="11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=11篇</w:t>
            </w:r>
          </w:p>
        </w:tc>
        <w:tc>
          <w:tcPr>
            <w:tcW w:w="48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i w:val="0"/>
                <w:iCs w:val="0"/>
                <w:color w:val="000000"/>
                <w:kern w:val="0"/>
                <w:sz w:val="18"/>
                <w:szCs w:val="18"/>
                <w:u w:val="none"/>
                <w:lang w:val="en-US" w:eastAsia="zh-CN" w:bidi="ar"/>
              </w:rPr>
              <w:t>10</w:t>
            </w:r>
          </w:p>
        </w:tc>
      </w:tr>
    </w:tbl>
    <w:p>
      <w:pPr>
        <w:ind w:firstLine="640" w:firstLineChars="200"/>
        <w:rPr>
          <w:rFonts w:hAnsi="楷体" w:eastAsia="楷体"/>
        </w:rPr>
      </w:pPr>
    </w:p>
    <w:p>
      <w:pPr>
        <w:ind w:firstLine="640" w:firstLineChars="200"/>
        <w:rPr>
          <w:rFonts w:hAnsi="楷体" w:eastAsia="楷体"/>
        </w:rPr>
      </w:pPr>
    </w:p>
    <w:p>
      <w:pPr>
        <w:rPr>
          <w:rFonts w:hint="default" w:hAnsi="楷体" w:eastAsia="楷体"/>
          <w:lang w:val="en-US" w:eastAsia="zh-CN"/>
        </w:rPr>
      </w:pPr>
    </w:p>
    <w:p>
      <w:pPr>
        <w:rPr>
          <w:rFonts w:hAnsi="楷体" w:eastAsia="楷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 w:val="30"/>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default" w:ascii="Times New Roman" w:hAnsi="Times New Roman" w:cs="Times New Roman"/>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383.89</w:t>
      </w:r>
      <w:r>
        <w:rPr>
          <w:szCs w:val="32"/>
        </w:rPr>
        <w:t>万元</w:t>
      </w:r>
      <w:r>
        <w:rPr>
          <w:rFonts w:hint="eastAsia"/>
          <w:szCs w:val="32"/>
          <w:lang w:eastAsia="zh-CN"/>
        </w:rPr>
        <w:t>，其中：本年预算</w:t>
      </w:r>
      <w:r>
        <w:rPr>
          <w:rFonts w:hint="eastAsia"/>
          <w:szCs w:val="32"/>
          <w:lang w:val="en-US" w:eastAsia="zh-CN"/>
        </w:rPr>
        <w:t>366.10</w:t>
      </w:r>
      <w:r>
        <w:rPr>
          <w:rFonts w:hint="eastAsia"/>
          <w:szCs w:val="32"/>
          <w:lang w:eastAsia="zh-CN"/>
        </w:rPr>
        <w:t>万元；上年结转</w:t>
      </w:r>
      <w:r>
        <w:rPr>
          <w:rFonts w:hint="eastAsia"/>
          <w:szCs w:val="32"/>
          <w:lang w:val="en-US" w:eastAsia="zh-CN"/>
        </w:rPr>
        <w:t>17.79</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81.91</w:t>
      </w:r>
      <w:r>
        <w:rPr>
          <w:szCs w:val="32"/>
        </w:rPr>
        <w:t>万元，主要原因是</w:t>
      </w:r>
      <w:r>
        <w:rPr>
          <w:szCs w:val="32"/>
        </w:rPr>
        <w:softHyphen/>
      </w:r>
      <w:r>
        <w:rPr>
          <w:szCs w:val="32"/>
        </w:rPr>
        <w:softHyphen/>
      </w:r>
      <w:r>
        <w:rPr>
          <w:szCs w:val="32"/>
        </w:rPr>
        <w:softHyphen/>
      </w:r>
      <w:r>
        <w:rPr>
          <w:rFonts w:hint="eastAsia"/>
          <w:szCs w:val="32"/>
          <w:lang w:eastAsia="zh-CN"/>
        </w:rPr>
        <w:t>本年度增加大型普查经费及单位职业年金缴费、单位资金收入纳入预算，所以本年预算比上年度增加</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383.89</w:t>
      </w:r>
      <w:r>
        <w:rPr>
          <w:szCs w:val="32"/>
        </w:rPr>
        <w:t>万元，其中：本年收入</w:t>
      </w:r>
      <w:r>
        <w:rPr>
          <w:rFonts w:hint="eastAsia"/>
          <w:szCs w:val="32"/>
          <w:lang w:val="en-US" w:eastAsia="zh-CN"/>
        </w:rPr>
        <w:t>366.10</w:t>
      </w:r>
      <w:r>
        <w:rPr>
          <w:szCs w:val="32"/>
        </w:rPr>
        <w:t>万元，占</w:t>
      </w:r>
      <w:r>
        <w:rPr>
          <w:rFonts w:hint="eastAsia"/>
          <w:szCs w:val="32"/>
          <w:lang w:val="en-US" w:eastAsia="zh-CN"/>
        </w:rPr>
        <w:t>95.37</w:t>
      </w:r>
      <w:r>
        <w:rPr>
          <w:szCs w:val="32"/>
        </w:rPr>
        <w:t>%；上年结转</w:t>
      </w:r>
      <w:r>
        <w:rPr>
          <w:rFonts w:hint="eastAsia"/>
          <w:szCs w:val="32"/>
          <w:lang w:eastAsia="zh-CN"/>
        </w:rPr>
        <w:t>结余</w:t>
      </w:r>
      <w:r>
        <w:rPr>
          <w:rFonts w:hint="eastAsia"/>
          <w:szCs w:val="32"/>
          <w:lang w:val="en-US" w:eastAsia="zh-CN"/>
        </w:rPr>
        <w:t>17.79</w:t>
      </w:r>
      <w:r>
        <w:rPr>
          <w:szCs w:val="32"/>
        </w:rPr>
        <w:t>万元，占</w:t>
      </w:r>
      <w:r>
        <w:rPr>
          <w:rFonts w:hint="eastAsia"/>
          <w:szCs w:val="32"/>
          <w:lang w:val="en-US" w:eastAsia="zh-CN"/>
        </w:rPr>
        <w:t>4.63</w:t>
      </w:r>
      <w:r>
        <w:rPr>
          <w:szCs w:val="32"/>
        </w:rPr>
        <w:t>%。本年收入中，一般公共预算拨款收入</w:t>
      </w:r>
      <w:r>
        <w:rPr>
          <w:rFonts w:hint="eastAsia"/>
          <w:szCs w:val="32"/>
          <w:lang w:val="en-US" w:eastAsia="zh-CN"/>
        </w:rPr>
        <w:t>290.70</w:t>
      </w:r>
      <w:r>
        <w:rPr>
          <w:szCs w:val="32"/>
        </w:rPr>
        <w:t>万元，占</w:t>
      </w:r>
      <w:r>
        <w:rPr>
          <w:rFonts w:hint="eastAsia"/>
          <w:szCs w:val="32"/>
          <w:lang w:val="en-US" w:eastAsia="zh-CN"/>
        </w:rPr>
        <w:t>79.41</w:t>
      </w:r>
      <w:r>
        <w:rPr>
          <w:szCs w:val="32"/>
        </w:rPr>
        <w:t>%；其他收入</w:t>
      </w:r>
      <w:r>
        <w:rPr>
          <w:rFonts w:hint="eastAsia"/>
          <w:szCs w:val="32"/>
          <w:lang w:val="en-US" w:eastAsia="zh-CN"/>
        </w:rPr>
        <w:t>75.4</w:t>
      </w:r>
      <w:r>
        <w:rPr>
          <w:szCs w:val="32"/>
        </w:rPr>
        <w:t>万元，占</w:t>
      </w:r>
      <w:r>
        <w:rPr>
          <w:rFonts w:hint="eastAsia"/>
          <w:szCs w:val="32"/>
          <w:lang w:val="en-US" w:eastAsia="zh-CN"/>
        </w:rPr>
        <w:t>20.59</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17.79</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383.89</w:t>
      </w:r>
      <w:r>
        <w:rPr>
          <w:szCs w:val="32"/>
        </w:rPr>
        <w:t>万元，其中：基本支出</w:t>
      </w:r>
      <w:r>
        <w:rPr>
          <w:rFonts w:hint="eastAsia"/>
          <w:szCs w:val="32"/>
          <w:lang w:val="en-US" w:eastAsia="zh-CN"/>
        </w:rPr>
        <w:t>213.70</w:t>
      </w:r>
      <w:r>
        <w:rPr>
          <w:szCs w:val="32"/>
        </w:rPr>
        <w:t>万元，占</w:t>
      </w:r>
      <w:r>
        <w:rPr>
          <w:rFonts w:hint="eastAsia"/>
          <w:szCs w:val="32"/>
          <w:lang w:val="en-US" w:eastAsia="zh-CN"/>
        </w:rPr>
        <w:t>55.67</w:t>
      </w:r>
      <w:r>
        <w:rPr>
          <w:szCs w:val="32"/>
        </w:rPr>
        <w:t>%；项目支出</w:t>
      </w:r>
      <w:r>
        <w:rPr>
          <w:rFonts w:hint="eastAsia"/>
          <w:szCs w:val="32"/>
          <w:lang w:val="en-US" w:eastAsia="zh-CN"/>
        </w:rPr>
        <w:t>170.19</w:t>
      </w:r>
      <w:r>
        <w:rPr>
          <w:szCs w:val="32"/>
        </w:rPr>
        <w:t>万元，占</w:t>
      </w:r>
      <w:r>
        <w:rPr>
          <w:rFonts w:hint="eastAsia"/>
          <w:szCs w:val="32"/>
          <w:lang w:val="en-US" w:eastAsia="zh-CN"/>
        </w:rPr>
        <w:t>44.33</w:t>
      </w:r>
      <w:r>
        <w:rPr>
          <w:szCs w:val="32"/>
        </w:rPr>
        <w:t>%。</w:t>
      </w:r>
    </w:p>
    <w:p>
      <w:pPr>
        <w:ind w:firstLine="600"/>
        <w:rPr>
          <w:rFonts w:eastAsia="楷体"/>
          <w:szCs w:val="32"/>
        </w:rPr>
      </w:pPr>
    </w:p>
    <w:p>
      <w:pPr>
        <w:ind w:firstLine="600"/>
        <w:rPr>
          <w:rFonts w:eastAsia="黑体"/>
          <w:szCs w:val="32"/>
        </w:rPr>
      </w:pPr>
      <w:r>
        <w:rPr>
          <w:rFonts w:eastAsia="楷体"/>
          <w:szCs w:val="32"/>
        </w:rPr>
        <w:br w:type="page"/>
      </w: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290.70</w:t>
      </w:r>
      <w:r>
        <w:rPr>
          <w:szCs w:val="32"/>
        </w:rPr>
        <w:t>万元，其中：</w:t>
      </w:r>
      <w:r>
        <w:rPr>
          <w:rFonts w:hint="eastAsia"/>
          <w:szCs w:val="32"/>
        </w:rPr>
        <w:t>本年</w:t>
      </w:r>
      <w:r>
        <w:rPr>
          <w:rFonts w:hint="eastAsia"/>
          <w:szCs w:val="32"/>
          <w:lang w:eastAsia="zh-CN"/>
        </w:rPr>
        <w:t>预算</w:t>
      </w:r>
      <w:r>
        <w:rPr>
          <w:rFonts w:hint="eastAsia"/>
          <w:szCs w:val="32"/>
          <w:lang w:val="en-US" w:eastAsia="zh-CN"/>
        </w:rPr>
        <w:t>290.70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226.29</w:t>
      </w:r>
      <w:r>
        <w:rPr>
          <w:szCs w:val="32"/>
        </w:rPr>
        <w:t>万元，</w:t>
      </w:r>
      <w:r>
        <w:rPr>
          <w:kern w:val="0"/>
          <w:szCs w:val="32"/>
        </w:rPr>
        <w:t>社会保障和就业支出</w:t>
      </w:r>
      <w:r>
        <w:rPr>
          <w:rFonts w:hint="eastAsia"/>
          <w:szCs w:val="32"/>
          <w:lang w:val="en-US" w:eastAsia="zh-CN"/>
        </w:rPr>
        <w:t>43.43</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5.87</w:t>
      </w:r>
      <w:r>
        <w:rPr>
          <w:szCs w:val="32"/>
        </w:rPr>
        <w:t>万元，</w:t>
      </w:r>
      <w:r>
        <w:rPr>
          <w:kern w:val="0"/>
          <w:szCs w:val="32"/>
        </w:rPr>
        <w:t>住房保障支出</w:t>
      </w:r>
      <w:r>
        <w:rPr>
          <w:rFonts w:hint="eastAsia"/>
          <w:szCs w:val="32"/>
          <w:lang w:val="en-US" w:eastAsia="zh-CN"/>
        </w:rPr>
        <w:t>15.11</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290.70</w:t>
      </w:r>
      <w:r>
        <w:rPr>
          <w:szCs w:val="32"/>
        </w:rPr>
        <w:t>万元，其中：基本支出</w:t>
      </w:r>
      <w:r>
        <w:rPr>
          <w:rFonts w:hint="eastAsia"/>
          <w:szCs w:val="32"/>
          <w:lang w:val="en-US" w:eastAsia="zh-CN"/>
        </w:rPr>
        <w:t>213.70</w:t>
      </w:r>
      <w:r>
        <w:rPr>
          <w:szCs w:val="32"/>
        </w:rPr>
        <w:t>万元，占</w:t>
      </w:r>
      <w:r>
        <w:rPr>
          <w:rFonts w:hint="eastAsia"/>
          <w:szCs w:val="32"/>
          <w:lang w:val="en-US" w:eastAsia="zh-CN"/>
        </w:rPr>
        <w:t>73.51</w:t>
      </w:r>
      <w:r>
        <w:rPr>
          <w:szCs w:val="32"/>
        </w:rPr>
        <w:t>%；项目支出</w:t>
      </w:r>
      <w:r>
        <w:rPr>
          <w:rFonts w:hint="eastAsia"/>
          <w:szCs w:val="32"/>
          <w:lang w:val="en-US" w:eastAsia="zh-CN"/>
        </w:rPr>
        <w:t>77.00</w:t>
      </w:r>
      <w:r>
        <w:rPr>
          <w:szCs w:val="32"/>
        </w:rPr>
        <w:t>万元，占</w:t>
      </w:r>
      <w:r>
        <w:rPr>
          <w:rFonts w:hint="eastAsia"/>
          <w:szCs w:val="32"/>
          <w:lang w:val="en-US" w:eastAsia="zh-CN"/>
        </w:rPr>
        <w:t>26.49</w:t>
      </w:r>
      <w:r>
        <w:rPr>
          <w:szCs w:val="32"/>
        </w:rPr>
        <w:t>%。基本支出中，人员经费</w:t>
      </w:r>
      <w:r>
        <w:rPr>
          <w:rFonts w:hint="eastAsia"/>
          <w:szCs w:val="32"/>
          <w:lang w:val="en-US" w:eastAsia="zh-CN"/>
        </w:rPr>
        <w:t>182.14</w:t>
      </w:r>
      <w:r>
        <w:rPr>
          <w:szCs w:val="32"/>
        </w:rPr>
        <w:t>万元，占</w:t>
      </w:r>
      <w:r>
        <w:rPr>
          <w:rFonts w:hint="eastAsia"/>
          <w:szCs w:val="32"/>
          <w:lang w:val="en-US" w:eastAsia="zh-CN"/>
        </w:rPr>
        <w:t>85.23</w:t>
      </w:r>
      <w:r>
        <w:rPr>
          <w:szCs w:val="32"/>
        </w:rPr>
        <w:t>%；公用经费</w:t>
      </w:r>
      <w:r>
        <w:rPr>
          <w:rFonts w:hint="eastAsia"/>
          <w:szCs w:val="32"/>
          <w:lang w:val="en-US" w:eastAsia="zh-CN"/>
        </w:rPr>
        <w:t>31.56</w:t>
      </w:r>
      <w:r>
        <w:rPr>
          <w:szCs w:val="32"/>
        </w:rPr>
        <w:t>万元，占</w:t>
      </w:r>
      <w:r>
        <w:rPr>
          <w:rFonts w:hint="eastAsia"/>
          <w:szCs w:val="32"/>
          <w:lang w:val="en-US" w:eastAsia="zh-CN"/>
        </w:rPr>
        <w:t>14.77</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226.29</w:t>
      </w:r>
      <w:r>
        <w:rPr>
          <w:szCs w:val="32"/>
        </w:rPr>
        <w:t>万元，占</w:t>
      </w:r>
      <w:r>
        <w:rPr>
          <w:rFonts w:hint="eastAsia"/>
          <w:szCs w:val="32"/>
          <w:lang w:val="en-US" w:eastAsia="zh-CN"/>
        </w:rPr>
        <w:t>77.84</w:t>
      </w:r>
      <w:r>
        <w:rPr>
          <w:szCs w:val="32"/>
        </w:rPr>
        <w:t>%，主要用于</w:t>
      </w:r>
      <w:r>
        <w:rPr>
          <w:rFonts w:hint="eastAsia"/>
          <w:szCs w:val="32"/>
          <w:lang w:eastAsia="zh-CN"/>
        </w:rPr>
        <w:t>本单位机关运行和各项统计业务的开展</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43.43</w:t>
      </w:r>
      <w:r>
        <w:rPr>
          <w:szCs w:val="32"/>
        </w:rPr>
        <w:t>万元，占</w:t>
      </w:r>
      <w:r>
        <w:rPr>
          <w:rFonts w:hint="eastAsia"/>
          <w:szCs w:val="32"/>
          <w:lang w:val="en-US" w:eastAsia="zh-CN"/>
        </w:rPr>
        <w:t>14.94</w:t>
      </w:r>
      <w:r>
        <w:rPr>
          <w:szCs w:val="32"/>
        </w:rPr>
        <w:t>%，主要用于</w:t>
      </w:r>
      <w:r>
        <w:rPr>
          <w:rFonts w:hint="eastAsia"/>
          <w:szCs w:val="32"/>
          <w:lang w:eastAsia="zh-CN"/>
        </w:rPr>
        <w:t>本单位离退休费支出，在职人员的机关事业单位基本养老保险和机关事业单位职业年金缴费</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5.87</w:t>
      </w:r>
      <w:r>
        <w:rPr>
          <w:szCs w:val="32"/>
        </w:rPr>
        <w:t>万元，占</w:t>
      </w:r>
      <w:r>
        <w:rPr>
          <w:rFonts w:hint="eastAsia"/>
          <w:szCs w:val="32"/>
          <w:lang w:val="en-US" w:eastAsia="zh-CN"/>
        </w:rPr>
        <w:t>2.02</w:t>
      </w:r>
      <w:r>
        <w:rPr>
          <w:szCs w:val="32"/>
        </w:rPr>
        <w:t>%，主要用于</w:t>
      </w:r>
      <w:r>
        <w:rPr>
          <w:rFonts w:hint="eastAsia"/>
          <w:szCs w:val="32"/>
          <w:lang w:eastAsia="zh-CN"/>
        </w:rPr>
        <w:t>本单位在职人员的职工基本医疗保险、公务员医疗补助和工伤保险缴费</w:t>
      </w:r>
      <w:r>
        <w:rPr>
          <w:szCs w:val="32"/>
        </w:rPr>
        <w:t>。</w:t>
      </w:r>
    </w:p>
    <w:p>
      <w:pPr>
        <w:spacing w:line="520" w:lineRule="exact"/>
        <w:ind w:firstLine="640" w:firstLineChars="200"/>
        <w:rPr>
          <w:rFonts w:hint="eastAsia"/>
          <w:szCs w:val="32"/>
          <w:lang w:eastAsia="zh-CN"/>
        </w:rPr>
      </w:pPr>
      <w:r>
        <w:rPr>
          <w:rFonts w:hint="eastAsia"/>
          <w:szCs w:val="32"/>
          <w:lang w:eastAsia="zh-CN"/>
        </w:rPr>
        <w:t>住房保障（类）支出</w:t>
      </w:r>
      <w:r>
        <w:rPr>
          <w:rFonts w:hint="eastAsia"/>
          <w:szCs w:val="32"/>
          <w:lang w:val="en-US" w:eastAsia="zh-CN"/>
        </w:rPr>
        <w:t>15.11</w:t>
      </w:r>
      <w:r>
        <w:rPr>
          <w:rFonts w:hint="eastAsia"/>
          <w:szCs w:val="32"/>
          <w:lang w:eastAsia="zh-CN"/>
        </w:rPr>
        <w:t>万元，占</w:t>
      </w:r>
      <w:r>
        <w:rPr>
          <w:rFonts w:hint="eastAsia"/>
          <w:szCs w:val="32"/>
          <w:lang w:val="en-US" w:eastAsia="zh-CN"/>
        </w:rPr>
        <w:t>5.20</w:t>
      </w:r>
      <w:r>
        <w:rPr>
          <w:rFonts w:hint="eastAsia"/>
          <w:szCs w:val="32"/>
          <w:lang w:eastAsia="zh-CN"/>
        </w:rPr>
        <w:t>%，主</w:t>
      </w:r>
      <w:r>
        <w:rPr>
          <w:szCs w:val="32"/>
        </w:rPr>
        <w:t>要用于</w:t>
      </w:r>
      <w:r>
        <w:rPr>
          <w:rFonts w:hint="eastAsia"/>
          <w:szCs w:val="32"/>
          <w:lang w:eastAsia="zh-CN"/>
        </w:rPr>
        <w:t>本单位在职人员的住房公积金缴费。</w:t>
      </w:r>
    </w:p>
    <w:p>
      <w:pPr>
        <w:spacing w:line="520" w:lineRule="exact"/>
        <w:ind w:left="640" w:leftChars="200" w:firstLine="0" w:firstLineChars="0"/>
        <w:rPr>
          <w:rFonts w:hint="eastAsia" w:eastAsia="黑体"/>
          <w:szCs w:val="32"/>
          <w:lang w:val="en-US" w:eastAsia="zh-CN"/>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r>
        <w:rPr>
          <w:rFonts w:hint="eastAsia" w:eastAsia="黑体"/>
          <w:szCs w:val="32"/>
          <w:lang w:val="en-US" w:eastAsia="zh-CN"/>
        </w:rPr>
        <w:t xml:space="preserve"> </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213.70</w:t>
      </w:r>
      <w:r>
        <w:rPr>
          <w:szCs w:val="32"/>
        </w:rPr>
        <w:t>万元，其中：</w:t>
      </w:r>
    </w:p>
    <w:p>
      <w:pPr>
        <w:ind w:firstLine="640" w:firstLineChars="200"/>
        <w:rPr>
          <w:kern w:val="0"/>
          <w:szCs w:val="32"/>
        </w:rPr>
      </w:pPr>
      <w:r>
        <w:rPr>
          <w:szCs w:val="32"/>
        </w:rPr>
        <w:t>人员经费</w:t>
      </w:r>
      <w:r>
        <w:rPr>
          <w:rFonts w:hint="eastAsia"/>
          <w:szCs w:val="32"/>
          <w:lang w:val="en-US" w:eastAsia="zh-CN"/>
        </w:rPr>
        <w:t>182.14</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；退</w:t>
      </w:r>
      <w:r>
        <w:rPr>
          <w:kern w:val="0"/>
          <w:szCs w:val="32"/>
        </w:rPr>
        <w:t>休费</w:t>
      </w:r>
      <w:r>
        <w:rPr>
          <w:szCs w:val="32"/>
        </w:rPr>
        <w:t>、</w:t>
      </w:r>
      <w:r>
        <w:rPr>
          <w:kern w:val="0"/>
          <w:szCs w:val="32"/>
        </w:rPr>
        <w:t>其他对个人和家庭的补助。</w:t>
      </w:r>
    </w:p>
    <w:p>
      <w:pPr>
        <w:ind w:firstLine="640" w:firstLineChars="200"/>
        <w:rPr>
          <w:kern w:val="0"/>
          <w:szCs w:val="32"/>
        </w:rPr>
      </w:pPr>
      <w:r>
        <w:rPr>
          <w:kern w:val="0"/>
          <w:szCs w:val="32"/>
        </w:rPr>
        <w:t>公用经费</w:t>
      </w:r>
      <w:r>
        <w:rPr>
          <w:rFonts w:hint="eastAsia"/>
          <w:szCs w:val="32"/>
          <w:lang w:val="en-US" w:eastAsia="zh-CN"/>
        </w:rPr>
        <w:t>31.56</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0.23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0.02万</w:t>
      </w:r>
      <w:r>
        <w:rPr>
          <w:szCs w:val="32"/>
        </w:rPr>
        <w:t>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pPr>
        <w:ind w:firstLine="640" w:firstLineChars="200"/>
        <w:rPr>
          <w:rFonts w:hint="eastAsia" w:eastAsia="仿宋_GB2312"/>
          <w:szCs w:val="32"/>
          <w:lang w:eastAsia="zh-CN"/>
        </w:rPr>
      </w:pPr>
      <w:r>
        <w:rPr>
          <w:szCs w:val="32"/>
        </w:rPr>
        <w:t>2.公务接待费</w:t>
      </w:r>
      <w:r>
        <w:rPr>
          <w:rFonts w:hint="eastAsia"/>
          <w:szCs w:val="32"/>
          <w:lang w:val="en-US" w:eastAsia="zh-CN"/>
        </w:rPr>
        <w:t>0.23</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万元，主要原因是</w:t>
      </w:r>
      <w:r>
        <w:rPr>
          <w:rFonts w:hint="eastAsia"/>
          <w:szCs w:val="32"/>
          <w:lang w:eastAsia="zh-CN"/>
        </w:rPr>
        <w:t>本年度</w:t>
      </w:r>
      <w:r>
        <w:rPr>
          <w:rFonts w:hint="default" w:ascii="Times New Roman" w:hAnsi="Times New Roman" w:cs="Times New Roman"/>
          <w:szCs w:val="32"/>
        </w:rPr>
        <w:t>预算核定</w:t>
      </w:r>
      <w:r>
        <w:rPr>
          <w:rFonts w:hint="eastAsia" w:cs="Times New Roman"/>
          <w:szCs w:val="32"/>
          <w:lang w:eastAsia="zh-CN"/>
        </w:rPr>
        <w:t>的</w:t>
      </w:r>
      <w:r>
        <w:rPr>
          <w:rFonts w:hint="eastAsia"/>
          <w:szCs w:val="32"/>
          <w:lang w:eastAsia="zh-CN"/>
        </w:rPr>
        <w:t>公务接待费减少。</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0万</w:t>
      </w:r>
      <w:bookmarkStart w:id="0" w:name="_GoBack"/>
      <w:bookmarkEnd w:id="0"/>
      <w:r>
        <w:rPr>
          <w:szCs w:val="32"/>
        </w:rPr>
        <w:t>元</w:t>
      </w:r>
      <w:r>
        <w:rPr>
          <w:rFonts w:hint="eastAsia"/>
          <w:szCs w:val="32"/>
          <w:lang w:val="en-US"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hint="eastAsia" w:eastAsia="仿宋_GB2312"/>
          <w:szCs w:val="32"/>
          <w:lang w:val="en-US" w:eastAsia="zh-CN"/>
        </w:rPr>
      </w:pPr>
      <w:r>
        <w:rPr>
          <w:rFonts w:hint="eastAsia"/>
          <w:szCs w:val="32"/>
          <w:lang w:eastAsia="zh-CN"/>
        </w:rPr>
        <w:t>本单位无</w:t>
      </w:r>
      <w:r>
        <w:rPr>
          <w:szCs w:val="32"/>
        </w:rPr>
        <w:t>政府性基金</w:t>
      </w:r>
      <w:r>
        <w:rPr>
          <w:rFonts w:hint="eastAsia"/>
          <w:szCs w:val="32"/>
          <w:lang w:val="en-US" w:eastAsia="zh-CN"/>
        </w:rPr>
        <w:t>预算拨款</w:t>
      </w:r>
      <w:r>
        <w:rPr>
          <w:szCs w:val="32"/>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eastAsia="楷体"/>
          <w:szCs w:val="32"/>
        </w:rPr>
      </w:pPr>
      <w:r>
        <w:rPr>
          <w:rFonts w:hint="eastAsia"/>
          <w:szCs w:val="32"/>
          <w:lang w:eastAsia="zh-CN"/>
        </w:rPr>
        <w:t>本单位无</w:t>
      </w:r>
      <w:r>
        <w:rPr>
          <w:rFonts w:hint="eastAsia"/>
          <w:szCs w:val="32"/>
        </w:rPr>
        <w:t>国有资本经营</w:t>
      </w:r>
      <w:r>
        <w:rPr>
          <w:rFonts w:hint="eastAsia"/>
          <w:szCs w:val="32"/>
          <w:lang w:val="en-US" w:eastAsia="zh-CN"/>
        </w:rPr>
        <w:t>预算拨款</w:t>
      </w:r>
      <w:r>
        <w:rPr>
          <w:szCs w:val="32"/>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rFonts w:hint="eastAsia"/>
          <w:szCs w:val="32"/>
          <w:lang w:eastAsia="zh-CN"/>
        </w:rPr>
        <w:t>家</w:t>
      </w:r>
      <w:r>
        <w:rPr>
          <w:szCs w:val="32"/>
        </w:rPr>
        <w:t>行政单位的机关运行经费财政拨款预算</w:t>
      </w:r>
      <w:r>
        <w:rPr>
          <w:rFonts w:hint="eastAsia"/>
          <w:szCs w:val="32"/>
          <w:lang w:val="en-US" w:eastAsia="zh-CN"/>
        </w:rPr>
        <w:t>31.56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2.22</w:t>
      </w:r>
      <w:r>
        <w:rPr>
          <w:szCs w:val="32"/>
        </w:rPr>
        <w:t>万元，下降</w:t>
      </w:r>
      <w:r>
        <w:rPr>
          <w:rFonts w:hint="eastAsia"/>
          <w:szCs w:val="32"/>
          <w:lang w:val="en-US" w:eastAsia="zh-CN"/>
        </w:rPr>
        <w:t>6.57</w:t>
      </w:r>
      <w:r>
        <w:rPr>
          <w:szCs w:val="32"/>
        </w:rPr>
        <w:t>%</w:t>
      </w:r>
      <w:r>
        <w:rPr>
          <w:rFonts w:hint="eastAsia"/>
          <w:szCs w:val="32"/>
        </w:rPr>
        <w:t>，主要原因是</w:t>
      </w:r>
      <w:r>
        <w:rPr>
          <w:rFonts w:hint="eastAsia" w:cs="Times New Roman"/>
          <w:szCs w:val="32"/>
          <w:lang w:eastAsia="zh-CN"/>
        </w:rPr>
        <w:t>财政</w:t>
      </w:r>
      <w:r>
        <w:rPr>
          <w:rFonts w:hint="default" w:ascii="Times New Roman" w:hAnsi="Times New Roman" w:cs="Times New Roman"/>
          <w:szCs w:val="32"/>
          <w:lang w:eastAsia="zh-CN"/>
        </w:rPr>
        <w:t>核定的公用经费</w:t>
      </w:r>
      <w:r>
        <w:rPr>
          <w:rFonts w:hint="eastAsia" w:cs="Times New Roman"/>
          <w:szCs w:val="32"/>
          <w:lang w:eastAsia="zh-CN"/>
        </w:rPr>
        <w:t>比上年度</w:t>
      </w:r>
      <w:r>
        <w:rPr>
          <w:rFonts w:hint="default" w:ascii="Times New Roman" w:hAnsi="Times New Roman" w:cs="Times New Roman"/>
          <w:szCs w:val="32"/>
          <w:lang w:eastAsia="zh-CN"/>
        </w:rPr>
        <w:t>减少</w:t>
      </w:r>
      <w:r>
        <w:rPr>
          <w:rFonts w:hint="eastAsia" w:cs="Times New Roman"/>
          <w:szCs w:val="32"/>
          <w:lang w:eastAsia="zh-CN"/>
        </w:rPr>
        <w:t>，所以机关运行经费相应减少</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rFonts w:hint="eastAsia"/>
          <w:szCs w:val="32"/>
          <w:highlight w:val="none"/>
          <w:lang w:val="en-US" w:eastAsia="zh-CN"/>
        </w:rPr>
        <w:t>本单位无政府采购</w:t>
      </w:r>
      <w:r>
        <w:rPr>
          <w:szCs w:val="32"/>
        </w:rPr>
        <w:t>。</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szCs w:val="32"/>
        </w:rPr>
      </w:pPr>
      <w:r>
        <w:rPr>
          <w:rFonts w:hint="eastAsia"/>
          <w:szCs w:val="22"/>
          <w:lang w:val="en-US" w:eastAsia="zh-CN"/>
        </w:rPr>
        <w:t>本单位无国有资产</w:t>
      </w:r>
      <w:r>
        <w:rPr>
          <w:rFonts w:hint="eastAsia"/>
          <w:szCs w:val="32"/>
        </w:rPr>
        <w:t>。</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170.19</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77.00</w:t>
      </w:r>
      <w:r>
        <w:rPr>
          <w:szCs w:val="32"/>
        </w:rPr>
        <w:t>万元，</w:t>
      </w:r>
      <w:r>
        <w:rPr>
          <w:rFonts w:hint="eastAsia"/>
          <w:szCs w:val="32"/>
        </w:rPr>
        <w:t>财政拨款结转0万元</w:t>
      </w:r>
      <w:r>
        <w:rPr>
          <w:rFonts w:hint="eastAsia"/>
          <w:szCs w:val="32"/>
          <w:lang w:eastAsia="zh-CN"/>
        </w:rPr>
        <w:t>；使用单位资金</w:t>
      </w:r>
      <w:r>
        <w:rPr>
          <w:rFonts w:hint="eastAsia"/>
          <w:szCs w:val="32"/>
          <w:lang w:val="en-US" w:eastAsia="zh-CN"/>
        </w:rPr>
        <w:t>75.40</w:t>
      </w:r>
      <w:r>
        <w:rPr>
          <w:rFonts w:hint="eastAsia"/>
          <w:szCs w:val="32"/>
          <w:lang w:eastAsia="zh-CN"/>
        </w:rPr>
        <w:t>万元，非财政拨款结转</w:t>
      </w:r>
      <w:r>
        <w:rPr>
          <w:rFonts w:hint="eastAsia"/>
          <w:szCs w:val="32"/>
          <w:lang w:val="en-US" w:eastAsia="zh-CN"/>
        </w:rPr>
        <w:t>17.79</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170.19</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5980"/>
    <w:rsid w:val="00F47B19"/>
    <w:rsid w:val="00F7193F"/>
    <w:rsid w:val="00F8523B"/>
    <w:rsid w:val="00FF7928"/>
    <w:rsid w:val="01265BCF"/>
    <w:rsid w:val="019B69D8"/>
    <w:rsid w:val="01B7145A"/>
    <w:rsid w:val="02033000"/>
    <w:rsid w:val="020E6D2C"/>
    <w:rsid w:val="02C44267"/>
    <w:rsid w:val="031D7D4B"/>
    <w:rsid w:val="037F2004"/>
    <w:rsid w:val="03D57286"/>
    <w:rsid w:val="042A795F"/>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AC830C9"/>
    <w:rsid w:val="0ADE50EA"/>
    <w:rsid w:val="0B49202F"/>
    <w:rsid w:val="0B5F5ADA"/>
    <w:rsid w:val="0B956BE6"/>
    <w:rsid w:val="0C2A5C84"/>
    <w:rsid w:val="0C4F64D9"/>
    <w:rsid w:val="0C583939"/>
    <w:rsid w:val="0C6D1BAE"/>
    <w:rsid w:val="0CB24D02"/>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260EB4"/>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BBE0495"/>
    <w:rsid w:val="1C852172"/>
    <w:rsid w:val="1CA40C0C"/>
    <w:rsid w:val="1CFF4A32"/>
    <w:rsid w:val="1D003925"/>
    <w:rsid w:val="1D833200"/>
    <w:rsid w:val="1E360515"/>
    <w:rsid w:val="1E3A3FD0"/>
    <w:rsid w:val="1EB55C07"/>
    <w:rsid w:val="1F351A10"/>
    <w:rsid w:val="1F857EA5"/>
    <w:rsid w:val="1FBF15D5"/>
    <w:rsid w:val="1FED47E9"/>
    <w:rsid w:val="206816AC"/>
    <w:rsid w:val="21134335"/>
    <w:rsid w:val="21AC0800"/>
    <w:rsid w:val="226E581D"/>
    <w:rsid w:val="22A4003E"/>
    <w:rsid w:val="22AF130C"/>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026666"/>
    <w:rsid w:val="2EB22F18"/>
    <w:rsid w:val="2EE12108"/>
    <w:rsid w:val="2EED35E3"/>
    <w:rsid w:val="2F0B5068"/>
    <w:rsid w:val="2F250383"/>
    <w:rsid w:val="2F63610B"/>
    <w:rsid w:val="2FBC646B"/>
    <w:rsid w:val="2FE547A2"/>
    <w:rsid w:val="300965A3"/>
    <w:rsid w:val="30730D6E"/>
    <w:rsid w:val="308B20C9"/>
    <w:rsid w:val="30B91A70"/>
    <w:rsid w:val="30F84C22"/>
    <w:rsid w:val="310C6AA2"/>
    <w:rsid w:val="31793674"/>
    <w:rsid w:val="31894469"/>
    <w:rsid w:val="32332703"/>
    <w:rsid w:val="32CF2C5D"/>
    <w:rsid w:val="32EE2C61"/>
    <w:rsid w:val="33391D55"/>
    <w:rsid w:val="33446DD8"/>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595178"/>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624397"/>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A361D8"/>
    <w:rsid w:val="59AC5554"/>
    <w:rsid w:val="59D514A6"/>
    <w:rsid w:val="59EC6E09"/>
    <w:rsid w:val="5AB343F7"/>
    <w:rsid w:val="5AB42314"/>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2E6B65"/>
    <w:rsid w:val="64C04AFD"/>
    <w:rsid w:val="655B219F"/>
    <w:rsid w:val="661A7B69"/>
    <w:rsid w:val="66455323"/>
    <w:rsid w:val="664909C1"/>
    <w:rsid w:val="66635AE4"/>
    <w:rsid w:val="66C63EB5"/>
    <w:rsid w:val="670267B3"/>
    <w:rsid w:val="67226E55"/>
    <w:rsid w:val="67592674"/>
    <w:rsid w:val="678C17A7"/>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6E2980"/>
    <w:rsid w:val="6FF50B81"/>
    <w:rsid w:val="70330B9C"/>
    <w:rsid w:val="709D17BE"/>
    <w:rsid w:val="714213DD"/>
    <w:rsid w:val="717F272E"/>
    <w:rsid w:val="72783A23"/>
    <w:rsid w:val="728027C6"/>
    <w:rsid w:val="729C0B15"/>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687E75"/>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940</Words>
  <Characters>1072</Characters>
  <Lines>71</Lines>
  <Paragraphs>20</Paragraphs>
  <TotalTime>14</TotalTime>
  <ScaleCrop>false</ScaleCrop>
  <LinksUpToDate>false</LinksUpToDate>
  <CharactersWithSpaces>1182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敦化市统计局</cp:lastModifiedBy>
  <cp:lastPrinted>2026-03-05T07:59:40Z</cp:lastPrinted>
  <dcterms:modified xsi:type="dcterms:W3CDTF">2026-03-05T08:00:17Z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eyJoZGlkIjoiMGQ1NjlhMzY3MDg5NmE4ZWI4NjIwZmM0N2I0OWE3MjUifQ==</vt:lpwstr>
  </property>
  <property fmtid="{D5CDD505-2E9C-101B-9397-08002B2CF9AE}" pid="4" name="ICV">
    <vt:lpwstr>744488F424F8466AA77AAEADD6132731_13</vt:lpwstr>
  </property>
</Properties>
</file>