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rPr>
        <w:t>图们市统计局</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pPr>
        <w:rPr>
          <w:rFonts w:eastAsia="黑体"/>
        </w:rPr>
      </w:pPr>
    </w:p>
    <w:p>
      <w:pPr>
        <w:ind w:firstLine="640" w:firstLineChars="200"/>
        <w:rPr>
          <w:rFonts w:eastAsia="黑体"/>
        </w:rPr>
      </w:pPr>
    </w:p>
    <w:p>
      <w:pPr>
        <w:rPr>
          <w:rFonts w:eastAsia="黑体"/>
        </w:rPr>
      </w:pPr>
    </w:p>
    <w:p>
      <w:pPr>
        <w:rPr>
          <w:rFonts w:eastAsia="黑体"/>
        </w:rPr>
      </w:pPr>
    </w:p>
    <w:p>
      <w:pPr>
        <w:rPr>
          <w:rFonts w:eastAsia="黑体"/>
        </w:rPr>
      </w:pPr>
    </w:p>
    <w:p>
      <w:pPr>
        <w:jc w:val="center"/>
        <w:rPr>
          <w:rFonts w:eastAsia="方正小标宋简体"/>
          <w:sz w:val="44"/>
          <w:szCs w:val="44"/>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rPr>
        <w:t>预算总</w:t>
      </w:r>
      <w:r>
        <w:t>表</w:t>
      </w:r>
    </w:p>
    <w:p>
      <w:pPr>
        <w:ind w:left="320" w:leftChars="100" w:firstLine="320" w:firstLineChars="100"/>
      </w:pPr>
      <w:r>
        <w:t>二、收入</w:t>
      </w:r>
      <w:r>
        <w:rPr>
          <w:rFonts w:hint="eastAsia"/>
        </w:rPr>
        <w:t>预算总</w:t>
      </w:r>
      <w:r>
        <w:t>表</w:t>
      </w:r>
    </w:p>
    <w:p>
      <w:pPr>
        <w:ind w:left="320" w:leftChars="100" w:firstLine="320" w:firstLineChars="100"/>
      </w:pPr>
      <w:r>
        <w:t>三、支出</w:t>
      </w:r>
      <w:r>
        <w:rPr>
          <w:rFonts w:hint="eastAsia"/>
        </w:rPr>
        <w:t>预算总</w:t>
      </w:r>
      <w:r>
        <w:t>表</w:t>
      </w:r>
    </w:p>
    <w:p>
      <w:pPr>
        <w:ind w:left="320" w:leftChars="100" w:firstLine="320" w:firstLineChars="100"/>
      </w:pPr>
      <w:r>
        <w:t>四、财政拨款收支</w:t>
      </w:r>
      <w:r>
        <w:rPr>
          <w:rFonts w:hint="eastAsia"/>
        </w:rPr>
        <w:t>预算总</w:t>
      </w:r>
      <w:r>
        <w:t>表</w:t>
      </w:r>
    </w:p>
    <w:p>
      <w:pPr>
        <w:ind w:left="320" w:leftChars="100" w:firstLine="320" w:firstLineChars="100"/>
      </w:pPr>
      <w:r>
        <w:t>五、</w:t>
      </w:r>
      <w:r>
        <w:rPr>
          <w:rFonts w:hint="eastAsia"/>
        </w:rPr>
        <w:t>一般公共预算支出预算表</w:t>
      </w:r>
    </w:p>
    <w:p>
      <w:pPr>
        <w:ind w:left="320" w:leftChars="100" w:firstLine="320" w:firstLineChars="100"/>
      </w:pPr>
      <w:r>
        <w:t>六、</w:t>
      </w:r>
      <w:r>
        <w:rPr>
          <w:rFonts w:hint="eastAsia"/>
        </w:rPr>
        <w:t>一般公共预算基本支出预算表</w:t>
      </w:r>
    </w:p>
    <w:p>
      <w:pPr>
        <w:ind w:left="320" w:leftChars="100" w:firstLine="320" w:firstLineChars="100"/>
      </w:pPr>
      <w:r>
        <w:t>七、一般公共预算“三公”经费支出</w:t>
      </w:r>
      <w:r>
        <w:rPr>
          <w:rFonts w:hint="eastAsia"/>
        </w:rPr>
        <w:t>预算</w:t>
      </w:r>
      <w:r>
        <w:t>表</w:t>
      </w:r>
    </w:p>
    <w:p>
      <w:pPr>
        <w:ind w:left="320" w:leftChars="100" w:firstLine="320" w:firstLineChars="100"/>
      </w:pPr>
      <w:r>
        <w:t>八、政府性基金预算支出</w:t>
      </w:r>
      <w:r>
        <w:rPr>
          <w:rFonts w:hint="eastAsia"/>
        </w:rPr>
        <w:t>预算</w:t>
      </w:r>
      <w:r>
        <w:t>表</w:t>
      </w:r>
    </w:p>
    <w:p>
      <w:pPr>
        <w:ind w:left="320" w:leftChars="100" w:firstLine="320" w:firstLineChars="100"/>
      </w:pPr>
      <w:r>
        <w:rPr>
          <w:rFonts w:hint="eastAsia"/>
        </w:rPr>
        <w:t>九、国有资本经营</w:t>
      </w:r>
      <w:r>
        <w:t>预算支出</w:t>
      </w:r>
      <w:r>
        <w:rPr>
          <w:rFonts w:hint="eastAsia"/>
        </w:rPr>
        <w:t>预算</w:t>
      </w:r>
      <w:r>
        <w:t>表</w:t>
      </w:r>
    </w:p>
    <w:p>
      <w:pPr>
        <w:ind w:left="320" w:leftChars="100" w:firstLine="320" w:firstLineChars="100"/>
      </w:pPr>
      <w:r>
        <w:rPr>
          <w:rFonts w:hint="eastAsia"/>
        </w:rPr>
        <w:t>十、项目支出预算表</w:t>
      </w:r>
    </w:p>
    <w:p>
      <w:pPr>
        <w:ind w:left="320" w:leftChars="100" w:firstLine="320" w:firstLineChars="100"/>
      </w:pPr>
      <w:r>
        <w:rPr>
          <w:rFonts w:hint="eastAsia"/>
        </w:rPr>
        <w:t>十一、财政拨款委托业务费支出预算表</w:t>
      </w:r>
    </w:p>
    <w:p>
      <w:pPr>
        <w:ind w:firstLine="640" w:firstLineChars="200"/>
      </w:pPr>
      <w:r>
        <w:rPr>
          <w:rFonts w:hint="eastAsia"/>
        </w:rPr>
        <w:t>十二、项目支出绩效目标表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w:t>
      </w:r>
      <w:r>
        <w:rPr>
          <w:rFonts w:hint="eastAsia" w:eastAsia="楷体_GB2312"/>
        </w:rPr>
        <w:t>主要职责</w:t>
      </w:r>
    </w:p>
    <w:p>
      <w:pPr>
        <w:ind w:firstLine="640" w:firstLineChars="200"/>
        <w:rPr>
          <w:rFonts w:ascii="仿宋" w:hAnsi="仿宋" w:eastAsia="仿宋"/>
        </w:rPr>
      </w:pPr>
      <w:r>
        <w:rPr>
          <w:rFonts w:hint="eastAsia" w:ascii="仿宋" w:hAnsi="仿宋" w:eastAsia="仿宋"/>
        </w:rPr>
        <w:t>(一)贯彻执行国家统计方针、政策以及法律、法规,制定全市统计规划及统计调查计划;监督检查统计法律、法规的实施。组织领导全市统计工作,承担确保统计数据真实、准确、及时的责任。</w:t>
      </w:r>
    </w:p>
    <w:p>
      <w:pPr>
        <w:rPr>
          <w:rFonts w:ascii="仿宋" w:hAnsi="仿宋" w:eastAsia="仿宋"/>
        </w:rPr>
      </w:pPr>
      <w:r>
        <w:rPr>
          <w:rFonts w:hint="eastAsia" w:ascii="仿宋" w:hAnsi="仿宋" w:eastAsia="仿宋"/>
        </w:rPr>
        <w:t xml:space="preserve">    (二)根据国家统一的基本统计制度,建立健全全市国民经济核算体系和统计指标体系,贯彻执行全省统一的基本统计报表制度和统计标准；汇编提供全市国民经济核算资料。</w:t>
      </w:r>
    </w:p>
    <w:p>
      <w:pPr>
        <w:rPr>
          <w:rFonts w:ascii="仿宋" w:hAnsi="仿宋" w:eastAsia="仿宋"/>
        </w:rPr>
      </w:pPr>
      <w:r>
        <w:rPr>
          <w:rFonts w:hint="eastAsia" w:ascii="仿宋" w:hAnsi="仿宋" w:eastAsia="仿宋"/>
        </w:rPr>
        <w:t xml:space="preserve">    (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pPr>
        <w:rPr>
          <w:rFonts w:ascii="仿宋" w:hAnsi="仿宋" w:eastAsia="仿宋"/>
        </w:rPr>
      </w:pPr>
      <w:r>
        <w:rPr>
          <w:rFonts w:hint="eastAsia" w:ascii="仿宋" w:hAnsi="仿宋" w:eastAsia="仿宋"/>
        </w:rPr>
        <w:t xml:space="preserve">   （四)统一核定、管理、公布全市基本统计资料,定期向社会公众发布全市国民经济和社会发展情况的统计信息。</w:t>
      </w:r>
    </w:p>
    <w:p>
      <w:pPr>
        <w:rPr>
          <w:rFonts w:ascii="仿宋" w:hAnsi="仿宋" w:eastAsia="仿宋"/>
        </w:rPr>
      </w:pPr>
      <w:r>
        <w:rPr>
          <w:rFonts w:hint="eastAsia" w:ascii="仿宋" w:hAnsi="仿宋" w:eastAsia="仿宋"/>
        </w:rPr>
        <w:t xml:space="preserve">    (五)建立、完善和管理全市统计信息自动化系统和全市统计数据库体系。</w:t>
      </w:r>
    </w:p>
    <w:p>
      <w:pPr>
        <w:rPr>
          <w:rFonts w:ascii="仿宋" w:hAnsi="仿宋" w:eastAsia="仿宋"/>
        </w:rPr>
      </w:pPr>
      <w:r>
        <w:rPr>
          <w:rFonts w:hint="eastAsia" w:ascii="仿宋" w:hAnsi="仿宋" w:eastAsia="仿宋"/>
        </w:rPr>
        <w:t xml:space="preserve">   （六)负责全市统计系统的干部人事、劳动工资、机构编制和财务经费、审计监督及资产设施管理。</w:t>
      </w:r>
    </w:p>
    <w:p>
      <w:pPr>
        <w:rPr>
          <w:rFonts w:ascii="仿宋" w:hAnsi="仿宋" w:eastAsia="仿宋"/>
        </w:rPr>
      </w:pPr>
      <w:r>
        <w:rPr>
          <w:rFonts w:hint="eastAsia" w:ascii="仿宋" w:hAnsi="仿宋" w:eastAsia="仿宋"/>
        </w:rPr>
        <w:t xml:space="preserve">    (七) 领导局属事业单位。</w:t>
      </w:r>
    </w:p>
    <w:p>
      <w:pPr>
        <w:rPr>
          <w:rFonts w:ascii="仿宋" w:hAnsi="仿宋" w:eastAsia="仿宋"/>
        </w:rPr>
      </w:pPr>
      <w:r>
        <w:rPr>
          <w:rFonts w:hint="eastAsia" w:ascii="仿宋" w:hAnsi="仿宋" w:eastAsia="仿宋"/>
        </w:rPr>
        <w:t xml:space="preserve">   （八）承办延边朝鲜族自治州统计局和图们市政府交办的其他事项。</w:t>
      </w:r>
    </w:p>
    <w:p>
      <w:pPr>
        <w:ind w:firstLine="640" w:firstLineChars="200"/>
      </w:pPr>
      <w:r>
        <w:rPr>
          <w:rFonts w:eastAsia="楷体_GB2312"/>
        </w:rPr>
        <w:t>二、机构设置</w:t>
      </w:r>
    </w:p>
    <w:p>
      <w:pPr>
        <w:pStyle w:val="18"/>
        <w:ind w:firstLine="640" w:firstLineChars="200"/>
        <w:rPr>
          <w:rFonts w:eastAsia="仿宋_GB2312"/>
        </w:rPr>
      </w:pPr>
      <w:r>
        <w:rPr>
          <w:rFonts w:eastAsia="仿宋_GB2312"/>
        </w:rPr>
        <w:t>根据上述职责，</w:t>
      </w:r>
      <w:r>
        <w:rPr>
          <w:rFonts w:hint="eastAsia" w:eastAsia="仿宋_GB2312"/>
        </w:rPr>
        <w:t>图们市统计局</w:t>
      </w:r>
      <w:r>
        <w:rPr>
          <w:rFonts w:eastAsia="仿宋_GB2312"/>
        </w:rPr>
        <w:t>内设</w:t>
      </w:r>
      <w:r>
        <w:rPr>
          <w:rFonts w:hint="eastAsia" w:eastAsia="仿宋_GB2312"/>
        </w:rPr>
        <w:t>2</w:t>
      </w:r>
      <w:r>
        <w:rPr>
          <w:rFonts w:eastAsia="仿宋_GB2312"/>
        </w:rPr>
        <w:t>个机构，分别为</w:t>
      </w:r>
      <w:r>
        <w:rPr>
          <w:rFonts w:hint="eastAsia" w:eastAsia="仿宋_GB2312"/>
        </w:rPr>
        <w:t>社会经济统计科、综合科</w:t>
      </w:r>
      <w:r>
        <w:rPr>
          <w:rFonts w:eastAsia="仿宋_GB2312"/>
        </w:rPr>
        <w:t>。</w:t>
      </w:r>
    </w:p>
    <w:p>
      <w:pPr>
        <w:pStyle w:val="18"/>
        <w:ind w:firstLine="640" w:firstLineChars="200"/>
        <w:rPr>
          <w:rFonts w:eastAsia="仿宋_GB2312"/>
        </w:rPr>
      </w:pPr>
      <w:r>
        <w:rPr>
          <w:rFonts w:hint="eastAsia" w:eastAsia="仿宋_GB2312"/>
        </w:rPr>
        <w:t>本单位无下设</w:t>
      </w:r>
      <w:r>
        <w:rPr>
          <w:rFonts w:eastAsia="仿宋_GB2312"/>
        </w:rPr>
        <w:t>预算单位。</w:t>
      </w: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pStyle w:val="18"/>
        <w:ind w:firstLine="640" w:firstLineChars="200"/>
        <w:rPr>
          <w:rFonts w:eastAsia="黑体"/>
        </w:rPr>
      </w:pPr>
    </w:p>
    <w:p>
      <w:pPr>
        <w:jc w:val="center"/>
        <w:rPr>
          <w:rFonts w:eastAsia="黑体"/>
        </w:rPr>
      </w:pPr>
      <w:r>
        <w:rPr>
          <w:rFonts w:eastAsia="黑体"/>
        </w:rPr>
        <w:t>第二部分 预算表格</w:t>
      </w:r>
    </w:p>
    <w:tbl>
      <w:tblPr>
        <w:tblpPr w:leftFromText="180" w:rightFromText="180" w:vertAnchor="text" w:horzAnchor="page" w:tblpX="1126" w:tblpY="698"/>
        <w:tblOverlap w:val="never"/>
        <w:tblW w:w="99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hRule="atLeast"/>
        </w:trPr>
        <w:tc>
          <w:tcPr>
            <w:tcW w:w="9908" w:type="dxa"/>
            <w:gridSpan w:val="10"/>
            <w:tcBorders>
              <w:top w:val="nil"/>
              <w:left w:val="nil"/>
              <w:bottom w:val="nil"/>
              <w:right w:val="nil"/>
            </w:tcBorders>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trPr>
          <w:trHeight w:val="315" w:hRule="atLeast"/>
        </w:trPr>
        <w:tc>
          <w:tcPr>
            <w:tcW w:w="3870" w:type="dxa"/>
            <w:gridSpan w:val="3"/>
            <w:tcBorders>
              <w:top w:val="nil"/>
              <w:left w:val="nil"/>
              <w:bottom w:val="nil"/>
              <w:right w:val="nil"/>
            </w:tcBorders>
            <w:vAlign w:val="center"/>
          </w:tcPr>
          <w:p>
            <w:pPr>
              <w:widowControl/>
              <w:jc w:val="center"/>
              <w:rPr>
                <w:rFonts w:eastAsia="宋体"/>
                <w:kern w:val="0"/>
                <w:sz w:val="20"/>
              </w:rPr>
            </w:pPr>
          </w:p>
        </w:tc>
        <w:tc>
          <w:tcPr>
            <w:tcW w:w="1200" w:type="dxa"/>
            <w:gridSpan w:val="2"/>
            <w:tcBorders>
              <w:top w:val="nil"/>
              <w:left w:val="nil"/>
              <w:bottom w:val="nil"/>
              <w:right w:val="nil"/>
            </w:tcBorders>
            <w:vAlign w:val="center"/>
          </w:tcPr>
          <w:p>
            <w:pPr>
              <w:widowControl/>
              <w:jc w:val="center"/>
              <w:rPr>
                <w:rFonts w:eastAsia="宋体"/>
                <w:kern w:val="0"/>
                <w:sz w:val="20"/>
              </w:rPr>
            </w:pPr>
          </w:p>
        </w:tc>
        <w:tc>
          <w:tcPr>
            <w:tcW w:w="2498" w:type="dxa"/>
            <w:gridSpan w:val="2"/>
            <w:tcBorders>
              <w:top w:val="nil"/>
              <w:left w:val="nil"/>
              <w:bottom w:val="nil"/>
              <w:right w:val="nil"/>
            </w:tcBorders>
            <w:vAlign w:val="center"/>
          </w:tcPr>
          <w:p>
            <w:pPr>
              <w:widowControl/>
              <w:jc w:val="center"/>
              <w:rPr>
                <w:rFonts w:eastAsia="宋体"/>
                <w:kern w:val="0"/>
                <w:sz w:val="20"/>
              </w:rPr>
            </w:pPr>
          </w:p>
        </w:tc>
        <w:tc>
          <w:tcPr>
            <w:tcW w:w="2340" w:type="dxa"/>
            <w:gridSpan w:val="3"/>
            <w:tcBorders>
              <w:top w:val="nil"/>
              <w:left w:val="nil"/>
              <w:bottom w:val="nil"/>
              <w:right w:val="nil"/>
            </w:tcBorders>
            <w:vAlign w:val="bottom"/>
          </w:tcPr>
          <w:p>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rPr>
          <w:trHeight w:val="435"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 xml:space="preserve">6年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    结转</w:t>
            </w:r>
          </w:p>
        </w:tc>
        <w:tc>
          <w:tcPr>
            <w:tcW w:w="1342"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3"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 xml:space="preserve">本年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     结转</w:t>
            </w: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rPr>
              <w:t>一、</w:t>
            </w:r>
            <w:r>
              <w:rPr>
                <w:rFonts w:hint="eastAsia" w:ascii="宋体" w:hAnsi="宋体" w:eastAsia="宋体" w:cs="宋体"/>
                <w:kern w:val="0"/>
                <w:sz w:val="20"/>
                <w:szCs w:val="20"/>
              </w:rPr>
              <w:t>财政拨款收入</w:t>
            </w:r>
          </w:p>
        </w:tc>
        <w:tc>
          <w:tcPr>
            <w:tcW w:w="1020" w:type="dxa"/>
            <w:tcBorders>
              <w:top w:val="nil"/>
              <w:left w:val="nil"/>
              <w:bottom w:val="single" w:color="auto" w:sz="4" w:space="0"/>
              <w:right w:val="single" w:color="auto" w:sz="4" w:space="0"/>
            </w:tcBorders>
            <w:vAlign w:val="center"/>
          </w:tcPr>
          <w:p>
            <w:pPr>
              <w:widowControl/>
              <w:tabs>
                <w:tab w:val="left" w:pos="228"/>
              </w:tabs>
              <w:jc w:val="right"/>
              <w:rPr>
                <w:rFonts w:eastAsia="宋体"/>
                <w:kern w:val="0"/>
                <w:sz w:val="20"/>
              </w:rPr>
            </w:pPr>
            <w:r>
              <w:rPr>
                <w:rFonts w:hint="eastAsia" w:eastAsia="宋体"/>
                <w:kern w:val="0"/>
                <w:sz w:val="20"/>
              </w:rPr>
              <w:tab/>
            </w:r>
            <w:r>
              <w:rPr>
                <w:rFonts w:hint="eastAsia" w:eastAsia="宋体"/>
                <w:kern w:val="0"/>
                <w:sz w:val="20"/>
              </w:rPr>
              <w:t>169.35</w:t>
            </w: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一、</w:t>
            </w:r>
            <w:r>
              <w:rPr>
                <w:rFonts w:hint="eastAsia" w:ascii="宋体" w:hAnsi="宋体" w:eastAsia="宋体" w:cs="宋体"/>
                <w:kern w:val="0"/>
                <w:sz w:val="20"/>
                <w:szCs w:val="20"/>
              </w:rPr>
              <w:t>一般公共服务</w:t>
            </w: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202.53</w:t>
            </w: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202.53</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一般公共预算拨款收入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r>
              <w:rPr>
                <w:rFonts w:hint="eastAsia" w:eastAsia="宋体"/>
                <w:kern w:val="0"/>
                <w:sz w:val="20"/>
              </w:rPr>
              <w:t>169.35</w:t>
            </w: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kern w:val="0"/>
                <w:sz w:val="20"/>
                <w:szCs w:val="20"/>
              </w:rPr>
              <w:t>社会保障和就业支出</w:t>
            </w:r>
          </w:p>
        </w:tc>
        <w:tc>
          <w:tcPr>
            <w:tcW w:w="1156" w:type="dxa"/>
            <w:tcBorders>
              <w:top w:val="nil"/>
              <w:left w:val="single" w:color="auto" w:sz="4" w:space="0"/>
              <w:bottom w:val="single" w:color="auto" w:sz="4" w:space="0"/>
              <w:right w:val="single" w:color="auto" w:sz="4" w:space="0"/>
            </w:tcBorders>
            <w:vAlign w:val="center"/>
          </w:tcPr>
          <w:p>
            <w:pPr>
              <w:autoSpaceDN w:val="0"/>
              <w:jc w:val="right"/>
              <w:textAlignment w:val="center"/>
              <w:rPr>
                <w:rFonts w:eastAsia="宋体"/>
                <w:color w:val="000000"/>
                <w:kern w:val="0"/>
                <w:sz w:val="20"/>
              </w:rPr>
            </w:pPr>
            <w:r>
              <w:rPr>
                <w:rFonts w:hint="eastAsia" w:eastAsia="宋体"/>
                <w:color w:val="000000"/>
                <w:kern w:val="0"/>
                <w:sz w:val="20"/>
              </w:rPr>
              <w:t>20.99</w:t>
            </w: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r>
              <w:rPr>
                <w:rFonts w:hint="eastAsia" w:eastAsia="宋体"/>
                <w:kern w:val="0"/>
                <w:sz w:val="20"/>
              </w:rPr>
              <w:t>20.99</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624"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政府性基金预算   拨款收入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kern w:val="0"/>
                <w:sz w:val="20"/>
                <w:szCs w:val="20"/>
              </w:rPr>
              <w:t>卫生健康支出</w:t>
            </w:r>
          </w:p>
        </w:tc>
        <w:tc>
          <w:tcPr>
            <w:tcW w:w="1156" w:type="dxa"/>
            <w:tcBorders>
              <w:top w:val="nil"/>
              <w:left w:val="single" w:color="auto" w:sz="4" w:space="0"/>
              <w:bottom w:val="single" w:color="auto" w:sz="4" w:space="0"/>
              <w:right w:val="single" w:color="auto" w:sz="4" w:space="0"/>
            </w:tcBorders>
            <w:vAlign w:val="center"/>
          </w:tcPr>
          <w:p>
            <w:pPr>
              <w:autoSpaceDN w:val="0"/>
              <w:jc w:val="right"/>
              <w:textAlignment w:val="center"/>
              <w:rPr>
                <w:rFonts w:eastAsia="宋体"/>
                <w:color w:val="000000"/>
                <w:kern w:val="0"/>
                <w:sz w:val="20"/>
              </w:rPr>
            </w:pPr>
            <w:r>
              <w:rPr>
                <w:rFonts w:hint="eastAsia" w:eastAsia="宋体"/>
                <w:color w:val="000000"/>
                <w:kern w:val="0"/>
                <w:sz w:val="20"/>
              </w:rPr>
              <w:t>3.34</w:t>
            </w: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r>
              <w:rPr>
                <w:rFonts w:hint="eastAsia" w:eastAsia="宋体"/>
                <w:kern w:val="0"/>
                <w:sz w:val="20"/>
              </w:rPr>
              <w:t>3.34</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国有资本经营预算拨款收入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四、</w:t>
            </w:r>
            <w:r>
              <w:rPr>
                <w:rFonts w:hint="eastAsia" w:ascii="宋体" w:hAnsi="宋体" w:eastAsia="宋体" w:cs="宋体"/>
                <w:kern w:val="0"/>
                <w:sz w:val="20"/>
                <w:szCs w:val="20"/>
              </w:rPr>
              <w:t>住房保障支出</w:t>
            </w:r>
          </w:p>
        </w:tc>
        <w:tc>
          <w:tcPr>
            <w:tcW w:w="1156" w:type="dxa"/>
            <w:tcBorders>
              <w:top w:val="nil"/>
              <w:left w:val="single" w:color="auto" w:sz="4" w:space="0"/>
              <w:bottom w:val="single" w:color="auto" w:sz="4" w:space="0"/>
              <w:right w:val="single" w:color="auto" w:sz="4" w:space="0"/>
            </w:tcBorders>
            <w:vAlign w:val="center"/>
          </w:tcPr>
          <w:p>
            <w:pPr>
              <w:autoSpaceDN w:val="0"/>
              <w:jc w:val="right"/>
              <w:textAlignment w:val="center"/>
              <w:rPr>
                <w:rFonts w:eastAsia="宋体"/>
                <w:color w:val="000000"/>
                <w:kern w:val="0"/>
                <w:sz w:val="20"/>
              </w:rPr>
            </w:pPr>
            <w:r>
              <w:rPr>
                <w:rFonts w:hint="eastAsia" w:eastAsia="宋体"/>
                <w:color w:val="000000"/>
                <w:kern w:val="0"/>
                <w:sz w:val="20"/>
              </w:rPr>
              <w:t>8.19</w:t>
            </w: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r>
              <w:rPr>
                <w:rFonts w:hint="eastAsia" w:eastAsia="宋体"/>
                <w:kern w:val="0"/>
                <w:sz w:val="20"/>
              </w:rPr>
              <w:t>8.19</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pPr>
              <w:jc w:val="center"/>
              <w:rPr>
                <w:rFonts w:hint="eastAsia" w:ascii="宋体" w:hAnsi="宋体" w:eastAsia="宋体" w:cs="宋体"/>
                <w:sz w:val="20"/>
                <w:szCs w:val="20"/>
              </w:rPr>
            </w:pPr>
            <w:r>
              <w:rPr>
                <w:rFonts w:hint="eastAsia" w:ascii="宋体" w:hAnsi="宋体" w:eastAsia="宋体" w:cs="宋体"/>
                <w:sz w:val="20"/>
                <w:szCs w:val="20"/>
              </w:rPr>
              <w:t>二、</w:t>
            </w:r>
            <w:r>
              <w:rPr>
                <w:rFonts w:hint="eastAsia" w:ascii="宋体" w:hAnsi="宋体" w:eastAsia="宋体" w:cs="宋体"/>
                <w:kern w:val="0"/>
                <w:sz w:val="20"/>
                <w:szCs w:val="20"/>
              </w:rPr>
              <w:t>财政专户管理资金收入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20"/>
                <w:szCs w:val="20"/>
              </w:rPr>
            </w:pPr>
            <w:r>
              <w:rPr>
                <w:rFonts w:hint="eastAsia" w:ascii="宋体" w:hAnsi="宋体" w:eastAsia="宋体" w:cs="宋体"/>
                <w:sz w:val="20"/>
                <w:szCs w:val="20"/>
              </w:rPr>
              <w:t>三、</w:t>
            </w:r>
            <w:r>
              <w:rPr>
                <w:rFonts w:hint="eastAsia" w:ascii="宋体" w:hAnsi="宋体" w:eastAsia="宋体" w:cs="宋体"/>
                <w:kern w:val="0"/>
                <w:sz w:val="20"/>
                <w:szCs w:val="20"/>
              </w:rPr>
              <w:t>单位资金收入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65.70</w:t>
            </w: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65.70</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事业收入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0"/>
                <w:szCs w:val="20"/>
              </w:rPr>
            </w:pPr>
            <w:r>
              <w:rPr>
                <w:rFonts w:hint="eastAsia" w:ascii="宋体" w:hAnsi="宋体" w:eastAsia="宋体" w:cs="宋体"/>
                <w:kern w:val="0"/>
                <w:sz w:val="20"/>
                <w:szCs w:val="20"/>
              </w:rPr>
              <w:t>事业单位经营收入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上级补助收入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附属单位上缴收入</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其他收入</w:t>
            </w:r>
          </w:p>
        </w:tc>
        <w:tc>
          <w:tcPr>
            <w:tcW w:w="1020" w:type="dxa"/>
            <w:tcBorders>
              <w:top w:val="nil"/>
              <w:left w:val="nil"/>
              <w:bottom w:val="single" w:color="auto" w:sz="4" w:space="0"/>
              <w:right w:val="single" w:color="auto" w:sz="4" w:space="0"/>
            </w:tcBorders>
            <w:vAlign w:val="center"/>
          </w:tcPr>
          <w:p>
            <w:pPr>
              <w:jc w:val="right"/>
              <w:rPr>
                <w:rFonts w:eastAsia="宋体"/>
                <w:sz w:val="20"/>
              </w:rPr>
            </w:pPr>
            <w:r>
              <w:rPr>
                <w:rFonts w:hint="eastAsia" w:eastAsia="宋体"/>
                <w:sz w:val="20"/>
              </w:rPr>
              <w:t>65.70</w:t>
            </w:r>
          </w:p>
        </w:tc>
        <w:tc>
          <w:tcPr>
            <w:tcW w:w="984" w:type="dxa"/>
            <w:gridSpan w:val="2"/>
            <w:tcBorders>
              <w:top w:val="nil"/>
              <w:left w:val="nil"/>
              <w:bottom w:val="single" w:color="auto" w:sz="4" w:space="0"/>
              <w:right w:val="single" w:color="auto" w:sz="4" w:space="0"/>
            </w:tcBorders>
            <w:vAlign w:val="center"/>
          </w:tcPr>
          <w:p>
            <w:pPr>
              <w:jc w:val="right"/>
              <w:rPr>
                <w:rFonts w:eastAsia="宋体"/>
                <w:sz w:val="20"/>
              </w:rPr>
            </w:pPr>
            <w:r>
              <w:rPr>
                <w:rFonts w:hint="eastAsia" w:eastAsia="宋体"/>
                <w:sz w:val="20"/>
              </w:rPr>
              <w:t>65.70</w:t>
            </w:r>
          </w:p>
        </w:tc>
        <w:tc>
          <w:tcPr>
            <w:tcW w:w="1134" w:type="dxa"/>
            <w:tcBorders>
              <w:top w:val="nil"/>
              <w:left w:val="single" w:color="auto" w:sz="4" w:space="0"/>
              <w:bottom w:val="single" w:color="auto" w:sz="4" w:space="0"/>
              <w:right w:val="nil"/>
            </w:tcBorders>
            <w:vAlign w:val="center"/>
          </w:tcPr>
          <w:p>
            <w:pPr>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vAlign w:val="center"/>
          </w:tcPr>
          <w:p>
            <w:pPr>
              <w:jc w:val="right"/>
              <w:rPr>
                <w:rFonts w:eastAsia="宋体"/>
                <w:sz w:val="20"/>
              </w:rPr>
            </w:pPr>
          </w:p>
        </w:tc>
        <w:tc>
          <w:tcPr>
            <w:tcW w:w="1182" w:type="dxa"/>
            <w:gridSpan w:val="2"/>
            <w:tcBorders>
              <w:top w:val="nil"/>
              <w:left w:val="nil"/>
              <w:bottom w:val="single" w:color="auto" w:sz="4" w:space="0"/>
              <w:right w:val="single" w:color="auto" w:sz="4" w:space="0"/>
            </w:tcBorders>
            <w:vAlign w:val="center"/>
          </w:tcPr>
          <w:p>
            <w:pPr>
              <w:jc w:val="right"/>
              <w:rPr>
                <w:rFonts w:eastAsia="宋体"/>
                <w:sz w:val="20"/>
              </w:rPr>
            </w:pPr>
          </w:p>
        </w:tc>
        <w:tc>
          <w:tcPr>
            <w:tcW w:w="1158" w:type="dxa"/>
            <w:tcBorders>
              <w:top w:val="nil"/>
              <w:left w:val="nil"/>
              <w:bottom w:val="single" w:color="auto" w:sz="4" w:space="0"/>
              <w:right w:val="single" w:color="auto" w:sz="4" w:space="0"/>
            </w:tcBorders>
            <w:vAlign w:val="center"/>
          </w:tcPr>
          <w:p>
            <w:pPr>
              <w:jc w:val="center"/>
              <w:rPr>
                <w:rFonts w:eastAsia="宋体"/>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b/>
                <w:bCs/>
                <w:kern w:val="0"/>
                <w:sz w:val="20"/>
              </w:rPr>
            </w:pPr>
            <w:r>
              <w:rPr>
                <w:rFonts w:hint="eastAsia" w:eastAsia="宋体"/>
                <w:kern w:val="0"/>
                <w:sz w:val="20"/>
              </w:rPr>
              <w:t>235.05</w:t>
            </w: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财政拨款结转</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ascii="宋体" w:hAnsi="宋体" w:eastAsia="宋体" w:cs="宋体"/>
                <w:kern w:val="0"/>
                <w:sz w:val="20"/>
                <w:szCs w:val="20"/>
              </w:rPr>
              <w:t>结转下年  支出</w:t>
            </w: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0"/>
                <w:sz w:val="20"/>
                <w:szCs w:val="20"/>
              </w:rPr>
              <w:t>非财政拨款结转结余</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984"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1182" w:type="dxa"/>
            <w:gridSpan w:val="2"/>
            <w:tcBorders>
              <w:top w:val="nil"/>
              <w:left w:val="nil"/>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235.05</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W w:w="10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8"/>
        <w:gridCol w:w="818"/>
        <w:gridCol w:w="888"/>
        <w:gridCol w:w="773"/>
        <w:gridCol w:w="487"/>
        <w:gridCol w:w="325"/>
        <w:gridCol w:w="500"/>
        <w:gridCol w:w="500"/>
        <w:gridCol w:w="430"/>
        <w:gridCol w:w="48"/>
        <w:gridCol w:w="487"/>
        <w:gridCol w:w="421"/>
        <w:gridCol w:w="712"/>
        <w:gridCol w:w="400"/>
        <w:gridCol w:w="485"/>
        <w:gridCol w:w="492"/>
        <w:gridCol w:w="505"/>
        <w:gridCol w:w="431"/>
        <w:gridCol w:w="56"/>
        <w:gridCol w:w="389"/>
        <w:gridCol w:w="131"/>
      </w:tblGrid>
      <w:tr>
        <w:trPr>
          <w:trHeight w:val="335" w:hRule="atLeast"/>
          <w:jc w:val="center"/>
        </w:trPr>
        <w:tc>
          <w:tcPr>
            <w:tcW w:w="1258" w:type="dxa"/>
            <w:tcBorders>
              <w:bottom w:val="single" w:color="000000" w:sz="4" w:space="0"/>
            </w:tcBorders>
            <w:vAlign w:val="top"/>
          </w:tcPr>
          <w:p>
            <w:pPr>
              <w:autoSpaceDN w:val="0"/>
              <w:jc w:val="left"/>
              <w:textAlignment w:val="center"/>
              <w:rPr>
                <w:rFonts w:eastAsia="华文细黑"/>
                <w:color w:val="000000"/>
                <w:sz w:val="20"/>
              </w:rPr>
            </w:pPr>
          </w:p>
        </w:tc>
        <w:tc>
          <w:tcPr>
            <w:tcW w:w="4721" w:type="dxa"/>
            <w:gridSpan w:val="8"/>
            <w:tcBorders>
              <w:bottom w:val="single" w:color="000000" w:sz="4" w:space="0"/>
            </w:tcBorders>
            <w:vAlign w:val="center"/>
          </w:tcPr>
          <w:p>
            <w:pPr>
              <w:autoSpaceDN w:val="0"/>
              <w:jc w:val="left"/>
              <w:textAlignment w:val="center"/>
              <w:rPr>
                <w:rFonts w:eastAsia="华文细黑"/>
                <w:color w:val="000000"/>
                <w:sz w:val="20"/>
              </w:rPr>
            </w:pPr>
          </w:p>
        </w:tc>
        <w:tc>
          <w:tcPr>
            <w:tcW w:w="1668" w:type="dxa"/>
            <w:gridSpan w:val="4"/>
            <w:vAlign w:val="center"/>
          </w:tcPr>
          <w:p>
            <w:pPr>
              <w:autoSpaceDN w:val="0"/>
              <w:jc w:val="left"/>
              <w:textAlignment w:val="center"/>
              <w:rPr>
                <w:rFonts w:eastAsia="华文细黑"/>
                <w:color w:val="000000"/>
                <w:sz w:val="20"/>
              </w:rPr>
            </w:pPr>
          </w:p>
        </w:tc>
        <w:tc>
          <w:tcPr>
            <w:tcW w:w="400" w:type="dxa"/>
            <w:vAlign w:val="center"/>
          </w:tcPr>
          <w:p>
            <w:pPr>
              <w:autoSpaceDN w:val="0"/>
              <w:jc w:val="left"/>
              <w:textAlignment w:val="center"/>
              <w:rPr>
                <w:rFonts w:eastAsia="华文细黑"/>
                <w:color w:val="000000"/>
                <w:sz w:val="20"/>
              </w:rPr>
            </w:pPr>
          </w:p>
        </w:tc>
        <w:tc>
          <w:tcPr>
            <w:tcW w:w="485" w:type="dxa"/>
            <w:vAlign w:val="center"/>
          </w:tcPr>
          <w:p>
            <w:pPr>
              <w:autoSpaceDN w:val="0"/>
              <w:jc w:val="left"/>
              <w:textAlignment w:val="center"/>
              <w:rPr>
                <w:rFonts w:eastAsia="华文细黑"/>
                <w:color w:val="000000"/>
                <w:sz w:val="20"/>
              </w:rPr>
            </w:pPr>
          </w:p>
        </w:tc>
        <w:tc>
          <w:tcPr>
            <w:tcW w:w="492" w:type="dxa"/>
            <w:vAlign w:val="bottom"/>
          </w:tcPr>
          <w:p>
            <w:pPr>
              <w:autoSpaceDN w:val="0"/>
              <w:jc w:val="right"/>
              <w:textAlignment w:val="bottom"/>
              <w:rPr>
                <w:rFonts w:eastAsia="宋体"/>
                <w:color w:val="000000"/>
                <w:sz w:val="20"/>
              </w:rPr>
            </w:pPr>
          </w:p>
        </w:tc>
        <w:tc>
          <w:tcPr>
            <w:tcW w:w="1512" w:type="dxa"/>
            <w:gridSpan w:val="5"/>
            <w:vAlign w:val="bottom"/>
          </w:tcPr>
          <w:p>
            <w:pPr>
              <w:autoSpaceDN w:val="0"/>
              <w:jc w:val="right"/>
              <w:textAlignment w:val="center"/>
              <w:rPr>
                <w:rFonts w:eastAsia="宋体"/>
                <w:color w:val="000000"/>
                <w:sz w:val="20"/>
              </w:rPr>
            </w:pPr>
            <w:r>
              <w:rPr>
                <w:rFonts w:eastAsia="宋体"/>
                <w:color w:val="000000"/>
                <w:sz w:val="20"/>
              </w:rPr>
              <w:t>单位：万元</w:t>
            </w:r>
          </w:p>
        </w:tc>
      </w:tr>
      <w:tr>
        <w:trPr>
          <w:trHeight w:val="517" w:hRule="atLeast"/>
          <w:jc w:val="center"/>
        </w:trPr>
        <w:tc>
          <w:tcPr>
            <w:tcW w:w="1258" w:type="dxa"/>
            <w:vMerge w:val="restart"/>
            <w:tcBorders>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单位</w:t>
            </w:r>
          </w:p>
          <w:p>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818" w:type="dxa"/>
            <w:vMerge w:val="restart"/>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571" w:type="dxa"/>
            <w:gridSpan w:val="11"/>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2889" w:type="dxa"/>
            <w:gridSpan w:val="8"/>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trPr>
          <w:trHeight w:val="517" w:hRule="atLeast"/>
          <w:jc w:val="center"/>
        </w:trPr>
        <w:tc>
          <w:tcPr>
            <w:tcW w:w="1258"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818"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888"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585"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500" w:type="dxa"/>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598" w:type="dxa"/>
            <w:gridSpan w:val="6"/>
            <w:tcBorders>
              <w:top w:val="single" w:color="000000" w:sz="4" w:space="0"/>
              <w:left w:val="single" w:color="auto" w:sz="4" w:space="0"/>
              <w:right w:val="single" w:color="000000"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400" w:type="dxa"/>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482"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1007" w:type="dxa"/>
            <w:gridSpan w:val="4"/>
            <w:tcBorders>
              <w:top w:val="single" w:color="000000" w:sz="4" w:space="0"/>
              <w:left w:val="single" w:color="auto"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818"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888"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1"/>
                <w:szCs w:val="21"/>
                <w:shd w:val="clear" w:color="auto" w:fill="FFFFFF"/>
              </w:rPr>
            </w:pPr>
          </w:p>
        </w:tc>
        <w:tc>
          <w:tcPr>
            <w:tcW w:w="773"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487" w:type="dxa"/>
            <w:tcBorders>
              <w:top w:val="single" w:color="000000" w:sz="4" w:space="0"/>
              <w:left w:val="single" w:color="000000" w:sz="4" w:space="0"/>
              <w:bottom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3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500" w:type="dxa"/>
            <w:tcBorders>
              <w:left w:val="single" w:color="auto"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71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400" w:type="dxa"/>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p>
        </w:tc>
        <w:tc>
          <w:tcPr>
            <w:tcW w:w="48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left"/>
              <w:rPr>
                <w:rFonts w:eastAsia="宋体"/>
                <w:color w:val="000000"/>
                <w:sz w:val="20"/>
                <w:shd w:val="clear" w:color="auto" w:fill="FFFFFF"/>
              </w:rPr>
            </w:pPr>
          </w:p>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pPr>
              <w:widowControl/>
              <w:ind w:left="113" w:right="113"/>
              <w:jc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87" w:type="dxa"/>
            <w:gridSpan w:val="2"/>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520"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r>
              <w:rPr>
                <w:rFonts w:hint="eastAsia" w:eastAsia="宋体"/>
                <w:color w:val="000000"/>
                <w:sz w:val="20"/>
                <w:shd w:val="clear" w:color="auto" w:fill="FFFFFF"/>
              </w:rPr>
              <w:t>图们市统计局</w:t>
            </w: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235.05</w:t>
            </w:r>
          </w:p>
        </w:tc>
        <w:tc>
          <w:tcPr>
            <w:tcW w:w="8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235.05</w:t>
            </w:r>
          </w:p>
        </w:tc>
        <w:tc>
          <w:tcPr>
            <w:tcW w:w="77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169.35</w:t>
            </w:r>
          </w:p>
        </w:tc>
        <w:tc>
          <w:tcPr>
            <w:tcW w:w="487"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65.70</w:t>
            </w: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8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235.05</w:t>
            </w:r>
          </w:p>
        </w:tc>
        <w:tc>
          <w:tcPr>
            <w:tcW w:w="88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235.05</w:t>
            </w:r>
          </w:p>
        </w:tc>
        <w:tc>
          <w:tcPr>
            <w:tcW w:w="77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169.35</w:t>
            </w:r>
          </w:p>
        </w:tc>
        <w:tc>
          <w:tcPr>
            <w:tcW w:w="487"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32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00" w:type="dxa"/>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7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65.70</w:t>
            </w: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2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r>
      <w:tr>
        <w:trPr>
          <w:gridAfter w:val="1"/>
          <w:wAfter w:w="131" w:type="dxa"/>
          <w:trHeight w:val="12152" w:hRule="atLeast"/>
          <w:jc w:val="center"/>
        </w:trPr>
        <w:tc>
          <w:tcPr>
            <w:tcW w:w="10405" w:type="dxa"/>
            <w:gridSpan w:val="20"/>
            <w:tcBorders>
              <w:top w:val="nil"/>
              <w:left w:val="nil"/>
              <w:bottom w:val="nil"/>
              <w:right w:val="nil"/>
            </w:tcBorders>
            <w:vAlign w:val="bottom"/>
          </w:tcPr>
          <w:p>
            <w:pPr>
              <w:widowControl/>
              <w:jc w:val="center"/>
            </w:pPr>
            <w:r>
              <w:rPr>
                <w:rFonts w:hint="eastAsia" w:eastAsia="方正小标宋简体"/>
                <w:kern w:val="0"/>
                <w:sz w:val="44"/>
                <w:szCs w:val="44"/>
              </w:rPr>
              <w:t xml:space="preserve">    </w:t>
            </w: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W w:w="985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0"/>
              <w:gridCol w:w="1261"/>
              <w:gridCol w:w="1345"/>
              <w:gridCol w:w="1085"/>
              <w:gridCol w:w="1291"/>
              <w:gridCol w:w="1260"/>
              <w:gridCol w:w="1458"/>
              <w:gridCol w:w="12"/>
            </w:tblGrid>
            <w:tr>
              <w:trPr>
                <w:trHeight w:val="636" w:hRule="atLeast"/>
              </w:trPr>
              <w:tc>
                <w:tcPr>
                  <w:tcW w:w="5831" w:type="dxa"/>
                  <w:gridSpan w:val="4"/>
                  <w:tcBorders>
                    <w:bottom w:val="single" w:color="000000" w:sz="4" w:space="0"/>
                  </w:tcBorders>
                  <w:vAlign w:val="center"/>
                </w:tcPr>
                <w:p>
                  <w:pPr>
                    <w:widowControl/>
                    <w:jc w:val="left"/>
                    <w:rPr>
                      <w:rFonts w:eastAsia="华文细黑"/>
                      <w:color w:val="000000"/>
                      <w:kern w:val="0"/>
                      <w:sz w:val="20"/>
                    </w:rPr>
                  </w:pPr>
                </w:p>
              </w:tc>
              <w:tc>
                <w:tcPr>
                  <w:tcW w:w="1291" w:type="dxa"/>
                  <w:tcBorders>
                    <w:bottom w:val="single" w:color="000000" w:sz="4" w:space="0"/>
                  </w:tcBorders>
                  <w:vAlign w:val="center"/>
                </w:tcPr>
                <w:p>
                  <w:pPr>
                    <w:widowControl/>
                    <w:jc w:val="right"/>
                    <w:rPr>
                      <w:rFonts w:eastAsia="华文细黑"/>
                      <w:color w:val="000000"/>
                      <w:kern w:val="0"/>
                      <w:sz w:val="20"/>
                    </w:rPr>
                  </w:pPr>
                </w:p>
              </w:tc>
              <w:tc>
                <w:tcPr>
                  <w:tcW w:w="1260" w:type="dxa"/>
                  <w:tcBorders>
                    <w:bottom w:val="single" w:color="000000" w:sz="4" w:space="0"/>
                  </w:tcBorders>
                  <w:vAlign w:val="center"/>
                </w:tcPr>
                <w:p>
                  <w:pPr>
                    <w:widowControl/>
                    <w:jc w:val="right"/>
                    <w:rPr>
                      <w:rFonts w:eastAsia="华文细黑"/>
                      <w:color w:val="000000"/>
                      <w:kern w:val="0"/>
                      <w:sz w:val="20"/>
                    </w:rPr>
                  </w:pPr>
                </w:p>
              </w:tc>
              <w:tc>
                <w:tcPr>
                  <w:tcW w:w="1470" w:type="dxa"/>
                  <w:gridSpan w:val="2"/>
                  <w:tcBorders>
                    <w:bottom w:val="single" w:color="000000" w:sz="4" w:space="0"/>
                  </w:tcBorders>
                  <w:vAlign w:val="bottom"/>
                </w:tcPr>
                <w:p>
                  <w:pPr>
                    <w:widowControl/>
                    <w:jc w:val="right"/>
                    <w:rPr>
                      <w:rFonts w:eastAsia="华文细黑"/>
                      <w:color w:val="000000"/>
                      <w:kern w:val="0"/>
                      <w:sz w:val="20"/>
                    </w:rPr>
                  </w:pPr>
                  <w:r>
                    <w:rPr>
                      <w:rFonts w:eastAsia="华文细黑"/>
                      <w:color w:val="000000"/>
                      <w:kern w:val="0"/>
                      <w:sz w:val="20"/>
                    </w:rPr>
                    <w:t>单位：万元</w:t>
                  </w:r>
                </w:p>
              </w:tc>
            </w:tr>
            <w:tr>
              <w:trPr>
                <w:gridAfter w:val="1"/>
                <w:wAfter w:w="12" w:type="dxa"/>
                <w:trHeight w:val="1193" w:hRule="atLeast"/>
              </w:trPr>
              <w:tc>
                <w:tcPr>
                  <w:tcW w:w="2140"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1"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事业单位</w:t>
                  </w:r>
                </w:p>
                <w:p>
                  <w:pPr>
                    <w:widowControl/>
                    <w:jc w:val="center"/>
                    <w:rPr>
                      <w:rFonts w:eastAsia="华文细黑"/>
                      <w:color w:val="000000"/>
                      <w:kern w:val="0"/>
                      <w:sz w:val="20"/>
                    </w:rPr>
                  </w:pPr>
                  <w:r>
                    <w:rPr>
                      <w:rFonts w:hint="eastAsia" w:eastAsia="华文细黑"/>
                      <w:color w:val="000000"/>
                      <w:kern w:val="0"/>
                      <w:sz w:val="20"/>
                    </w:rPr>
                    <w:t>经营支出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gridAfter w:val="1"/>
                <w:wAfter w:w="12" w:type="dxa"/>
                <w:trHeight w:val="521"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一、</w:t>
                  </w:r>
                  <w:r>
                    <w:rPr>
                      <w:rFonts w:hint="eastAsia" w:ascii="宋体" w:hAnsi="宋体" w:eastAsia="宋体" w:cs="宋体"/>
                      <w:kern w:val="0"/>
                      <w:sz w:val="20"/>
                      <w:szCs w:val="20"/>
                    </w:rPr>
                    <w:t>一般公共服务支出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202.53</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86.16</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116.37</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rPr>
                <w:gridAfter w:val="1"/>
                <w:wAfter w:w="12" w:type="dxa"/>
                <w:trHeight w:val="517"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kern w:val="0"/>
                      <w:sz w:val="20"/>
                      <w:szCs w:val="20"/>
                    </w:rPr>
                    <w:t>统计信息事务</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202.53</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86.16</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116.37</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455"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kern w:val="0"/>
                      <w:sz w:val="20"/>
                      <w:szCs w:val="20"/>
                    </w:rPr>
                    <w:t xml:space="preserve"> 行政运行</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86.16</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86.16</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468"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kern w:val="0"/>
                      <w:sz w:val="20"/>
                      <w:szCs w:val="20"/>
                    </w:rPr>
                    <w:t>一般行政管理事务</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23.65</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23.65</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455"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专项普查活动</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61.92</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61.92</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430"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center"/>
                    <w:rPr>
                      <w:rFonts w:hint="eastAsia" w:ascii="宋体" w:hAnsi="宋体" w:eastAsia="宋体" w:cs="宋体"/>
                      <w:color w:val="000000"/>
                      <w:kern w:val="0"/>
                      <w:sz w:val="20"/>
                    </w:rPr>
                  </w:pPr>
                  <w:r>
                    <w:rPr>
                      <w:rFonts w:hint="eastAsia" w:ascii="宋体" w:hAnsi="宋体" w:eastAsia="宋体" w:cs="宋体"/>
                      <w:kern w:val="0"/>
                      <w:sz w:val="20"/>
                      <w:szCs w:val="20"/>
                    </w:rPr>
                    <w:t>统计抽样调查</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30.80</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30.80</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560"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rPr>
                    <w:t>二、</w:t>
                  </w:r>
                  <w:r>
                    <w:rPr>
                      <w:rFonts w:hint="eastAsia" w:ascii="宋体" w:hAnsi="宋体" w:eastAsia="宋体" w:cs="宋体"/>
                      <w:kern w:val="0"/>
                      <w:sz w:val="20"/>
                      <w:szCs w:val="20"/>
                    </w:rPr>
                    <w:t>社会保障和就业支出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20.99</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20.99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505" w:hRule="atLeast"/>
              </w:trPr>
              <w:tc>
                <w:tcPr>
                  <w:tcW w:w="2140"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kern w:val="0"/>
                      <w:sz w:val="20"/>
                      <w:szCs w:val="20"/>
                    </w:rPr>
                    <w:t>行政事业单位养老支出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20.99</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20.99</w:t>
                  </w:r>
                </w:p>
              </w:tc>
              <w:tc>
                <w:tcPr>
                  <w:tcW w:w="108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495" w:hRule="atLeast"/>
              </w:trPr>
              <w:tc>
                <w:tcPr>
                  <w:tcW w:w="2140" w:type="dxa"/>
                  <w:tcBorders>
                    <w:top w:val="single" w:color="000000" w:sz="4" w:space="0"/>
                    <w:left w:val="single" w:color="000000" w:sz="4" w:space="0"/>
                    <w:bottom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行政单位离退休</w:t>
                  </w:r>
                </w:p>
              </w:tc>
              <w:tc>
                <w:tcPr>
                  <w:tcW w:w="1261" w:type="dxa"/>
                  <w:tcBorders>
                    <w:top w:val="single" w:color="000000" w:sz="4" w:space="0"/>
                    <w:left w:val="single" w:color="000000" w:sz="4" w:space="0"/>
                    <w:bottom w:val="single" w:color="auto"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5.99</w:t>
                  </w:r>
                </w:p>
              </w:tc>
              <w:tc>
                <w:tcPr>
                  <w:tcW w:w="1345" w:type="dxa"/>
                  <w:tcBorders>
                    <w:top w:val="single" w:color="000000" w:sz="4" w:space="0"/>
                    <w:left w:val="single" w:color="000000" w:sz="4" w:space="0"/>
                    <w:bottom w:val="single" w:color="auto" w:sz="4" w:space="0"/>
                    <w:right w:val="single" w:color="000000" w:sz="4" w:space="0"/>
                  </w:tcBorders>
                  <w:shd w:val="clear" w:color="000000" w:fill="FFFFFF"/>
                  <w:vAlign w:val="center"/>
                </w:tcPr>
                <w:p>
                  <w:pPr>
                    <w:widowControl/>
                    <w:jc w:val="right"/>
                    <w:rPr>
                      <w:rFonts w:eastAsia="宋体"/>
                      <w:color w:val="000000"/>
                      <w:kern w:val="0"/>
                      <w:sz w:val="20"/>
                    </w:rPr>
                  </w:pPr>
                  <w:r>
                    <w:rPr>
                      <w:rFonts w:hint="eastAsia" w:eastAsia="宋体"/>
                      <w:color w:val="000000"/>
                      <w:kern w:val="0"/>
                      <w:sz w:val="20"/>
                    </w:rPr>
                    <w:t>5.99</w:t>
                  </w:r>
                </w:p>
              </w:tc>
              <w:tc>
                <w:tcPr>
                  <w:tcW w:w="1085" w:type="dxa"/>
                  <w:tcBorders>
                    <w:top w:val="single" w:color="000000" w:sz="4" w:space="0"/>
                    <w:left w:val="single" w:color="000000" w:sz="4" w:space="0"/>
                    <w:bottom w:val="single" w:color="auto" w:sz="4" w:space="0"/>
                    <w:right w:val="single" w:color="000000" w:sz="4" w:space="0"/>
                  </w:tcBorders>
                  <w:shd w:val="clear" w:color="000000" w:fill="FFFFFF"/>
                  <w:vAlign w:val="center"/>
                </w:tcPr>
                <w:p>
                  <w:pPr>
                    <w:widowControl/>
                    <w:jc w:val="right"/>
                    <w:rPr>
                      <w:rFonts w:eastAsia="宋体"/>
                      <w:color w:val="000000"/>
                      <w:kern w:val="0"/>
                      <w:sz w:val="20"/>
                    </w:rPr>
                  </w:pPr>
                </w:p>
              </w:tc>
              <w:tc>
                <w:tcPr>
                  <w:tcW w:w="1291" w:type="dxa"/>
                  <w:tcBorders>
                    <w:top w:val="single" w:color="000000" w:sz="4" w:space="0"/>
                    <w:left w:val="single" w:color="000000" w:sz="4" w:space="0"/>
                    <w:bottom w:val="single" w:color="auto" w:sz="4" w:space="0"/>
                    <w:right w:val="single" w:color="000000" w:sz="4" w:space="0"/>
                  </w:tcBorders>
                  <w:shd w:val="clear" w:color="000000" w:fill="FFFFFF"/>
                  <w:vAlign w:val="center"/>
                </w:tcPr>
                <w:p>
                  <w:pPr>
                    <w:widowControl/>
                    <w:jc w:val="right"/>
                    <w:rPr>
                      <w:rFonts w:eastAsia="宋体"/>
                      <w:color w:val="000000"/>
                      <w:kern w:val="0"/>
                      <w:sz w:val="20"/>
                    </w:rPr>
                  </w:pPr>
                </w:p>
              </w:tc>
              <w:tc>
                <w:tcPr>
                  <w:tcW w:w="1260" w:type="dxa"/>
                  <w:tcBorders>
                    <w:top w:val="single" w:color="000000" w:sz="4" w:space="0"/>
                    <w:left w:val="single" w:color="000000" w:sz="4" w:space="0"/>
                    <w:bottom w:val="single" w:color="auto" w:sz="4" w:space="0"/>
                    <w:right w:val="single" w:color="000000" w:sz="4" w:space="0"/>
                  </w:tcBorders>
                  <w:shd w:val="clear" w:color="000000" w:fill="FFFFFF"/>
                  <w:vAlign w:val="center"/>
                </w:tcPr>
                <w:p>
                  <w:pPr>
                    <w:widowControl/>
                    <w:jc w:val="right"/>
                    <w:rPr>
                      <w:rFonts w:eastAsia="宋体"/>
                      <w:color w:val="000000"/>
                      <w:kern w:val="0"/>
                      <w:sz w:val="20"/>
                    </w:rPr>
                  </w:pPr>
                </w:p>
              </w:tc>
              <w:tc>
                <w:tcPr>
                  <w:tcW w:w="1458" w:type="dxa"/>
                  <w:tcBorders>
                    <w:top w:val="single" w:color="000000" w:sz="4" w:space="0"/>
                    <w:left w:val="single" w:color="000000" w:sz="4" w:space="0"/>
                    <w:bottom w:val="single" w:color="auto" w:sz="4" w:space="0"/>
                    <w:right w:val="single" w:color="000000" w:sz="4" w:space="0"/>
                  </w:tcBorders>
                  <w:shd w:val="clear" w:color="000000" w:fill="FFFFFF"/>
                  <w:vAlign w:val="center"/>
                </w:tcPr>
                <w:p>
                  <w:pPr>
                    <w:widowControl/>
                    <w:jc w:val="right"/>
                    <w:rPr>
                      <w:rFonts w:eastAsia="宋体"/>
                      <w:color w:val="000000"/>
                      <w:kern w:val="0"/>
                      <w:sz w:val="20"/>
                    </w:rPr>
                  </w:pPr>
                </w:p>
              </w:tc>
            </w:tr>
            <w:tr>
              <w:trPr>
                <w:gridAfter w:val="1"/>
                <w:wAfter w:w="12" w:type="dxa"/>
                <w:trHeight w:val="575"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16"/>
                      <w:szCs w:val="16"/>
                    </w:rPr>
                    <w:t>机关事业单位基本养老保险缴费支出</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10.00</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10.00</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575"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16"/>
                      <w:szCs w:val="16"/>
                    </w:rPr>
                    <w:t>机关事业单位职业年金缴费支出</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5.00</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5.00</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480"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三、</w:t>
                  </w:r>
                  <w:r>
                    <w:rPr>
                      <w:rFonts w:hint="eastAsia" w:ascii="宋体" w:hAnsi="宋体" w:eastAsia="宋体" w:cs="宋体"/>
                      <w:kern w:val="0"/>
                      <w:sz w:val="20"/>
                      <w:szCs w:val="20"/>
                    </w:rPr>
                    <w:t>卫生健康支出</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3.34</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3.34</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480"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行政事业单位医疗</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3.34</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3.34</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317"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行政单位医疗</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3.34</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3.34</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320"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四、</w:t>
                  </w:r>
                  <w:r>
                    <w:rPr>
                      <w:rFonts w:hint="eastAsia" w:ascii="宋体" w:hAnsi="宋体" w:eastAsia="宋体" w:cs="宋体"/>
                      <w:kern w:val="0"/>
                      <w:sz w:val="20"/>
                      <w:szCs w:val="20"/>
                    </w:rPr>
                    <w:t>住房保障支出</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8.19</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8.19</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352"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住房改革支出</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8.19</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8.19</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365"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住房公积金</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8.19</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pPr>
                  <w:r>
                    <w:rPr>
                      <w:rFonts w:hint="eastAsia" w:eastAsia="宋体"/>
                      <w:color w:val="000000"/>
                      <w:kern w:val="0"/>
                      <w:sz w:val="20"/>
                    </w:rPr>
                    <w:t>8.19</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r>
              <w:trPr>
                <w:gridAfter w:val="1"/>
                <w:wAfter w:w="12" w:type="dxa"/>
                <w:trHeight w:val="395" w:hRule="atLeast"/>
              </w:trPr>
              <w:tc>
                <w:tcPr>
                  <w:tcW w:w="21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rPr>
                  </w:pPr>
                  <w:r>
                    <w:rPr>
                      <w:rFonts w:hint="eastAsia" w:ascii="宋体" w:hAnsi="宋体" w:eastAsia="宋体" w:cs="宋体"/>
                      <w:kern w:val="0"/>
                      <w:sz w:val="20"/>
                      <w:szCs w:val="20"/>
                    </w:rPr>
                    <w:t>合计</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235.05</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118.68</w:t>
                  </w:r>
                </w:p>
              </w:tc>
              <w:tc>
                <w:tcPr>
                  <w:tcW w:w="1085"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color w:val="000000"/>
                      <w:kern w:val="0"/>
                      <w:sz w:val="20"/>
                    </w:rPr>
                  </w:pPr>
                  <w:r>
                    <w:rPr>
                      <w:rFonts w:hint="eastAsia" w:eastAsia="宋体"/>
                      <w:color w:val="000000"/>
                      <w:kern w:val="0"/>
                      <w:sz w:val="20"/>
                    </w:rPr>
                    <w:t>116.37</w:t>
                  </w:r>
                </w:p>
              </w:tc>
              <w:tc>
                <w:tcPr>
                  <w:tcW w:w="129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26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c>
                <w:tcPr>
                  <w:tcW w:w="1458"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color w:val="000000"/>
                      <w:kern w:val="0"/>
                      <w:sz w:val="20"/>
                    </w:rPr>
                  </w:pPr>
                </w:p>
              </w:tc>
            </w:tr>
          </w:tbl>
          <w:p>
            <w:pPr>
              <w:widowControl/>
              <w:rPr>
                <w:rFonts w:eastAsia="方正小标宋简体"/>
                <w:kern w:val="0"/>
                <w:sz w:val="44"/>
                <w:szCs w:val="44"/>
              </w:rPr>
            </w:pPr>
          </w:p>
        </w:tc>
      </w:tr>
      <w:tr>
        <w:trPr>
          <w:gridAfter w:val="3"/>
          <w:wAfter w:w="576" w:type="dxa"/>
          <w:trHeight w:val="11358" w:hRule="atLeast"/>
          <w:jc w:val="center"/>
        </w:trPr>
        <w:tc>
          <w:tcPr>
            <w:tcW w:w="9960" w:type="dxa"/>
            <w:gridSpan w:val="18"/>
            <w:tcBorders>
              <w:top w:val="nil"/>
              <w:left w:val="nil"/>
              <w:bottom w:val="nil"/>
              <w:right w:val="nil"/>
            </w:tcBorders>
            <w:vAlign w:val="bottom"/>
          </w:tcPr>
          <w:tbl>
            <w:tblPr>
              <w:tblpPr w:leftFromText="180" w:rightFromText="180" w:vertAnchor="page" w:horzAnchor="page" w:tblpX="114" w:tblpY="657"/>
              <w:tblOverlap w:val="never"/>
              <w:tblW w:w="9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9"/>
              <w:gridCol w:w="1147"/>
              <w:gridCol w:w="1147"/>
              <w:gridCol w:w="1147"/>
              <w:gridCol w:w="1400"/>
              <w:gridCol w:w="1169"/>
              <w:gridCol w:w="1170"/>
              <w:gridCol w:w="1171"/>
            </w:tblGrid>
            <w:tr>
              <w:trPr>
                <w:trHeight w:val="672" w:hRule="atLeast"/>
              </w:trPr>
              <w:tc>
                <w:tcPr>
                  <w:tcW w:w="9820" w:type="dxa"/>
                  <w:gridSpan w:val="8"/>
                  <w:tcBorders>
                    <w:top w:val="nil"/>
                    <w:left w:val="nil"/>
                    <w:bottom w:val="nil"/>
                    <w:right w:val="nil"/>
                  </w:tcBorders>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trPr>
                <w:trHeight w:val="505" w:hRule="atLeast"/>
              </w:trPr>
              <w:tc>
                <w:tcPr>
                  <w:tcW w:w="9820" w:type="dxa"/>
                  <w:gridSpan w:val="8"/>
                  <w:tcBorders>
                    <w:top w:val="nil"/>
                    <w:left w:val="nil"/>
                    <w:bottom w:val="nil"/>
                    <w:right w:val="nil"/>
                  </w:tcBorders>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rPr>
                <w:trHeight w:val="506" w:hRule="atLeast"/>
              </w:trPr>
              <w:tc>
                <w:tcPr>
                  <w:tcW w:w="49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91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rPr>
                <w:trHeight w:val="1381" w:hRule="atLeast"/>
              </w:trPr>
              <w:tc>
                <w:tcPr>
                  <w:tcW w:w="1469"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47"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47"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47"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c>
                <w:tcPr>
                  <w:tcW w:w="1400"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69"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0"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r>
            <w:tr>
              <w:trPr>
                <w:trHeight w:val="445"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hAnsi="华文细黑" w:eastAsia="华文细黑"/>
                      <w:kern w:val="0"/>
                      <w:sz w:val="20"/>
                      <w:szCs w:val="20"/>
                    </w:rPr>
                    <w:t>一、本年收入</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hAnsi="华文细黑" w:eastAsia="华文细黑"/>
                      <w:kern w:val="0"/>
                      <w:sz w:val="20"/>
                      <w:szCs w:val="20"/>
                    </w:rPr>
                    <w:t>一、本年支出</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szCs w:val="22"/>
                    </w:rPr>
                  </w:pPr>
                </w:p>
              </w:tc>
            </w:tr>
            <w:tr>
              <w:trPr>
                <w:trHeight w:val="531"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r>
                    <w:rPr>
                      <w:rFonts w:hint="eastAsia" w:ascii="宋体" w:hAnsi="宋体" w:eastAsia="宋体" w:cs="宋体"/>
                      <w:kern w:val="0"/>
                      <w:sz w:val="20"/>
                      <w:szCs w:val="20"/>
                    </w:rPr>
                    <w:t>一般公共预算拨款</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r>
                    <w:rPr>
                      <w:rFonts w:hint="eastAsia" w:ascii="宋体" w:hAnsi="宋体" w:eastAsia="宋体" w:cs="宋体"/>
                      <w:kern w:val="0"/>
                      <w:sz w:val="20"/>
                    </w:rPr>
                    <w:t>169.35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r>
                    <w:rPr>
                      <w:rFonts w:hint="eastAsia" w:ascii="宋体" w:hAnsi="宋体" w:eastAsia="宋体" w:cs="宋体"/>
                      <w:kern w:val="0"/>
                      <w:sz w:val="20"/>
                    </w:rPr>
                    <w:t>169.35</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（一）一般公共服务</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136.83</w:t>
                  </w: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136.83</w:t>
                  </w: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792"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r>
                    <w:rPr>
                      <w:rFonts w:hint="eastAsia" w:ascii="宋体" w:hAnsi="宋体" w:eastAsia="宋体" w:cs="宋体"/>
                      <w:kern w:val="0"/>
                      <w:sz w:val="20"/>
                      <w:szCs w:val="20"/>
                    </w:rPr>
                    <w:t>政府性基金预算拨款</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（二）社会保障和就业支出</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20.99</w:t>
                  </w: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20.99</w:t>
                  </w: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31"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r>
                    <w:rPr>
                      <w:rFonts w:hint="eastAsia" w:ascii="宋体" w:hAnsi="宋体" w:eastAsia="宋体" w:cs="宋体"/>
                      <w:kern w:val="0"/>
                      <w:sz w:val="20"/>
                      <w:szCs w:val="20"/>
                    </w:rPr>
                    <w:t>国有资本经营预算拨款</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kern w:val="0"/>
                      <w:sz w:val="20"/>
                      <w:szCs w:val="20"/>
                    </w:rPr>
                  </w:pPr>
                  <w:r>
                    <w:rPr>
                      <w:rFonts w:hint="eastAsia" w:ascii="宋体" w:hAnsi="宋体" w:eastAsia="宋体" w:cs="宋体"/>
                      <w:kern w:val="0"/>
                      <w:sz w:val="20"/>
                      <w:szCs w:val="20"/>
                    </w:rPr>
                    <w:t>（三）卫生健康支出</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3.34</w:t>
                  </w: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3.34</w:t>
                  </w: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31" w:hRule="atLeast"/>
              </w:trPr>
              <w:tc>
                <w:tcPr>
                  <w:tcW w:w="1469"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hint="eastAsia" w:ascii="宋体" w:hAnsi="宋体" w:eastAsia="宋体" w:cs="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hint="eastAsia" w:ascii="宋体" w:hAnsi="宋体" w:eastAsia="宋体" w:cs="宋体"/>
                      <w:color w:val="000000"/>
                      <w:kern w:val="0"/>
                      <w:sz w:val="20"/>
                    </w:rPr>
                  </w:pPr>
                  <w:r>
                    <w:rPr>
                      <w:rFonts w:hint="eastAsia" w:ascii="宋体" w:hAnsi="宋体" w:eastAsia="宋体" w:cs="宋体"/>
                      <w:kern w:val="0"/>
                      <w:sz w:val="20"/>
                      <w:szCs w:val="20"/>
                    </w:rPr>
                    <w:t>（四）住房保障支出</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8.19</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8.19</w:t>
                  </w: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8" w:hRule="atLeast"/>
              </w:trPr>
              <w:tc>
                <w:tcPr>
                  <w:tcW w:w="1469"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Cs/>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rPr>
                      <w:rFonts w:eastAsia="宋体"/>
                      <w:b/>
                      <w:bCs/>
                      <w:kern w:val="0"/>
                      <w:sz w:val="20"/>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rPr>
                <w:trHeight w:val="504" w:hRule="atLeast"/>
              </w:trPr>
              <w:tc>
                <w:tcPr>
                  <w:tcW w:w="146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47"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jc w:val="left"/>
                    <w:rPr>
                      <w:rFonts w:eastAsia="宋体"/>
                      <w:sz w:val="20"/>
                    </w:rPr>
                  </w:pPr>
                  <w:r>
                    <w:rPr>
                      <w:rFonts w:hint="eastAsia" w:eastAsia="宋体"/>
                      <w:kern w:val="0"/>
                      <w:sz w:val="20"/>
                    </w:rPr>
                    <w:t>二、</w:t>
                  </w:r>
                  <w:r>
                    <w:rPr>
                      <w:rFonts w:eastAsia="宋体"/>
                      <w:kern w:val="0"/>
                      <w:sz w:val="20"/>
                    </w:rPr>
                    <w:t>结转下年</w:t>
                  </w:r>
                </w:p>
              </w:tc>
              <w:tc>
                <w:tcPr>
                  <w:tcW w:w="1169" w:type="dxa"/>
                  <w:tcBorders>
                    <w:top w:val="single" w:color="auto" w:sz="4" w:space="0"/>
                    <w:left w:val="single" w:color="auto" w:sz="4" w:space="0"/>
                    <w:bottom w:val="single" w:color="auto" w:sz="4" w:space="0"/>
                    <w:right w:val="single" w:color="auto" w:sz="4" w:space="0"/>
                  </w:tcBorders>
                  <w:vAlign w:val="center"/>
                </w:tcPr>
                <w:p>
                  <w:pPr>
                    <w:ind w:firstLine="200" w:firstLineChars="100"/>
                    <w:jc w:val="right"/>
                    <w:rPr>
                      <w:rFonts w:eastAsia="宋体"/>
                      <w:sz w:val="20"/>
                    </w:rPr>
                  </w:pPr>
                </w:p>
              </w:tc>
              <w:tc>
                <w:tcPr>
                  <w:tcW w:w="1170" w:type="dxa"/>
                  <w:tcBorders>
                    <w:top w:val="single" w:color="auto" w:sz="4" w:space="0"/>
                    <w:left w:val="single" w:color="auto" w:sz="4" w:space="0"/>
                    <w:bottom w:val="single" w:color="auto" w:sz="4" w:space="0"/>
                    <w:right w:val="single" w:color="auto" w:sz="4" w:space="0"/>
                  </w:tcBorders>
                  <w:vAlign w:val="center"/>
                </w:tcPr>
                <w:p>
                  <w:pPr>
                    <w:ind w:firstLine="200" w:firstLineChars="100"/>
                    <w:jc w:val="right"/>
                    <w:rPr>
                      <w:rFonts w:eastAsia="宋体"/>
                      <w:sz w:val="20"/>
                    </w:rPr>
                  </w:pPr>
                </w:p>
              </w:tc>
              <w:tc>
                <w:tcPr>
                  <w:tcW w:w="1171" w:type="dxa"/>
                  <w:tcBorders>
                    <w:top w:val="single" w:color="auto" w:sz="4" w:space="0"/>
                    <w:left w:val="single" w:color="auto" w:sz="4" w:space="0"/>
                    <w:bottom w:val="single" w:color="auto" w:sz="4" w:space="0"/>
                    <w:right w:val="single" w:color="auto" w:sz="4" w:space="0"/>
                  </w:tcBorders>
                  <w:vAlign w:val="top"/>
                </w:tcPr>
                <w:p>
                  <w:pPr>
                    <w:ind w:firstLine="200" w:firstLineChars="100"/>
                    <w:rPr>
                      <w:rFonts w:eastAsia="宋体"/>
                      <w:sz w:val="20"/>
                    </w:rPr>
                  </w:pPr>
                </w:p>
              </w:tc>
            </w:tr>
            <w:tr>
              <w:trPr>
                <w:trHeight w:val="522" w:hRule="atLeast"/>
              </w:trPr>
              <w:tc>
                <w:tcPr>
                  <w:tcW w:w="14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r>
                    <w:rPr>
                      <w:rFonts w:hint="eastAsia" w:eastAsia="黑体"/>
                      <w:kern w:val="0"/>
                      <w:sz w:val="20"/>
                    </w:rPr>
                    <w:t>169.35</w:t>
                  </w:r>
                  <w:r>
                    <w:rPr>
                      <w:rFonts w:eastAsia="黑体"/>
                      <w:kern w:val="0"/>
                      <w:sz w:val="20"/>
                    </w:rPr>
                    <w:t>　</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r>
                    <w:rPr>
                      <w:rFonts w:hint="eastAsia" w:eastAsia="黑体"/>
                      <w:kern w:val="0"/>
                      <w:sz w:val="20"/>
                    </w:rPr>
                    <w:t>169.35</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r>
                    <w:rPr>
                      <w:rFonts w:eastAsia="宋体"/>
                      <w:kern w:val="0"/>
                      <w:sz w:val="20"/>
                    </w:rPr>
                    <w:t>　</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169.35</w:t>
                  </w:r>
                </w:p>
              </w:tc>
              <w:tc>
                <w:tcPr>
                  <w:tcW w:w="1171"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bl>
          <w:p>
            <w:pPr>
              <w:widowControl/>
              <w:rPr>
                <w:rFonts w:eastAsia="方正小标宋简体"/>
                <w:kern w:val="0"/>
                <w:sz w:val="44"/>
                <w:szCs w:val="44"/>
              </w:rPr>
            </w:pPr>
          </w:p>
        </w:tc>
      </w:tr>
    </w:tbl>
    <w:p>
      <w:pPr>
        <w:rPr>
          <w:rFonts w:eastAsia="楷体"/>
        </w:rPr>
      </w:pPr>
    </w:p>
    <w:tbl>
      <w:tblPr>
        <w:tblW w:w="10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5"/>
      </w:tblGrid>
      <w:tr>
        <w:trPr>
          <w:trHeight w:val="6081" w:hRule="atLeast"/>
          <w:jc w:val="center"/>
        </w:trPr>
        <w:tc>
          <w:tcPr>
            <w:tcW w:w="10405" w:type="dxa"/>
            <w:tcBorders>
              <w:top w:val="nil"/>
              <w:left w:val="nil"/>
              <w:bottom w:val="nil"/>
              <w:right w:val="nil"/>
            </w:tcBorders>
            <w:vAlign w:val="bottom"/>
          </w:tcPr>
          <w:p>
            <w:pPr>
              <w:widowControl/>
              <w:rPr>
                <w:rFonts w:eastAsia="方正小标宋简体"/>
                <w:kern w:val="0"/>
                <w:sz w:val="44"/>
                <w:szCs w:val="44"/>
              </w:rPr>
            </w:pPr>
          </w:p>
          <w:tbl>
            <w:tblPr>
              <w:tblW w:w="10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57"/>
              <w:gridCol w:w="1299"/>
              <w:gridCol w:w="1299"/>
              <w:gridCol w:w="1298"/>
              <w:gridCol w:w="1299"/>
              <w:gridCol w:w="1948"/>
            </w:tblGrid>
            <w:tr>
              <w:trPr>
                <w:trHeight w:val="1045" w:hRule="atLeast"/>
              </w:trPr>
              <w:tc>
                <w:tcPr>
                  <w:tcW w:w="10100" w:type="dxa"/>
                  <w:gridSpan w:val="6"/>
                  <w:tcBorders>
                    <w:bottom w:val="single" w:color="000000" w:sz="4" w:space="0"/>
                  </w:tcBorders>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rPr>
                <w:trHeight w:val="432" w:hRule="atLeast"/>
              </w:trPr>
              <w:tc>
                <w:tcPr>
                  <w:tcW w:w="295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99"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389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322" w:hRule="atLeast"/>
              </w:trPr>
              <w:tc>
                <w:tcPr>
                  <w:tcW w:w="295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299"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89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9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rPr>
                <w:trHeight w:val="673" w:hRule="atLeast"/>
              </w:trPr>
              <w:tc>
                <w:tcPr>
                  <w:tcW w:w="295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299"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2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c>
                <w:tcPr>
                  <w:tcW w:w="19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rPr>
                <w:trHeight w:val="432"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r>
                    <w:rPr>
                      <w:rFonts w:eastAsia="宋体"/>
                      <w:color w:val="000000"/>
                      <w:kern w:val="0"/>
                      <w:sz w:val="20"/>
                    </w:rPr>
                    <w:t>一、</w:t>
                  </w:r>
                  <w:r>
                    <w:rPr>
                      <w:rFonts w:hAnsi="华文细黑" w:eastAsia="华文细黑"/>
                      <w:kern w:val="0"/>
                      <w:sz w:val="20"/>
                      <w:szCs w:val="20"/>
                    </w:rPr>
                    <w:t>一般公共服务</w:t>
                  </w:r>
                  <w:r>
                    <w:rPr>
                      <w:rFonts w:hint="eastAsia" w:hAnsi="华文细黑" w:eastAsia="华文细黑"/>
                      <w:kern w:val="0"/>
                      <w:sz w:val="20"/>
                      <w:szCs w:val="20"/>
                    </w:rPr>
                    <w:t>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136.83</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86.16</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69.22</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16.94</w:t>
                  </w: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50.67</w:t>
                  </w: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kern w:val="0"/>
                      <w:sz w:val="20"/>
                      <w:szCs w:val="20"/>
                    </w:rPr>
                    <w:t>统计信息事务</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136.83</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86.16</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69.22</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16.94</w:t>
                  </w: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50.67</w:t>
                  </w:r>
                </w:p>
              </w:tc>
            </w:tr>
            <w:tr>
              <w:trPr>
                <w:trHeight w:val="346"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kern w:val="0"/>
                      <w:sz w:val="20"/>
                      <w:szCs w:val="20"/>
                    </w:rPr>
                    <w:t>行政运行</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86.16</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86.16</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69.22</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16.94</w:t>
                  </w: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50.67</w:t>
                  </w:r>
                </w:p>
              </w:tc>
            </w:tr>
            <w:tr>
              <w:trPr>
                <w:trHeight w:val="33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kern w:val="0"/>
                      <w:sz w:val="20"/>
                      <w:szCs w:val="20"/>
                    </w:rPr>
                    <w:t>一般行政管理事务</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15.87</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16.94</w:t>
                  </w: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r>
            <w:tr>
              <w:trPr>
                <w:trHeight w:val="30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hint="eastAsia" w:ascii="宋体" w:hAnsi="宋体" w:eastAsia="宋体" w:cs="宋体"/>
                      <w:color w:val="000000"/>
                      <w:kern w:val="0"/>
                      <w:sz w:val="20"/>
                      <w:szCs w:val="20"/>
                    </w:rPr>
                  </w:pPr>
                  <w:r>
                    <w:rPr>
                      <w:rFonts w:hint="eastAsia" w:ascii="宋体" w:hAnsi="宋体" w:eastAsia="宋体" w:cs="宋体"/>
                      <w:kern w:val="0"/>
                      <w:sz w:val="20"/>
                      <w:szCs w:val="20"/>
                    </w:rPr>
                    <w:t>专项普查活动</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4.00</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15.87</w:t>
                  </w:r>
                </w:p>
              </w:tc>
            </w:tr>
            <w:tr>
              <w:trPr>
                <w:trHeight w:val="30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hint="eastAsia" w:ascii="宋体" w:hAnsi="宋体" w:eastAsia="宋体" w:cs="宋体"/>
                      <w:color w:val="000000"/>
                      <w:kern w:val="0"/>
                      <w:sz w:val="20"/>
                      <w:szCs w:val="20"/>
                    </w:rPr>
                  </w:pPr>
                  <w:r>
                    <w:rPr>
                      <w:rFonts w:hint="eastAsia" w:ascii="宋体" w:hAnsi="宋体" w:eastAsia="宋体" w:cs="宋体"/>
                      <w:kern w:val="0"/>
                      <w:sz w:val="20"/>
                      <w:szCs w:val="20"/>
                    </w:rPr>
                    <w:t>统计抽样调查</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30.80</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4.00</w:t>
                  </w: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kern w:val="0"/>
                      <w:sz w:val="20"/>
                      <w:szCs w:val="20"/>
                    </w:rPr>
                    <w:t>社会保障和就业支出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20.99</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20.99</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20.99</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30.80</w:t>
                  </w: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ind w:firstLine="500" w:firstLineChars="250"/>
                    <w:jc w:val="left"/>
                    <w:rPr>
                      <w:rFonts w:hint="eastAsia" w:ascii="宋体" w:hAnsi="宋体" w:eastAsia="宋体" w:cs="宋体"/>
                      <w:color w:val="000000"/>
                      <w:kern w:val="0"/>
                      <w:sz w:val="20"/>
                      <w:szCs w:val="20"/>
                    </w:rPr>
                  </w:pPr>
                  <w:r>
                    <w:rPr>
                      <w:rFonts w:hint="eastAsia" w:ascii="宋体" w:hAnsi="宋体" w:eastAsia="宋体" w:cs="宋体"/>
                      <w:kern w:val="0"/>
                      <w:sz w:val="20"/>
                      <w:szCs w:val="20"/>
                    </w:rPr>
                    <w:t>行政事业单位养老支出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20.99</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20.99</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20.99</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hint="eastAsia" w:ascii="宋体" w:hAnsi="宋体" w:eastAsia="宋体" w:cs="宋体"/>
                      <w:color w:val="000000"/>
                      <w:kern w:val="0"/>
                      <w:sz w:val="20"/>
                      <w:szCs w:val="20"/>
                    </w:rPr>
                  </w:pPr>
                  <w:r>
                    <w:rPr>
                      <w:rFonts w:hint="eastAsia" w:ascii="宋体" w:hAnsi="宋体" w:eastAsia="宋体" w:cs="宋体"/>
                      <w:kern w:val="0"/>
                      <w:sz w:val="20"/>
                      <w:szCs w:val="20"/>
                    </w:rPr>
                    <w:t>行政单位离退休</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5.99</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5.99</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5.99</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560"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ind w:firstLine="600" w:firstLineChars="300"/>
                    <w:jc w:val="left"/>
                    <w:rPr>
                      <w:rFonts w:hint="eastAsia" w:ascii="宋体" w:hAnsi="宋体" w:eastAsia="宋体" w:cs="宋体"/>
                      <w:color w:val="000000"/>
                      <w:kern w:val="0"/>
                      <w:sz w:val="20"/>
                      <w:szCs w:val="20"/>
                    </w:rPr>
                  </w:pPr>
                  <w:r>
                    <w:rPr>
                      <w:rFonts w:hint="eastAsia" w:ascii="宋体" w:hAnsi="宋体" w:eastAsia="宋体" w:cs="宋体"/>
                      <w:kern w:val="0"/>
                      <w:sz w:val="20"/>
                      <w:szCs w:val="20"/>
                    </w:rPr>
                    <w:t>机关事业单位基本养老保险缴费支出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10.00</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10.00</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10.00</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15"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kern w:val="0"/>
                      <w:sz w:val="20"/>
                      <w:szCs w:val="20"/>
                    </w:rPr>
                    <w:t xml:space="preserve"> 机关事业单位职业年金缴费支出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5.00</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5.00</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5.00</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6"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三、</w:t>
                  </w:r>
                  <w:r>
                    <w:rPr>
                      <w:rFonts w:hint="eastAsia" w:ascii="宋体" w:hAnsi="宋体" w:eastAsia="宋体" w:cs="宋体"/>
                      <w:kern w:val="0"/>
                      <w:sz w:val="20"/>
                      <w:szCs w:val="20"/>
                    </w:rPr>
                    <w:t>卫生健康支出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kern w:val="0"/>
                      <w:sz w:val="20"/>
                      <w:szCs w:val="20"/>
                    </w:rPr>
                    <w:t xml:space="preserve"> 行政事业单位医疗</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kern w:val="0"/>
                      <w:sz w:val="20"/>
                      <w:szCs w:val="20"/>
                    </w:rPr>
                    <w:t>行政单位医疗</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3.34</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四、</w:t>
                  </w:r>
                  <w:r>
                    <w:rPr>
                      <w:rFonts w:hint="eastAsia" w:ascii="宋体" w:hAnsi="宋体" w:eastAsia="宋体" w:cs="宋体"/>
                      <w:kern w:val="0"/>
                      <w:sz w:val="20"/>
                      <w:szCs w:val="20"/>
                    </w:rPr>
                    <w:t>住房保障支出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kern w:val="0"/>
                      <w:sz w:val="20"/>
                      <w:szCs w:val="20"/>
                    </w:rPr>
                    <w:t>住房改革支出</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1"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kern w:val="0"/>
                      <w:sz w:val="20"/>
                      <w:szCs w:val="20"/>
                    </w:rPr>
                    <w:t>住房公积金</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29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c>
                <w:tcPr>
                  <w:tcW w:w="194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kern w:val="0"/>
                      <w:sz w:val="20"/>
                    </w:rPr>
                  </w:pPr>
                </w:p>
              </w:tc>
            </w:tr>
            <w:tr>
              <w:trPr>
                <w:trHeight w:val="378" w:hRule="atLeast"/>
              </w:trPr>
              <w:tc>
                <w:tcPr>
                  <w:tcW w:w="295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169.35</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118.68</w:t>
                  </w:r>
                </w:p>
              </w:tc>
              <w:tc>
                <w:tcPr>
                  <w:tcW w:w="129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101.74</w:t>
                  </w:r>
                </w:p>
              </w:tc>
              <w:tc>
                <w:tcPr>
                  <w:tcW w:w="129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16.94</w:t>
                  </w:r>
                </w:p>
              </w:tc>
              <w:tc>
                <w:tcPr>
                  <w:tcW w:w="194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jc w:val="right"/>
                    <w:rPr>
                      <w:rFonts w:eastAsia="宋体"/>
                      <w:kern w:val="0"/>
                      <w:sz w:val="20"/>
                    </w:rPr>
                  </w:pPr>
                  <w:r>
                    <w:rPr>
                      <w:rFonts w:eastAsia="宋体"/>
                      <w:kern w:val="0"/>
                      <w:sz w:val="20"/>
                    </w:rPr>
                    <w:t>50.67</w:t>
                  </w:r>
                </w:p>
              </w:tc>
            </w:tr>
          </w:tbl>
          <w:p>
            <w:pPr>
              <w:widowControl/>
              <w:jc w:val="center"/>
              <w:rPr>
                <w:rFonts w:eastAsia="方正小标宋简体"/>
                <w:kern w:val="0"/>
                <w:sz w:val="44"/>
                <w:szCs w:val="44"/>
              </w:rPr>
            </w:pPr>
          </w:p>
        </w:tc>
      </w:tr>
    </w:tbl>
    <w:p>
      <w:pPr>
        <w:ind w:firstLine="640" w:firstLineChars="200"/>
      </w:pPr>
    </w:p>
    <w:p>
      <w:pPr>
        <w:rPr>
          <w:rFonts w:eastAsia="楷体"/>
        </w:rPr>
      </w:pPr>
    </w:p>
    <w:p>
      <w:pPr>
        <w:rPr>
          <w:rFonts w:eastAsia="楷体"/>
        </w:rPr>
      </w:pPr>
    </w:p>
    <w:tbl>
      <w:tblPr>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6"/>
        <w:gridCol w:w="2220"/>
        <w:gridCol w:w="1704"/>
        <w:gridCol w:w="1831"/>
      </w:tblGrid>
      <w:tr>
        <w:trPr>
          <w:trHeight w:val="615" w:hRule="atLeast"/>
          <w:jc w:val="center"/>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trPr>
          <w:trHeight w:val="390" w:hRule="atLeast"/>
          <w:jc w:val="center"/>
        </w:trPr>
        <w:tc>
          <w:tcPr>
            <w:tcW w:w="3176" w:type="dxa"/>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rPr>
          <w:trHeight w:val="468" w:hRule="atLeast"/>
          <w:jc w:val="center"/>
        </w:trPr>
        <w:tc>
          <w:tcPr>
            <w:tcW w:w="3176" w:type="dxa"/>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rPr>
          <w:trHeight w:val="355"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20"/>
              </w:rPr>
            </w:pPr>
            <w:r>
              <w:rPr>
                <w:rFonts w:hint="eastAsia" w:hAnsi="华文细黑" w:eastAsia="华文细黑"/>
                <w:kern w:val="0"/>
                <w:sz w:val="16"/>
                <w:szCs w:val="16"/>
              </w:rPr>
              <w:t>一、</w:t>
            </w:r>
            <w:r>
              <w:rPr>
                <w:rFonts w:hAnsi="华文细黑" w:eastAsia="华文细黑"/>
                <w:kern w:val="0"/>
                <w:sz w:val="16"/>
                <w:szCs w:val="16"/>
              </w:rPr>
              <w:t>工资福利支出</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95.48</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95.48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322"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基本工资</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30.11</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30.11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津贴补贴</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20.45</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20.45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29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奖金</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14.24</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14.24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385"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10.00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10.00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370"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机关事业单位职业年金缴费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5.00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5.00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404"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职工基本医疗保险缴费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3.24</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3.24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318"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其他社会保障缴费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0.10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right"/>
              <w:rPr>
                <w:rFonts w:eastAsia="宋体"/>
                <w:kern w:val="0"/>
                <w:sz w:val="20"/>
              </w:rPr>
            </w:pPr>
          </w:p>
        </w:tc>
      </w:tr>
      <w:tr>
        <w:trPr>
          <w:trHeight w:val="370"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住房公积金</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8.19</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rPr>
          <w:trHeight w:val="311"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医疗费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0.88</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0.88</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rPr>
          <w:trHeight w:val="37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其他工资福利支出</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3.27</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3.27</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rPr>
          <w:trHeight w:val="415"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二、</w:t>
            </w:r>
            <w:r>
              <w:rPr>
                <w:rFonts w:hAnsi="华文细黑" w:eastAsia="华文细黑"/>
                <w:kern w:val="0"/>
                <w:sz w:val="16"/>
                <w:szCs w:val="16"/>
              </w:rPr>
              <w:t>商品和服务支出</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16.44</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16.44</w:t>
            </w:r>
          </w:p>
        </w:tc>
      </w:tr>
      <w:tr>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办公费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0.70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0.70</w:t>
            </w:r>
          </w:p>
        </w:tc>
      </w:tr>
      <w:tr>
        <w:trPr>
          <w:trHeight w:val="197"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水费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0.10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0.10</w:t>
            </w:r>
          </w:p>
        </w:tc>
      </w:tr>
      <w:tr>
        <w:trPr>
          <w:trHeight w:val="27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电费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0.30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0.30</w:t>
            </w:r>
          </w:p>
        </w:tc>
      </w:tr>
      <w:tr>
        <w:trPr>
          <w:trHeight w:val="32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邮电费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0.01</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0.01</w:t>
            </w:r>
          </w:p>
        </w:tc>
      </w:tr>
      <w:tr>
        <w:trPr>
          <w:trHeight w:val="28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差旅费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3.56</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3.56</w:t>
            </w:r>
          </w:p>
        </w:tc>
      </w:tr>
      <w:tr>
        <w:trPr>
          <w:trHeight w:val="20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租赁费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0.60</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0.60</w:t>
            </w:r>
          </w:p>
        </w:tc>
      </w:tr>
      <w:tr>
        <w:trPr>
          <w:trHeight w:val="328"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公务接待费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0.13</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0.13</w:t>
            </w:r>
          </w:p>
        </w:tc>
      </w:tr>
      <w:tr>
        <w:trPr>
          <w:trHeight w:val="338"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工会经费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1.01</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1.01</w:t>
            </w:r>
          </w:p>
        </w:tc>
      </w:tr>
      <w:tr>
        <w:trPr>
          <w:trHeight w:val="384"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其他交通费用</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4.86</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4.86</w:t>
            </w:r>
          </w:p>
        </w:tc>
      </w:tr>
      <w:tr>
        <w:trPr>
          <w:trHeight w:val="376"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其他商品和服务支出</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5.17</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5.17</w:t>
            </w:r>
          </w:p>
        </w:tc>
      </w:tr>
      <w:tr>
        <w:trPr>
          <w:trHeight w:val="271"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三、</w:t>
            </w:r>
            <w:r>
              <w:rPr>
                <w:rFonts w:hAnsi="华文细黑" w:eastAsia="华文细黑"/>
                <w:kern w:val="0"/>
                <w:sz w:val="16"/>
                <w:szCs w:val="16"/>
              </w:rPr>
              <w:t>对个人和家庭的补助</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6.26</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6.26</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rPr>
          <w:trHeight w:val="32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退休费</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5.99</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5.99</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rPr>
          <w:trHeight w:val="316"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0.27</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0.27</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r>
      <w:tr>
        <w:trPr>
          <w:trHeight w:val="368"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四、</w:t>
            </w:r>
            <w:r>
              <w:rPr>
                <w:rFonts w:hAnsi="华文细黑" w:eastAsia="华文细黑"/>
                <w:kern w:val="0"/>
                <w:sz w:val="16"/>
                <w:szCs w:val="16"/>
              </w:rPr>
              <w:t>资本性支出</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0.50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0.50</w:t>
            </w:r>
          </w:p>
        </w:tc>
      </w:tr>
      <w:tr>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left"/>
              <w:rPr>
                <w:rFonts w:hAnsi="华文细黑" w:eastAsia="华文细黑"/>
                <w:kern w:val="0"/>
                <w:sz w:val="16"/>
                <w:szCs w:val="16"/>
              </w:rPr>
            </w:pPr>
            <w:r>
              <w:rPr>
                <w:rFonts w:hint="eastAsia" w:hAnsi="华文细黑" w:eastAsia="华文细黑"/>
                <w:kern w:val="0"/>
                <w:sz w:val="16"/>
                <w:szCs w:val="16"/>
              </w:rPr>
              <w:t xml:space="preserve">    </w:t>
            </w:r>
            <w:r>
              <w:rPr>
                <w:rFonts w:hAnsi="华文细黑" w:eastAsia="华文细黑"/>
                <w:kern w:val="0"/>
                <w:sz w:val="16"/>
                <w:szCs w:val="16"/>
              </w:rPr>
              <w:t>办公设备购置</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0.50</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r>
              <w:rPr>
                <w:rFonts w:hint="eastAsia" w:eastAsia="宋体"/>
                <w:kern w:val="0"/>
                <w:sz w:val="20"/>
              </w:rPr>
              <w:t>0.50</w:t>
            </w:r>
          </w:p>
        </w:tc>
      </w:tr>
      <w:tr>
        <w:trPr>
          <w:trHeight w:val="13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华文细黑" w:eastAsia="华文细黑"/>
                <w:kern w:val="0"/>
                <w:sz w:val="20"/>
              </w:rPr>
            </w:pPr>
            <w:r>
              <w:rPr>
                <w:rFonts w:hint="eastAsia" w:hAnsi="华文细黑" w:eastAsia="华文细黑"/>
                <w:kern w:val="0"/>
                <w:sz w:val="20"/>
              </w:rPr>
              <w:t>合计</w:t>
            </w:r>
          </w:p>
        </w:tc>
        <w:tc>
          <w:tcPr>
            <w:tcW w:w="2220"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118.68</w:t>
            </w:r>
          </w:p>
        </w:tc>
        <w:tc>
          <w:tcPr>
            <w:tcW w:w="1704"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101.74</w:t>
            </w:r>
          </w:p>
        </w:tc>
        <w:tc>
          <w:tcPr>
            <w:tcW w:w="1831" w:type="dxa"/>
            <w:tcBorders>
              <w:top w:val="single" w:color="auto" w:sz="4" w:space="0"/>
              <w:left w:val="single" w:color="auto" w:sz="4" w:space="0"/>
              <w:bottom w:val="single" w:color="auto" w:sz="4" w:space="0"/>
              <w:right w:val="single" w:color="auto" w:sz="4" w:space="0"/>
            </w:tcBorders>
            <w:shd w:val="solid" w:color="FFFFFF" w:fill="auto"/>
            <w:vAlign w:val="center"/>
          </w:tcPr>
          <w:p>
            <w:pPr>
              <w:widowControl/>
              <w:jc w:val="right"/>
              <w:rPr>
                <w:rFonts w:eastAsia="宋体"/>
                <w:kern w:val="0"/>
                <w:sz w:val="20"/>
              </w:rPr>
            </w:pPr>
            <w:r>
              <w:rPr>
                <w:rFonts w:eastAsia="宋体"/>
                <w:kern w:val="0"/>
                <w:sz w:val="20"/>
              </w:rPr>
              <w:t>16.94</w:t>
            </w:r>
          </w:p>
        </w:tc>
      </w:tr>
    </w:tbl>
    <w:p>
      <w:pPr>
        <w:rPr>
          <w:rFonts w:eastAsia="楷体"/>
        </w:rPr>
      </w:pPr>
      <w:r>
        <w:rPr>
          <w:rFonts w:hAnsi="楷体" w:eastAsia="楷体"/>
        </w:rPr>
        <w:br w:type="page"/>
      </w:r>
    </w:p>
    <w:tbl>
      <w:tblP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9"/>
        <w:gridCol w:w="3371"/>
      </w:tblGrid>
      <w:tr>
        <w:trPr>
          <w:trHeight w:val="1246" w:hRule="atLeast"/>
          <w:jc w:val="center"/>
        </w:trPr>
        <w:tc>
          <w:tcPr>
            <w:tcW w:w="9140" w:type="dxa"/>
            <w:gridSpan w:val="2"/>
            <w:tcBorders>
              <w:top w:val="nil"/>
              <w:left w:val="nil"/>
              <w:right w:val="nil"/>
            </w:tcBorders>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trPr>
          <w:trHeight w:val="440" w:hRule="atLeast"/>
          <w:jc w:val="center"/>
        </w:trPr>
        <w:tc>
          <w:tcPr>
            <w:tcW w:w="9140" w:type="dxa"/>
            <w:gridSpan w:val="2"/>
            <w:tcBorders>
              <w:bottom w:val="single" w:color="auto" w:sz="4" w:space="0"/>
            </w:tcBorders>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rPr>
              <w:t>0.13</w:t>
            </w:r>
          </w:p>
        </w:tc>
      </w:tr>
      <w:tr>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rPr>
              <w:t>0.13</w:t>
            </w:r>
          </w:p>
        </w:tc>
      </w:tr>
      <w:tr>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rPr>
          <w:trHeight w:val="1335" w:hRule="atLeast"/>
          <w:jc w:val="center"/>
        </w:trPr>
        <w:tc>
          <w:tcPr>
            <w:tcW w:w="9140" w:type="dxa"/>
            <w:gridSpan w:val="2"/>
            <w:tcBorders>
              <w:top w:val="single" w:color="auto" w:sz="4" w:space="0"/>
              <w:left w:val="nil"/>
              <w:bottom w:val="nil"/>
              <w:right w:val="nil"/>
            </w:tcBorders>
            <w:vAlign w:val="center"/>
          </w:tcPr>
          <w:p>
            <w:pPr>
              <w:widowControl/>
              <w:rPr>
                <w:color w:val="000000"/>
                <w:kern w:val="0"/>
                <w:sz w:val="28"/>
                <w:szCs w:val="28"/>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
          <w:kern w:val="0"/>
          <w:szCs w:val="32"/>
        </w:rPr>
      </w:pPr>
    </w:p>
    <w:p>
      <w:pPr>
        <w:spacing w:line="700" w:lineRule="exact"/>
        <w:ind w:firstLine="640" w:firstLineChars="200"/>
        <w:rPr>
          <w:rFonts w:eastAsia="楷体"/>
          <w:kern w:val="0"/>
          <w:szCs w:val="32"/>
        </w:rPr>
      </w:pPr>
      <w:r>
        <w:rPr>
          <w:rFonts w:hint="eastAsia" w:eastAsia="楷体_GB2312"/>
          <w:kern w:val="0"/>
          <w:szCs w:val="32"/>
        </w:rPr>
        <w:t>说明：</w:t>
      </w:r>
      <w:r>
        <w:rPr>
          <w:rFonts w:hint="eastAsia" w:eastAsia="楷体"/>
          <w:kern w:val="0"/>
          <w:szCs w:val="32"/>
        </w:rPr>
        <w:t>本单位2026年度无政府性基金预算支出预算，故本表无数据。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tbl>
      <w:tblPr>
        <w:tblpPr w:leftFromText="180" w:rightFromText="180" w:vertAnchor="page" w:horzAnchor="page" w:tblpX="1573" w:tblpY="3079"/>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97"/>
        <w:gridCol w:w="2197"/>
        <w:gridCol w:w="2197"/>
        <w:gridCol w:w="2198"/>
      </w:tblGrid>
      <w:tr>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ind w:right="100"/>
              <w:jc w:val="right"/>
              <w:rPr>
                <w:rFonts w:eastAsia="华文细黑"/>
                <w:color w:val="000000"/>
                <w:kern w:val="0"/>
                <w:sz w:val="20"/>
              </w:rPr>
            </w:pPr>
            <w:r>
              <w:rPr>
                <w:rFonts w:eastAsia="华文细黑"/>
                <w:color w:val="000000"/>
                <w:kern w:val="0"/>
                <w:sz w:val="20"/>
              </w:rPr>
              <w:t>单位：万元</w:t>
            </w:r>
          </w:p>
        </w:tc>
      </w:tr>
      <w:tr>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spacing w:line="700" w:lineRule="exact"/>
        <w:rPr>
          <w:rFonts w:eastAsia="楷体"/>
          <w:kern w:val="0"/>
          <w:szCs w:val="32"/>
        </w:rPr>
      </w:pPr>
    </w:p>
    <w:tbl>
      <w:tblPr>
        <w:tblpPr w:leftFromText="180" w:rightFromText="180" w:vertAnchor="page" w:horzAnchor="page" w:tblpX="1573" w:tblpY="3079"/>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97"/>
        <w:gridCol w:w="2197"/>
        <w:gridCol w:w="2197"/>
        <w:gridCol w:w="2198"/>
      </w:tblGrid>
      <w:tr>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spacing w:line="700" w:lineRule="exact"/>
        <w:rPr>
          <w:rFonts w:eastAsia="楷体"/>
          <w:kern w:val="0"/>
          <w:szCs w:val="32"/>
        </w:rPr>
      </w:pPr>
    </w:p>
    <w:p>
      <w:pPr>
        <w:spacing w:line="700" w:lineRule="exact"/>
        <w:rPr>
          <w:rFonts w:eastAsia="楷体"/>
          <w:kern w:val="0"/>
          <w:szCs w:val="32"/>
        </w:rPr>
      </w:pPr>
      <w:r>
        <w:rPr>
          <w:rFonts w:hint="eastAsia" w:eastAsia="楷体"/>
          <w:kern w:val="0"/>
          <w:szCs w:val="32"/>
        </w:rPr>
        <w:t>说明：本单位2026年度无国有资本经营预算，故本表无数据。</w:t>
      </w:r>
    </w:p>
    <w:p>
      <w:pPr>
        <w:spacing w:line="700" w:lineRule="exact"/>
        <w:jc w:val="center"/>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654"/>
        <w:gridCol w:w="787"/>
        <w:gridCol w:w="731"/>
        <w:gridCol w:w="360"/>
        <w:gridCol w:w="322"/>
        <w:gridCol w:w="368"/>
        <w:gridCol w:w="732"/>
        <w:gridCol w:w="353"/>
        <w:gridCol w:w="552"/>
        <w:gridCol w:w="504"/>
        <w:gridCol w:w="680"/>
        <w:gridCol w:w="554"/>
      </w:tblGrid>
      <w:tr>
        <w:trPr>
          <w:trHeight w:val="1273" w:hRule="atLeast"/>
          <w:jc w:val="center"/>
        </w:trPr>
        <w:tc>
          <w:tcPr>
            <w:tcW w:w="8676" w:type="dxa"/>
            <w:gridSpan w:val="16"/>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pPr>
              <w:autoSpaceDN w:val="0"/>
              <w:jc w:val="center"/>
              <w:textAlignment w:val="center"/>
              <w:rPr>
                <w:rFonts w:ascii="Calibri" w:hAnsi="Calibri" w:eastAsia="华文细黑"/>
                <w:color w:val="000000"/>
                <w:sz w:val="20"/>
                <w:szCs w:val="22"/>
              </w:rPr>
            </w:pPr>
          </w:p>
        </w:tc>
      </w:tr>
      <w:tr>
        <w:trPr>
          <w:trHeight w:val="453" w:hRule="atLeast"/>
          <w:jc w:val="center"/>
        </w:trPr>
        <w:tc>
          <w:tcPr>
            <w:tcW w:w="472"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1367" w:type="dxa"/>
            <w:gridSpan w:val="2"/>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40"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654"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787"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513" w:type="dxa"/>
            <w:gridSpan w:val="5"/>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643" w:type="dxa"/>
            <w:gridSpan w:val="5"/>
            <w:tcBorders>
              <w:top w:val="nil"/>
              <w:left w:val="nil"/>
              <w:right w:val="nil"/>
            </w:tcBorders>
            <w:vAlign w:val="bottom"/>
          </w:tcPr>
          <w:p>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trPr>
          <w:trHeight w:val="519" w:hRule="atLeast"/>
          <w:jc w:val="center"/>
        </w:trPr>
        <w:tc>
          <w:tcPr>
            <w:tcW w:w="472"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654" w:type="dxa"/>
            <w:vMerge w:val="restart"/>
            <w:textDirection w:val="tbLrV"/>
            <w:vAlign w:val="center"/>
          </w:tcPr>
          <w:p>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单位名称</w:t>
            </w:r>
          </w:p>
        </w:tc>
        <w:tc>
          <w:tcPr>
            <w:tcW w:w="787"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513"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643"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trPr>
          <w:trHeight w:val="663" w:hRule="atLeast"/>
          <w:jc w:val="center"/>
        </w:trPr>
        <w:tc>
          <w:tcPr>
            <w:tcW w:w="472" w:type="dxa"/>
            <w:vMerge w:val="continue"/>
            <w:vAlign w:val="center"/>
          </w:tcPr>
          <w:p>
            <w:pPr>
              <w:autoSpaceDN w:val="0"/>
              <w:jc w:val="center"/>
              <w:textAlignment w:val="center"/>
              <w:rPr>
                <w:rFonts w:ascii="宋体" w:hAnsi="宋体" w:eastAsia="宋体" w:cs="宋体"/>
                <w:color w:val="000000"/>
                <w:sz w:val="20"/>
                <w:szCs w:val="22"/>
              </w:rPr>
            </w:pPr>
          </w:p>
        </w:tc>
        <w:tc>
          <w:tcPr>
            <w:tcW w:w="780"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  项目</w:t>
            </w:r>
          </w:p>
        </w:tc>
        <w:tc>
          <w:tcPr>
            <w:tcW w:w="654"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787" w:type="dxa"/>
            <w:vMerge w:val="continue"/>
            <w:vAlign w:val="center"/>
          </w:tcPr>
          <w:p>
            <w:pPr>
              <w:autoSpaceDN w:val="0"/>
              <w:jc w:val="center"/>
              <w:textAlignment w:val="center"/>
              <w:rPr>
                <w:rFonts w:ascii="宋体" w:hAnsi="宋体" w:eastAsia="宋体" w:cs="宋体"/>
                <w:color w:val="000000"/>
                <w:sz w:val="20"/>
                <w:szCs w:val="22"/>
              </w:rPr>
            </w:pPr>
          </w:p>
        </w:tc>
        <w:tc>
          <w:tcPr>
            <w:tcW w:w="1413"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368"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732"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409"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vAlign w:val="center"/>
          </w:tcPr>
          <w:p>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trPr>
          <w:trHeight w:val="2160" w:hRule="atLeast"/>
          <w:jc w:val="center"/>
        </w:trPr>
        <w:tc>
          <w:tcPr>
            <w:tcW w:w="472" w:type="dxa"/>
            <w:vMerge w:val="continue"/>
            <w:vAlign w:val="center"/>
          </w:tcPr>
          <w:p>
            <w:pPr>
              <w:autoSpaceDN w:val="0"/>
              <w:jc w:val="center"/>
              <w:textAlignment w:val="center"/>
              <w:rPr>
                <w:rFonts w:ascii="宋体" w:hAnsi="宋体" w:eastAsia="宋体" w:cs="宋体"/>
                <w:color w:val="000000"/>
                <w:sz w:val="20"/>
                <w:szCs w:val="22"/>
              </w:rPr>
            </w:pPr>
          </w:p>
        </w:tc>
        <w:tc>
          <w:tcPr>
            <w:tcW w:w="780" w:type="dxa"/>
            <w:vMerge w:val="continue"/>
            <w:vAlign w:val="center"/>
          </w:tcPr>
          <w:p>
            <w:pPr>
              <w:autoSpaceDN w:val="0"/>
              <w:jc w:val="center"/>
              <w:textAlignment w:val="center"/>
              <w:rPr>
                <w:rFonts w:ascii="宋体" w:hAnsi="宋体" w:eastAsia="宋体" w:cs="宋体"/>
                <w:color w:val="000000"/>
                <w:sz w:val="20"/>
                <w:szCs w:val="22"/>
              </w:rPr>
            </w:pPr>
          </w:p>
        </w:tc>
        <w:tc>
          <w:tcPr>
            <w:tcW w:w="827" w:type="dxa"/>
            <w:gridSpan w:val="2"/>
            <w:vMerge w:val="continue"/>
            <w:vAlign w:val="center"/>
          </w:tcPr>
          <w:p>
            <w:pPr>
              <w:autoSpaceDN w:val="0"/>
              <w:jc w:val="center"/>
              <w:textAlignment w:val="center"/>
              <w:rPr>
                <w:rFonts w:ascii="宋体" w:hAnsi="宋体" w:eastAsia="宋体" w:cs="宋体"/>
                <w:color w:val="000000"/>
                <w:sz w:val="20"/>
                <w:szCs w:val="22"/>
              </w:rPr>
            </w:pPr>
          </w:p>
        </w:tc>
        <w:tc>
          <w:tcPr>
            <w:tcW w:w="654" w:type="dxa"/>
            <w:vMerge w:val="continue"/>
            <w:vAlign w:val="center"/>
          </w:tcPr>
          <w:p>
            <w:pPr>
              <w:autoSpaceDN w:val="0"/>
              <w:jc w:val="center"/>
              <w:textAlignment w:val="center"/>
              <w:rPr>
                <w:rFonts w:ascii="宋体" w:hAnsi="宋体" w:eastAsia="宋体" w:cs="宋体"/>
                <w:color w:val="000000"/>
                <w:sz w:val="20"/>
                <w:szCs w:val="22"/>
              </w:rPr>
            </w:pPr>
          </w:p>
        </w:tc>
        <w:tc>
          <w:tcPr>
            <w:tcW w:w="787" w:type="dxa"/>
            <w:vMerge w:val="continue"/>
            <w:vAlign w:val="center"/>
          </w:tcPr>
          <w:p>
            <w:pPr>
              <w:autoSpaceDN w:val="0"/>
              <w:jc w:val="center"/>
              <w:textAlignment w:val="center"/>
              <w:rPr>
                <w:rFonts w:ascii="宋体" w:hAnsi="宋体" w:eastAsia="宋体" w:cs="宋体"/>
                <w:color w:val="000000"/>
                <w:sz w:val="20"/>
                <w:szCs w:val="22"/>
              </w:rPr>
            </w:pPr>
          </w:p>
        </w:tc>
        <w:tc>
          <w:tcPr>
            <w:tcW w:w="731"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322"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368"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732" w:type="dxa"/>
            <w:vMerge w:val="continue"/>
            <w:textDirection w:val="tbLrV"/>
            <w:vAlign w:val="center"/>
          </w:tcPr>
          <w:p>
            <w:pPr>
              <w:autoSpaceDN w:val="0"/>
              <w:ind w:left="113" w:right="113"/>
              <w:jc w:val="center"/>
              <w:textAlignment w:val="center"/>
              <w:rPr>
                <w:rFonts w:ascii="宋体" w:hAnsi="宋体" w:eastAsia="宋体" w:cs="宋体"/>
                <w:color w:val="000000"/>
                <w:sz w:val="20"/>
                <w:szCs w:val="22"/>
              </w:rPr>
            </w:pPr>
          </w:p>
        </w:tc>
        <w:tc>
          <w:tcPr>
            <w:tcW w:w="353"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r>
            <w:r>
              <w:rPr>
                <w:rFonts w:hint="eastAsia" w:ascii="宋体" w:hAnsi="宋体" w:eastAsia="宋体" w:cs="宋体"/>
                <w:color w:val="000000"/>
                <w:sz w:val="20"/>
                <w:szCs w:val="22"/>
              </w:rPr>
              <w:t>预算</w:t>
            </w:r>
          </w:p>
        </w:tc>
        <w:tc>
          <w:tcPr>
            <w:tcW w:w="552"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r>
            <w:r>
              <w:rPr>
                <w:rFonts w:hint="eastAsia" w:ascii="宋体" w:hAnsi="宋体" w:eastAsia="宋体" w:cs="宋体"/>
                <w:color w:val="000000"/>
                <w:sz w:val="20"/>
                <w:szCs w:val="22"/>
              </w:rPr>
              <w:t>预算</w:t>
            </w:r>
          </w:p>
        </w:tc>
        <w:tc>
          <w:tcPr>
            <w:tcW w:w="504"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r>
            <w:r>
              <w:rPr>
                <w:rFonts w:hint="eastAsia" w:ascii="宋体" w:hAnsi="宋体" w:eastAsia="宋体" w:cs="宋体"/>
                <w:color w:val="000000"/>
                <w:sz w:val="20"/>
                <w:szCs w:val="22"/>
              </w:rPr>
              <w:t>预算</w:t>
            </w:r>
          </w:p>
        </w:tc>
        <w:tc>
          <w:tcPr>
            <w:tcW w:w="68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554"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trPr>
          <w:trHeight w:val="697" w:hRule="atLeast"/>
          <w:jc w:val="center"/>
        </w:trPr>
        <w:tc>
          <w:tcPr>
            <w:tcW w:w="472" w:type="dxa"/>
            <w:shd w:val="clear" w:color="auto" w:fill="auto"/>
            <w:vAlign w:val="center"/>
          </w:tcPr>
          <w:p>
            <w:pPr>
              <w:spacing w:line="15" w:lineRule="auto"/>
              <w:jc w:val="center"/>
              <w:rPr>
                <w:rFonts w:ascii="Calibri" w:hAnsi="Calibri" w:eastAsia="楷体"/>
                <w:kern w:val="0"/>
                <w:szCs w:val="32"/>
              </w:rPr>
            </w:pPr>
            <w:r>
              <w:rPr>
                <w:rFonts w:hint="eastAsia" w:ascii="楷体" w:hAnsi="楷体" w:eastAsia="楷体" w:cs="楷体"/>
                <w:color w:val="000000"/>
                <w:sz w:val="16"/>
                <w:szCs w:val="16"/>
              </w:rPr>
              <w:t>31部门特定目标类项目</w:t>
            </w:r>
          </w:p>
        </w:tc>
        <w:tc>
          <w:tcPr>
            <w:tcW w:w="780" w:type="dxa"/>
            <w:shd w:val="clear" w:color="auto" w:fill="auto"/>
            <w:vAlign w:val="center"/>
          </w:tcPr>
          <w:p>
            <w:pPr>
              <w:spacing w:line="700" w:lineRule="exact"/>
              <w:jc w:val="center"/>
              <w:rPr>
                <w:rFonts w:ascii="Calibri" w:hAnsi="Calibri" w:eastAsia="楷体"/>
                <w:kern w:val="0"/>
                <w:szCs w:val="32"/>
              </w:rPr>
            </w:pPr>
          </w:p>
        </w:tc>
        <w:tc>
          <w:tcPr>
            <w:tcW w:w="827" w:type="dxa"/>
            <w:gridSpan w:val="2"/>
            <w:shd w:val="clear" w:color="auto" w:fill="auto"/>
            <w:vAlign w:val="center"/>
          </w:tcPr>
          <w:p>
            <w:pPr>
              <w:spacing w:line="700" w:lineRule="exact"/>
              <w:jc w:val="center"/>
              <w:rPr>
                <w:rFonts w:ascii="Calibri" w:hAnsi="Calibri" w:eastAsia="楷体"/>
                <w:kern w:val="0"/>
                <w:szCs w:val="32"/>
              </w:rPr>
            </w:pPr>
          </w:p>
        </w:tc>
        <w:tc>
          <w:tcPr>
            <w:tcW w:w="654" w:type="dxa"/>
            <w:shd w:val="clear" w:color="auto" w:fill="auto"/>
            <w:vAlign w:val="center"/>
          </w:tcPr>
          <w:p>
            <w:pPr>
              <w:spacing w:line="700" w:lineRule="exact"/>
              <w:jc w:val="center"/>
              <w:rPr>
                <w:rFonts w:ascii="Calibri" w:hAnsi="Calibri" w:eastAsia="楷体"/>
                <w:kern w:val="0"/>
                <w:szCs w:val="32"/>
              </w:rPr>
            </w:pP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116.37</w:t>
            </w:r>
          </w:p>
        </w:tc>
        <w:tc>
          <w:tcPr>
            <w:tcW w:w="731" w:type="dxa"/>
            <w:shd w:val="solid" w:color="FFFFFF" w:fill="auto"/>
            <w:vAlign w:val="center"/>
          </w:tcPr>
          <w:p>
            <w:pPr>
              <w:widowControl/>
              <w:jc w:val="center"/>
              <w:rPr>
                <w:rFonts w:eastAsia="宋体"/>
                <w:color w:val="000000"/>
                <w:kern w:val="0"/>
                <w:sz w:val="20"/>
              </w:rPr>
            </w:pPr>
            <w:r>
              <w:rPr>
                <w:rFonts w:eastAsia="宋体"/>
                <w:color w:val="000000"/>
                <w:kern w:val="0"/>
                <w:sz w:val="20"/>
              </w:rPr>
              <w:t>50.67</w:t>
            </w:r>
          </w:p>
        </w:tc>
        <w:tc>
          <w:tcPr>
            <w:tcW w:w="360" w:type="dxa"/>
            <w:shd w:val="clear" w:color="auto" w:fill="auto"/>
            <w:vAlign w:val="center"/>
          </w:tcPr>
          <w:p>
            <w:pPr>
              <w:widowControl/>
              <w:spacing w:line="700" w:lineRule="exact"/>
              <w:jc w:val="center"/>
              <w:rPr>
                <w:rFonts w:eastAsia="宋体"/>
                <w:color w:val="000000"/>
                <w:kern w:val="0"/>
                <w:sz w:val="20"/>
              </w:rPr>
            </w:pPr>
          </w:p>
        </w:tc>
        <w:tc>
          <w:tcPr>
            <w:tcW w:w="322" w:type="dxa"/>
            <w:shd w:val="clear" w:color="auto" w:fill="auto"/>
            <w:vAlign w:val="center"/>
          </w:tcPr>
          <w:p>
            <w:pPr>
              <w:widowControl/>
              <w:spacing w:line="700" w:lineRule="exact"/>
              <w:jc w:val="center"/>
              <w:rPr>
                <w:rFonts w:eastAsia="宋体"/>
                <w:color w:val="000000"/>
                <w:kern w:val="0"/>
                <w:sz w:val="20"/>
              </w:rPr>
            </w:pPr>
          </w:p>
        </w:tc>
        <w:tc>
          <w:tcPr>
            <w:tcW w:w="368" w:type="dxa"/>
            <w:shd w:val="clear" w:color="auto" w:fill="auto"/>
            <w:vAlign w:val="center"/>
          </w:tcPr>
          <w:p>
            <w:pPr>
              <w:widowControl/>
              <w:spacing w:line="700" w:lineRule="exact"/>
              <w:jc w:val="center"/>
              <w:rPr>
                <w:rFonts w:eastAsia="宋体"/>
                <w:color w:val="000000"/>
                <w:kern w:val="0"/>
                <w:sz w:val="20"/>
              </w:rPr>
            </w:pPr>
          </w:p>
        </w:tc>
        <w:tc>
          <w:tcPr>
            <w:tcW w:w="732" w:type="dxa"/>
            <w:shd w:val="solid" w:color="FFFFFF" w:fill="auto"/>
            <w:vAlign w:val="center"/>
          </w:tcPr>
          <w:p>
            <w:pPr>
              <w:widowControl/>
              <w:jc w:val="center"/>
              <w:rPr>
                <w:rFonts w:eastAsia="宋体"/>
                <w:color w:val="000000"/>
                <w:kern w:val="0"/>
                <w:sz w:val="20"/>
              </w:rPr>
            </w:pPr>
            <w:r>
              <w:rPr>
                <w:rFonts w:eastAsia="宋体"/>
                <w:color w:val="000000"/>
                <w:kern w:val="0"/>
                <w:sz w:val="20"/>
              </w:rPr>
              <w:t>65.70</w:t>
            </w:r>
          </w:p>
        </w:tc>
        <w:tc>
          <w:tcPr>
            <w:tcW w:w="353" w:type="dxa"/>
            <w:vAlign w:val="center"/>
          </w:tcPr>
          <w:p>
            <w:pPr>
              <w:widowControl/>
              <w:spacing w:line="700" w:lineRule="exact"/>
              <w:jc w:val="center"/>
              <w:rPr>
                <w:rFonts w:eastAsia="宋体"/>
                <w:color w:val="000000"/>
                <w:kern w:val="0"/>
                <w:sz w:val="20"/>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697" w:hRule="atLeast"/>
          <w:jc w:val="center"/>
        </w:trPr>
        <w:tc>
          <w:tcPr>
            <w:tcW w:w="472" w:type="dxa"/>
            <w:shd w:val="clear" w:color="auto" w:fill="auto"/>
            <w:vAlign w:val="center"/>
          </w:tcPr>
          <w:p>
            <w:pPr>
              <w:spacing w:line="700" w:lineRule="exact"/>
              <w:jc w:val="center"/>
              <w:rPr>
                <w:rFonts w:ascii="Calibri" w:hAnsi="Calibri" w:eastAsia="楷体"/>
                <w:kern w:val="0"/>
                <w:szCs w:val="32"/>
              </w:rPr>
            </w:pPr>
          </w:p>
        </w:tc>
        <w:tc>
          <w:tcPr>
            <w:tcW w:w="780" w:type="dxa"/>
            <w:shd w:val="clear" w:color="auto" w:fill="auto"/>
            <w:vAlign w:val="center"/>
          </w:tcPr>
          <w:p>
            <w:pPr>
              <w:jc w:val="center"/>
              <w:rPr>
                <w:rFonts w:ascii="Calibri" w:hAnsi="Calibri" w:eastAsia="楷体"/>
                <w:kern w:val="0"/>
                <w:szCs w:val="32"/>
              </w:rPr>
            </w:pPr>
            <w:r>
              <w:rPr>
                <w:rFonts w:hint="eastAsia" w:ascii="楷体" w:hAnsi="楷体" w:eastAsia="楷体" w:cs="楷体"/>
                <w:color w:val="000000"/>
                <w:sz w:val="16"/>
                <w:szCs w:val="16"/>
              </w:rPr>
              <w:t>专项统计业务</w:t>
            </w:r>
          </w:p>
        </w:tc>
        <w:tc>
          <w:tcPr>
            <w:tcW w:w="827" w:type="dxa"/>
            <w:gridSpan w:val="2"/>
            <w:shd w:val="clear" w:color="auto" w:fill="auto"/>
            <w:vAlign w:val="center"/>
          </w:tcPr>
          <w:p>
            <w:pPr>
              <w:spacing w:line="700" w:lineRule="exact"/>
              <w:jc w:val="center"/>
              <w:rPr>
                <w:rFonts w:ascii="Calibri" w:hAnsi="Calibri" w:eastAsia="楷体"/>
                <w:kern w:val="0"/>
                <w:szCs w:val="32"/>
              </w:rPr>
            </w:pPr>
          </w:p>
        </w:tc>
        <w:tc>
          <w:tcPr>
            <w:tcW w:w="654" w:type="dxa"/>
            <w:shd w:val="clear" w:color="auto" w:fill="auto"/>
            <w:vAlign w:val="center"/>
          </w:tcPr>
          <w:p>
            <w:pPr>
              <w:spacing w:line="700" w:lineRule="exact"/>
              <w:jc w:val="center"/>
              <w:rPr>
                <w:rFonts w:ascii="Calibri" w:hAnsi="Calibri" w:eastAsia="楷体"/>
                <w:kern w:val="0"/>
                <w:szCs w:val="32"/>
              </w:rPr>
            </w:pP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23.65</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15.87</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7.78</w:t>
            </w: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697" w:hRule="atLeast"/>
          <w:jc w:val="center"/>
        </w:trPr>
        <w:tc>
          <w:tcPr>
            <w:tcW w:w="472" w:type="dxa"/>
            <w:shd w:val="clear" w:color="auto" w:fill="auto"/>
            <w:vAlign w:val="center"/>
          </w:tcPr>
          <w:p>
            <w:pPr>
              <w:spacing w:line="700" w:lineRule="exact"/>
              <w:jc w:val="center"/>
              <w:rPr>
                <w:rFonts w:ascii="Calibri" w:hAnsi="Calibri" w:eastAsia="楷体"/>
                <w:kern w:val="0"/>
                <w:szCs w:val="32"/>
              </w:rPr>
            </w:pPr>
          </w:p>
        </w:tc>
        <w:tc>
          <w:tcPr>
            <w:tcW w:w="780" w:type="dxa"/>
            <w:shd w:val="clear" w:color="auto" w:fill="auto"/>
            <w:vAlign w:val="center"/>
          </w:tcPr>
          <w:p>
            <w:pPr>
              <w:spacing w:line="700" w:lineRule="exact"/>
              <w:jc w:val="center"/>
              <w:rPr>
                <w:rFonts w:ascii="Calibri" w:hAnsi="Calibri" w:eastAsia="楷体"/>
                <w:kern w:val="0"/>
                <w:szCs w:val="32"/>
              </w:rPr>
            </w:pPr>
          </w:p>
        </w:tc>
        <w:tc>
          <w:tcPr>
            <w:tcW w:w="827" w:type="dxa"/>
            <w:gridSpan w:val="2"/>
            <w:shd w:val="clear" w:color="auto" w:fill="auto"/>
            <w:vAlign w:val="center"/>
          </w:tcPr>
          <w:p>
            <w:pPr>
              <w:jc w:val="center"/>
              <w:rPr>
                <w:rFonts w:ascii="Calibri" w:hAnsi="Calibri" w:eastAsia="楷体"/>
                <w:kern w:val="0"/>
                <w:szCs w:val="32"/>
              </w:rPr>
            </w:pPr>
            <w:r>
              <w:rPr>
                <w:rFonts w:hint="eastAsia" w:ascii="楷体" w:hAnsi="楷体" w:eastAsia="楷体" w:cs="楷体"/>
                <w:color w:val="000000"/>
                <w:sz w:val="16"/>
                <w:szCs w:val="16"/>
              </w:rPr>
              <w:t>综合统计业务费</w:t>
            </w:r>
          </w:p>
        </w:tc>
        <w:tc>
          <w:tcPr>
            <w:tcW w:w="654" w:type="dxa"/>
            <w:shd w:val="clear" w:color="auto" w:fill="auto"/>
            <w:vAlign w:val="center"/>
          </w:tcPr>
          <w:p>
            <w:pPr>
              <w:jc w:val="center"/>
              <w:rPr>
                <w:rFonts w:ascii="楷体" w:hAnsi="楷体" w:eastAsia="楷体" w:cs="楷体"/>
                <w:color w:val="000000"/>
                <w:sz w:val="16"/>
                <w:szCs w:val="16"/>
              </w:rPr>
            </w:pPr>
            <w:r>
              <w:rPr>
                <w:rFonts w:hint="eastAsia" w:ascii="楷体" w:hAnsi="楷体" w:eastAsia="楷体" w:cs="楷体"/>
                <w:color w:val="000000"/>
                <w:sz w:val="16"/>
                <w:szCs w:val="16"/>
              </w:rPr>
              <w:t>图们市统计局</w:t>
            </w: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23.65</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15.87</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7.78</w:t>
            </w: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700" w:hRule="atLeast"/>
          <w:jc w:val="center"/>
        </w:trPr>
        <w:tc>
          <w:tcPr>
            <w:tcW w:w="472" w:type="dxa"/>
            <w:shd w:val="clear" w:color="auto" w:fill="auto"/>
            <w:vAlign w:val="center"/>
          </w:tcPr>
          <w:p>
            <w:pPr>
              <w:spacing w:line="700" w:lineRule="exact"/>
              <w:jc w:val="center"/>
              <w:rPr>
                <w:rFonts w:ascii="Calibri" w:hAnsi="Calibri" w:eastAsia="楷体"/>
                <w:kern w:val="0"/>
                <w:szCs w:val="32"/>
              </w:rPr>
            </w:pPr>
          </w:p>
        </w:tc>
        <w:tc>
          <w:tcPr>
            <w:tcW w:w="780" w:type="dxa"/>
            <w:shd w:val="clear" w:color="auto" w:fill="auto"/>
            <w:vAlign w:val="center"/>
          </w:tcPr>
          <w:p>
            <w:pPr>
              <w:jc w:val="center"/>
              <w:rPr>
                <w:rFonts w:ascii="Calibri" w:hAnsi="Calibri" w:eastAsia="楷体"/>
                <w:kern w:val="0"/>
                <w:szCs w:val="32"/>
              </w:rPr>
            </w:pPr>
            <w:r>
              <w:rPr>
                <w:rFonts w:hint="eastAsia" w:ascii="楷体" w:hAnsi="楷体" w:eastAsia="楷体" w:cs="楷体"/>
                <w:color w:val="000000"/>
                <w:sz w:val="16"/>
                <w:szCs w:val="16"/>
              </w:rPr>
              <w:t>统计抽样调查</w:t>
            </w:r>
          </w:p>
        </w:tc>
        <w:tc>
          <w:tcPr>
            <w:tcW w:w="827" w:type="dxa"/>
            <w:gridSpan w:val="2"/>
            <w:shd w:val="clear" w:color="auto" w:fill="auto"/>
            <w:vAlign w:val="center"/>
          </w:tcPr>
          <w:p>
            <w:pPr>
              <w:spacing w:line="700" w:lineRule="exact"/>
              <w:jc w:val="center"/>
              <w:rPr>
                <w:rFonts w:ascii="Calibri" w:hAnsi="Calibri" w:eastAsia="楷体"/>
                <w:kern w:val="0"/>
                <w:szCs w:val="32"/>
              </w:rPr>
            </w:pPr>
          </w:p>
        </w:tc>
        <w:tc>
          <w:tcPr>
            <w:tcW w:w="654" w:type="dxa"/>
            <w:shd w:val="clear" w:color="auto" w:fill="auto"/>
            <w:vAlign w:val="center"/>
          </w:tcPr>
          <w:p>
            <w:pPr>
              <w:jc w:val="center"/>
              <w:rPr>
                <w:rFonts w:ascii="楷体" w:hAnsi="楷体" w:eastAsia="楷体" w:cs="楷体"/>
                <w:color w:val="000000"/>
                <w:sz w:val="16"/>
                <w:szCs w:val="16"/>
              </w:rPr>
            </w:pP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30.80</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30.80</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700" w:hRule="atLeast"/>
          <w:jc w:val="center"/>
        </w:trPr>
        <w:tc>
          <w:tcPr>
            <w:tcW w:w="472" w:type="dxa"/>
            <w:shd w:val="clear" w:color="auto" w:fill="auto"/>
            <w:vAlign w:val="center"/>
          </w:tcPr>
          <w:p>
            <w:pPr>
              <w:autoSpaceDN w:val="0"/>
              <w:jc w:val="center"/>
              <w:textAlignment w:val="center"/>
              <w:rPr>
                <w:rFonts w:ascii="Calibri" w:hAnsi="Calibri" w:eastAsia="华文细黑"/>
                <w:color w:val="000000"/>
                <w:sz w:val="20"/>
                <w:szCs w:val="22"/>
              </w:rPr>
            </w:pPr>
          </w:p>
        </w:tc>
        <w:tc>
          <w:tcPr>
            <w:tcW w:w="780" w:type="dxa"/>
            <w:shd w:val="clear" w:color="auto" w:fill="auto"/>
            <w:vAlign w:val="center"/>
          </w:tcPr>
          <w:p>
            <w:pPr>
              <w:autoSpaceDN w:val="0"/>
              <w:jc w:val="center"/>
              <w:textAlignment w:val="center"/>
              <w:rPr>
                <w:rFonts w:ascii="Calibri" w:hAnsi="Calibri" w:eastAsia="华文细黑"/>
                <w:color w:val="000000"/>
                <w:sz w:val="20"/>
                <w:szCs w:val="22"/>
              </w:rPr>
            </w:pPr>
          </w:p>
        </w:tc>
        <w:tc>
          <w:tcPr>
            <w:tcW w:w="827" w:type="dxa"/>
            <w:gridSpan w:val="2"/>
            <w:shd w:val="clear" w:color="auto" w:fill="auto"/>
            <w:vAlign w:val="center"/>
          </w:tcPr>
          <w:p>
            <w:pPr>
              <w:jc w:val="center"/>
              <w:rPr>
                <w:rFonts w:ascii="楷体" w:hAnsi="楷体" w:eastAsia="楷体" w:cs="楷体"/>
                <w:color w:val="000000"/>
                <w:sz w:val="16"/>
                <w:szCs w:val="16"/>
              </w:rPr>
            </w:pPr>
            <w:r>
              <w:rPr>
                <w:rFonts w:hint="eastAsia" w:ascii="楷体" w:hAnsi="楷体" w:eastAsia="楷体" w:cs="楷体"/>
                <w:color w:val="000000"/>
                <w:sz w:val="16"/>
                <w:szCs w:val="16"/>
              </w:rPr>
              <w:t>统计调查综合补助</w:t>
            </w:r>
          </w:p>
        </w:tc>
        <w:tc>
          <w:tcPr>
            <w:tcW w:w="654" w:type="dxa"/>
            <w:shd w:val="clear" w:color="auto" w:fill="auto"/>
            <w:vAlign w:val="center"/>
          </w:tcPr>
          <w:p>
            <w:pPr>
              <w:jc w:val="center"/>
              <w:rPr>
                <w:rFonts w:ascii="楷体" w:hAnsi="楷体" w:eastAsia="楷体" w:cs="楷体"/>
                <w:color w:val="000000"/>
                <w:sz w:val="16"/>
                <w:szCs w:val="16"/>
              </w:rPr>
            </w:pPr>
            <w:r>
              <w:rPr>
                <w:rFonts w:hint="eastAsia" w:ascii="楷体" w:hAnsi="楷体" w:eastAsia="楷体" w:cs="楷体"/>
                <w:color w:val="000000"/>
                <w:sz w:val="16"/>
                <w:szCs w:val="16"/>
              </w:rPr>
              <w:t>图们市统计局</w:t>
            </w: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30.80</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30.80</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700" w:hRule="atLeast"/>
          <w:jc w:val="center"/>
        </w:trPr>
        <w:tc>
          <w:tcPr>
            <w:tcW w:w="472" w:type="dxa"/>
            <w:shd w:val="clear" w:color="auto" w:fill="auto"/>
            <w:vAlign w:val="center"/>
          </w:tcPr>
          <w:p>
            <w:pPr>
              <w:autoSpaceDN w:val="0"/>
              <w:jc w:val="center"/>
              <w:textAlignment w:val="center"/>
              <w:rPr>
                <w:rFonts w:ascii="Calibri" w:hAnsi="Calibri" w:eastAsia="华文细黑"/>
                <w:color w:val="000000"/>
                <w:sz w:val="20"/>
                <w:szCs w:val="22"/>
              </w:rPr>
            </w:pPr>
          </w:p>
        </w:tc>
        <w:tc>
          <w:tcPr>
            <w:tcW w:w="780" w:type="dxa"/>
            <w:shd w:val="clear" w:color="auto" w:fill="auto"/>
            <w:vAlign w:val="center"/>
          </w:tcPr>
          <w:p>
            <w:pPr>
              <w:autoSpaceDN w:val="0"/>
              <w:jc w:val="center"/>
              <w:textAlignment w:val="center"/>
              <w:rPr>
                <w:rFonts w:ascii="Calibri" w:hAnsi="Calibri" w:eastAsia="华文细黑"/>
                <w:color w:val="000000"/>
                <w:sz w:val="20"/>
                <w:szCs w:val="22"/>
              </w:rPr>
            </w:pPr>
            <w:r>
              <w:rPr>
                <w:rFonts w:hint="eastAsia" w:ascii="楷体" w:hAnsi="楷体" w:eastAsia="楷体" w:cs="楷体"/>
                <w:color w:val="000000"/>
                <w:sz w:val="16"/>
                <w:szCs w:val="16"/>
              </w:rPr>
              <w:t>专项普查活动</w:t>
            </w:r>
          </w:p>
        </w:tc>
        <w:tc>
          <w:tcPr>
            <w:tcW w:w="827" w:type="dxa"/>
            <w:gridSpan w:val="2"/>
            <w:shd w:val="clear" w:color="auto" w:fill="auto"/>
            <w:vAlign w:val="center"/>
          </w:tcPr>
          <w:p>
            <w:pPr>
              <w:jc w:val="center"/>
              <w:rPr>
                <w:rFonts w:ascii="楷体" w:hAnsi="楷体" w:eastAsia="楷体" w:cs="楷体"/>
                <w:color w:val="000000"/>
                <w:sz w:val="16"/>
                <w:szCs w:val="16"/>
              </w:rPr>
            </w:pPr>
          </w:p>
        </w:tc>
        <w:tc>
          <w:tcPr>
            <w:tcW w:w="654" w:type="dxa"/>
            <w:shd w:val="clear" w:color="auto" w:fill="auto"/>
            <w:vAlign w:val="center"/>
          </w:tcPr>
          <w:p>
            <w:pPr>
              <w:jc w:val="center"/>
              <w:rPr>
                <w:rFonts w:ascii="楷体" w:hAnsi="楷体" w:eastAsia="楷体" w:cs="楷体"/>
                <w:color w:val="000000"/>
                <w:sz w:val="16"/>
                <w:szCs w:val="16"/>
              </w:rPr>
            </w:pP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61.92</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4.00</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57.92</w:t>
            </w: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700" w:hRule="atLeast"/>
          <w:jc w:val="center"/>
        </w:trPr>
        <w:tc>
          <w:tcPr>
            <w:tcW w:w="472" w:type="dxa"/>
            <w:shd w:val="clear" w:color="auto" w:fill="auto"/>
            <w:vAlign w:val="center"/>
          </w:tcPr>
          <w:p>
            <w:pPr>
              <w:autoSpaceDN w:val="0"/>
              <w:jc w:val="center"/>
              <w:textAlignment w:val="center"/>
              <w:rPr>
                <w:rFonts w:ascii="Calibri" w:hAnsi="Calibri" w:eastAsia="华文细黑"/>
                <w:color w:val="000000"/>
                <w:sz w:val="20"/>
                <w:szCs w:val="22"/>
              </w:rPr>
            </w:pPr>
          </w:p>
        </w:tc>
        <w:tc>
          <w:tcPr>
            <w:tcW w:w="780" w:type="dxa"/>
            <w:shd w:val="clear" w:color="auto" w:fill="auto"/>
            <w:vAlign w:val="center"/>
          </w:tcPr>
          <w:p>
            <w:pPr>
              <w:autoSpaceDN w:val="0"/>
              <w:jc w:val="center"/>
              <w:textAlignment w:val="center"/>
              <w:rPr>
                <w:rFonts w:ascii="楷体" w:hAnsi="楷体" w:eastAsia="楷体" w:cs="楷体"/>
                <w:color w:val="000000"/>
                <w:sz w:val="16"/>
                <w:szCs w:val="16"/>
              </w:rPr>
            </w:pPr>
          </w:p>
        </w:tc>
        <w:tc>
          <w:tcPr>
            <w:tcW w:w="827" w:type="dxa"/>
            <w:gridSpan w:val="2"/>
            <w:shd w:val="clear" w:color="auto" w:fill="auto"/>
            <w:vAlign w:val="center"/>
          </w:tcPr>
          <w:p>
            <w:pPr>
              <w:jc w:val="center"/>
              <w:rPr>
                <w:rFonts w:ascii="楷体" w:hAnsi="楷体" w:eastAsia="楷体" w:cs="楷体"/>
                <w:color w:val="000000"/>
                <w:sz w:val="16"/>
                <w:szCs w:val="16"/>
              </w:rPr>
            </w:pPr>
            <w:r>
              <w:rPr>
                <w:rFonts w:hint="eastAsia" w:ascii="楷体" w:hAnsi="楷体" w:eastAsia="楷体" w:cs="楷体"/>
                <w:color w:val="000000"/>
                <w:sz w:val="16"/>
                <w:szCs w:val="16"/>
              </w:rPr>
              <w:t>大型普查综合业务费</w:t>
            </w:r>
          </w:p>
        </w:tc>
        <w:tc>
          <w:tcPr>
            <w:tcW w:w="654" w:type="dxa"/>
            <w:shd w:val="clear" w:color="auto" w:fill="auto"/>
            <w:vAlign w:val="center"/>
          </w:tcPr>
          <w:p>
            <w:pPr>
              <w:jc w:val="center"/>
              <w:rPr>
                <w:rFonts w:ascii="楷体" w:hAnsi="楷体" w:eastAsia="楷体" w:cs="楷体"/>
                <w:color w:val="000000"/>
                <w:sz w:val="16"/>
                <w:szCs w:val="16"/>
              </w:rPr>
            </w:pPr>
            <w:r>
              <w:rPr>
                <w:rFonts w:hint="eastAsia" w:ascii="楷体" w:hAnsi="楷体" w:eastAsia="楷体" w:cs="楷体"/>
                <w:color w:val="000000"/>
                <w:sz w:val="16"/>
                <w:szCs w:val="16"/>
              </w:rPr>
              <w:t>图们市统计局</w:t>
            </w: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61.92</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4.00</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57.92</w:t>
            </w: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r>
        <w:trPr>
          <w:trHeight w:val="700" w:hRule="atLeast"/>
          <w:jc w:val="center"/>
        </w:trPr>
        <w:tc>
          <w:tcPr>
            <w:tcW w:w="472" w:type="dxa"/>
            <w:shd w:val="clear" w:color="auto" w:fill="auto"/>
            <w:vAlign w:val="center"/>
          </w:tcPr>
          <w:p>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shd w:val="clear" w:color="auto" w:fill="auto"/>
            <w:vAlign w:val="center"/>
          </w:tcPr>
          <w:p>
            <w:pPr>
              <w:autoSpaceDN w:val="0"/>
              <w:jc w:val="center"/>
              <w:textAlignment w:val="center"/>
              <w:rPr>
                <w:rFonts w:ascii="楷体" w:hAnsi="楷体" w:eastAsia="楷体" w:cs="楷体"/>
                <w:color w:val="000000"/>
                <w:sz w:val="16"/>
                <w:szCs w:val="16"/>
              </w:rPr>
            </w:pPr>
          </w:p>
        </w:tc>
        <w:tc>
          <w:tcPr>
            <w:tcW w:w="827" w:type="dxa"/>
            <w:gridSpan w:val="2"/>
            <w:shd w:val="clear" w:color="auto" w:fill="auto"/>
            <w:vAlign w:val="center"/>
          </w:tcPr>
          <w:p>
            <w:pPr>
              <w:jc w:val="center"/>
              <w:rPr>
                <w:rFonts w:ascii="楷体" w:hAnsi="楷体" w:eastAsia="楷体" w:cs="楷体"/>
                <w:color w:val="000000"/>
                <w:sz w:val="16"/>
                <w:szCs w:val="16"/>
              </w:rPr>
            </w:pPr>
          </w:p>
        </w:tc>
        <w:tc>
          <w:tcPr>
            <w:tcW w:w="654" w:type="dxa"/>
            <w:shd w:val="clear" w:color="auto" w:fill="auto"/>
            <w:vAlign w:val="center"/>
          </w:tcPr>
          <w:p>
            <w:pPr>
              <w:spacing w:line="700" w:lineRule="exact"/>
              <w:jc w:val="center"/>
              <w:rPr>
                <w:rFonts w:ascii="Calibri" w:hAnsi="Calibri" w:eastAsia="楷体"/>
                <w:kern w:val="0"/>
                <w:szCs w:val="32"/>
              </w:rPr>
            </w:pPr>
          </w:p>
        </w:tc>
        <w:tc>
          <w:tcPr>
            <w:tcW w:w="787" w:type="dxa"/>
            <w:shd w:val="solid" w:color="FFFFFF" w:fill="auto"/>
            <w:vAlign w:val="center"/>
          </w:tcPr>
          <w:p>
            <w:pPr>
              <w:widowControl/>
              <w:jc w:val="center"/>
              <w:rPr>
                <w:rFonts w:eastAsia="宋体"/>
                <w:color w:val="000000"/>
                <w:kern w:val="0"/>
                <w:sz w:val="20"/>
              </w:rPr>
            </w:pPr>
            <w:r>
              <w:rPr>
                <w:rFonts w:eastAsia="宋体"/>
                <w:color w:val="000000"/>
                <w:kern w:val="0"/>
                <w:sz w:val="20"/>
              </w:rPr>
              <w:t>116.37</w:t>
            </w:r>
          </w:p>
        </w:tc>
        <w:tc>
          <w:tcPr>
            <w:tcW w:w="731"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50.67</w:t>
            </w:r>
          </w:p>
        </w:tc>
        <w:tc>
          <w:tcPr>
            <w:tcW w:w="360"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22"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368" w:type="dxa"/>
            <w:shd w:val="clear" w:color="auto" w:fill="auto"/>
            <w:vAlign w:val="center"/>
          </w:tcPr>
          <w:p>
            <w:pPr>
              <w:shd w:val="solid" w:color="FFFFFF" w:fill="auto"/>
              <w:autoSpaceDN w:val="0"/>
              <w:jc w:val="center"/>
              <w:textAlignment w:val="center"/>
              <w:rPr>
                <w:rFonts w:ascii="Arial" w:hAnsi="宋体"/>
                <w:color w:val="000000"/>
                <w:sz w:val="16"/>
                <w:shd w:val="clear" w:color="auto" w:fill="FFFFFF"/>
              </w:rPr>
            </w:pPr>
          </w:p>
        </w:tc>
        <w:tc>
          <w:tcPr>
            <w:tcW w:w="732" w:type="dxa"/>
            <w:shd w:val="solid" w:color="FFFFFF" w:fill="auto"/>
            <w:vAlign w:val="center"/>
          </w:tcPr>
          <w:p>
            <w:pPr>
              <w:widowControl/>
              <w:jc w:val="center"/>
              <w:rPr>
                <w:rFonts w:eastAsia="宋体"/>
                <w:color w:val="000000"/>
                <w:kern w:val="0"/>
                <w:sz w:val="20"/>
              </w:rPr>
            </w:pPr>
            <w:r>
              <w:rPr>
                <w:rFonts w:hint="eastAsia" w:eastAsia="宋体"/>
                <w:color w:val="000000"/>
                <w:kern w:val="0"/>
                <w:sz w:val="20"/>
              </w:rPr>
              <w:t>65.70</w:t>
            </w:r>
          </w:p>
        </w:tc>
        <w:tc>
          <w:tcPr>
            <w:tcW w:w="353"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p>
        </w:tc>
        <w:tc>
          <w:tcPr>
            <w:tcW w:w="504" w:type="dxa"/>
            <w:vAlign w:val="center"/>
          </w:tcPr>
          <w:p>
            <w:pPr>
              <w:spacing w:line="700" w:lineRule="exact"/>
              <w:jc w:val="center"/>
              <w:rPr>
                <w:rFonts w:ascii="Calibri" w:hAnsi="Calibri" w:eastAsia="楷体"/>
                <w:kern w:val="0"/>
                <w:szCs w:val="32"/>
              </w:rPr>
            </w:pPr>
          </w:p>
        </w:tc>
        <w:tc>
          <w:tcPr>
            <w:tcW w:w="680" w:type="dxa"/>
            <w:vAlign w:val="center"/>
          </w:tcPr>
          <w:p>
            <w:pPr>
              <w:spacing w:line="700" w:lineRule="exact"/>
              <w:jc w:val="center"/>
              <w:rPr>
                <w:rFonts w:ascii="Calibri" w:hAnsi="Calibri" w:eastAsia="楷体"/>
                <w:kern w:val="0"/>
                <w:szCs w:val="32"/>
              </w:rPr>
            </w:pPr>
          </w:p>
        </w:tc>
        <w:tc>
          <w:tcPr>
            <w:tcW w:w="554" w:type="dxa"/>
            <w:vAlign w:val="center"/>
          </w:tcPr>
          <w:p>
            <w:pPr>
              <w:spacing w:line="700" w:lineRule="exact"/>
              <w:jc w:val="center"/>
              <w:rPr>
                <w:rFonts w:ascii="Calibri" w:hAnsi="Calibri" w:eastAsia="楷体"/>
                <w:kern w:val="0"/>
                <w:szCs w:val="32"/>
              </w:rPr>
            </w:pPr>
          </w:p>
        </w:tc>
      </w:tr>
    </w:tbl>
    <w:tbl>
      <w:tblPr>
        <w:tblpPr w:leftFromText="180" w:rightFromText="180" w:vertAnchor="text" w:tblpX="90" w:tblpY="337"/>
        <w:tblOverlap w:val="never"/>
        <w:tblW w:w="8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hRule="atLeast"/>
        </w:trPr>
        <w:tc>
          <w:tcPr>
            <w:tcW w:w="8780" w:type="dxa"/>
            <w:gridSpan w:val="9"/>
            <w:tcBorders>
              <w:top w:val="nil"/>
              <w:left w:val="nil"/>
              <w:bottom w:val="nil"/>
              <w:right w:val="nil"/>
            </w:tcBorders>
            <w:vAlign w:val="center"/>
          </w:tcPr>
          <w:p>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trPr>
          <w:trHeight w:val="721" w:hRule="atLeast"/>
        </w:trPr>
        <w:tc>
          <w:tcPr>
            <w:tcW w:w="8780" w:type="dxa"/>
            <w:gridSpan w:val="9"/>
            <w:tcBorders>
              <w:top w:val="nil"/>
              <w:left w:val="nil"/>
              <w:bottom w:val="single" w:color="auto" w:sz="4" w:space="0"/>
              <w:right w:val="nil"/>
            </w:tcBorders>
            <w:vAlign w:val="bottom"/>
          </w:tcPr>
          <w:p>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trPr>
          <w:trHeight w:val="744" w:hRule="atLeast"/>
        </w:trPr>
        <w:tc>
          <w:tcPr>
            <w:tcW w:w="1816" w:type="dxa"/>
            <w:vMerge w:val="restart"/>
            <w:tcBorders>
              <w:top w:val="single" w:color="auto" w:sz="4" w:space="0"/>
              <w:bottom w:val="single" w:color="auto" w:sz="4" w:space="0"/>
            </w:tcBorders>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单位</w:t>
            </w:r>
          </w:p>
          <w:p>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名称</w:t>
            </w:r>
          </w:p>
        </w:tc>
        <w:tc>
          <w:tcPr>
            <w:tcW w:w="1284"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    项内容</w:t>
            </w:r>
          </w:p>
        </w:tc>
        <w:tc>
          <w:tcPr>
            <w:tcW w:w="2778" w:type="dxa"/>
            <w:gridSpan w:val="4"/>
            <w:tcBorders>
              <w:top w:val="single" w:color="auto" w:sz="4" w:space="0"/>
              <w:bottom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  （是/否）</w:t>
            </w:r>
          </w:p>
        </w:tc>
        <w:tc>
          <w:tcPr>
            <w:tcW w:w="1036"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  府采购  （是/否）</w:t>
            </w:r>
          </w:p>
        </w:tc>
        <w:tc>
          <w:tcPr>
            <w:tcW w:w="803" w:type="dxa"/>
            <w:vMerge w:val="restart"/>
            <w:tcBorders>
              <w:top w:val="single" w:color="auto" w:sz="4" w:space="0"/>
              <w:bottom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trPr>
          <w:trHeight w:val="2147" w:hRule="atLeast"/>
        </w:trPr>
        <w:tc>
          <w:tcPr>
            <w:tcW w:w="1816" w:type="dxa"/>
            <w:vMerge w:val="continue"/>
            <w:tcBorders>
              <w:top w:val="single" w:color="auto" w:sz="4" w:space="0"/>
            </w:tcBorders>
            <w:vAlign w:val="center"/>
          </w:tcPr>
          <w:p>
            <w:pPr>
              <w:jc w:val="center"/>
              <w:rPr>
                <w:rFonts w:ascii="华文细黑" w:hAnsi="华文细黑" w:eastAsia="华文细黑" w:cs="华文细黑"/>
                <w:kern w:val="0"/>
                <w:sz w:val="20"/>
              </w:rPr>
            </w:pPr>
          </w:p>
        </w:tc>
        <w:tc>
          <w:tcPr>
            <w:tcW w:w="1284" w:type="dxa"/>
            <w:vMerge w:val="continue"/>
            <w:tcBorders>
              <w:top w:val="single" w:color="auto" w:sz="4" w:space="0"/>
            </w:tcBorders>
            <w:vAlign w:val="center"/>
          </w:tcPr>
          <w:p>
            <w:pPr>
              <w:jc w:val="center"/>
              <w:rPr>
                <w:rFonts w:ascii="华文细黑" w:hAnsi="华文细黑" w:eastAsia="华文细黑" w:cs="华文细黑"/>
                <w:kern w:val="0"/>
                <w:sz w:val="20"/>
              </w:rPr>
            </w:pPr>
          </w:p>
        </w:tc>
        <w:tc>
          <w:tcPr>
            <w:tcW w:w="667" w:type="dxa"/>
            <w:tcBorders>
              <w:top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vAlign w:val="center"/>
          </w:tcPr>
          <w:p>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vAlign w:val="center"/>
          </w:tcPr>
          <w:p>
            <w:pPr>
              <w:jc w:val="center"/>
              <w:rPr>
                <w:rFonts w:ascii="华文细黑" w:hAnsi="华文细黑" w:eastAsia="华文细黑" w:cs="华文细黑"/>
                <w:kern w:val="0"/>
                <w:sz w:val="20"/>
              </w:rPr>
            </w:pPr>
          </w:p>
        </w:tc>
        <w:tc>
          <w:tcPr>
            <w:tcW w:w="1036" w:type="dxa"/>
            <w:vMerge w:val="continue"/>
            <w:tcBorders>
              <w:top w:val="single" w:color="auto" w:sz="4" w:space="0"/>
            </w:tcBorders>
            <w:vAlign w:val="center"/>
          </w:tcPr>
          <w:p>
            <w:pPr>
              <w:jc w:val="center"/>
              <w:rPr>
                <w:rFonts w:ascii="华文细黑" w:hAnsi="华文细黑" w:eastAsia="华文细黑" w:cs="华文细黑"/>
                <w:kern w:val="0"/>
                <w:sz w:val="20"/>
              </w:rPr>
            </w:pPr>
          </w:p>
        </w:tc>
        <w:tc>
          <w:tcPr>
            <w:tcW w:w="803" w:type="dxa"/>
            <w:vMerge w:val="continue"/>
            <w:tcBorders>
              <w:top w:val="single" w:color="auto" w:sz="4" w:space="0"/>
            </w:tcBorders>
            <w:vAlign w:val="center"/>
          </w:tcPr>
          <w:p>
            <w:pPr>
              <w:jc w:val="center"/>
              <w:rPr>
                <w:rFonts w:ascii="华文细黑" w:hAnsi="华文细黑" w:eastAsia="华文细黑" w:cs="华文细黑"/>
                <w:kern w:val="0"/>
                <w:sz w:val="20"/>
              </w:rPr>
            </w:pPr>
          </w:p>
        </w:tc>
      </w:tr>
      <w:tr>
        <w:trPr>
          <w:trHeight w:val="568" w:hRule="atLeast"/>
        </w:trPr>
        <w:tc>
          <w:tcPr>
            <w:tcW w:w="1816" w:type="dxa"/>
            <w:vAlign w:val="center"/>
          </w:tcPr>
          <w:p>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68" w:hRule="atLeast"/>
        </w:trPr>
        <w:tc>
          <w:tcPr>
            <w:tcW w:w="1816" w:type="dxa"/>
            <w:vAlign w:val="center"/>
          </w:tcPr>
          <w:p>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68" w:hRule="atLeast"/>
        </w:trPr>
        <w:tc>
          <w:tcPr>
            <w:tcW w:w="1816" w:type="dxa"/>
            <w:vAlign w:val="center"/>
          </w:tcPr>
          <w:p>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rPr>
          <w:trHeight w:val="579" w:hRule="atLeast"/>
        </w:trPr>
        <w:tc>
          <w:tcPr>
            <w:tcW w:w="1816" w:type="dxa"/>
            <w:vAlign w:val="center"/>
          </w:tcPr>
          <w:p>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bl>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tbl>
      <w:tblPr>
        <w:tblW w:w="8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925"/>
        <w:gridCol w:w="825"/>
        <w:gridCol w:w="1075"/>
        <w:gridCol w:w="737"/>
        <w:gridCol w:w="763"/>
        <w:gridCol w:w="1037"/>
        <w:gridCol w:w="1175"/>
        <w:gridCol w:w="870"/>
        <w:gridCol w:w="641"/>
      </w:tblGrid>
      <w:tr>
        <w:trPr>
          <w:trHeight w:val="688" w:hRule="atLeast"/>
        </w:trPr>
        <w:tc>
          <w:tcPr>
            <w:tcW w:w="8941" w:type="dxa"/>
            <w:gridSpan w:val="10"/>
            <w:tcBorders>
              <w:top w:val="nil"/>
              <w:left w:val="nil"/>
              <w:bottom w:val="single" w:color="000000" w:sz="4" w:space="0"/>
              <w:right w:val="nil"/>
            </w:tcBorders>
            <w:vAlign w:val="top"/>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pPr>
              <w:spacing w:line="700" w:lineRule="exact"/>
              <w:jc w:val="right"/>
              <w:rPr>
                <w:rFonts w:ascii="Calibri" w:hAnsi="Calibri" w:eastAsia="楷体"/>
                <w:kern w:val="0"/>
                <w:sz w:val="21"/>
                <w:szCs w:val="32"/>
              </w:rPr>
            </w:pPr>
            <w:r>
              <w:rPr>
                <w:rFonts w:hint="eastAsia" w:ascii="Calibri" w:hAnsi="Calibri" w:eastAsia="华文细黑"/>
                <w:color w:val="000000"/>
                <w:sz w:val="20"/>
                <w:szCs w:val="22"/>
              </w:rPr>
              <w:t>单位：万元</w:t>
            </w:r>
          </w:p>
        </w:tc>
      </w:tr>
      <w:tr>
        <w:trPr>
          <w:trHeight w:val="1071" w:hRule="atLeast"/>
        </w:trPr>
        <w:tc>
          <w:tcPr>
            <w:tcW w:w="893" w:type="dxa"/>
            <w:tcBorders>
              <w:top w:val="single" w:color="000000" w:sz="4" w:space="0"/>
              <w:left w:val="single" w:color="000000" w:sz="4" w:space="0"/>
              <w:bottom w:val="single" w:color="000000" w:sz="4" w:space="0"/>
              <w:right w:val="single" w:color="000000" w:sz="4" w:space="0"/>
            </w:tcBorders>
            <w:vAlign w:val="center"/>
          </w:tcPr>
          <w:p>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  金总额   （万元）</w:t>
            </w:r>
          </w:p>
        </w:tc>
        <w:tc>
          <w:tcPr>
            <w:tcW w:w="107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  效目标</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trPr>
          <w:trHeight w:val="561" w:hRule="atLeast"/>
        </w:trPr>
        <w:tc>
          <w:tcPr>
            <w:tcW w:w="8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图们市统计局</w:t>
            </w:r>
          </w:p>
        </w:tc>
        <w:tc>
          <w:tcPr>
            <w:tcW w:w="9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大型普查综合业务费</w:t>
            </w:r>
          </w:p>
        </w:tc>
        <w:tc>
          <w:tcPr>
            <w:tcW w:w="8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61.92</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ab/>
            </w:r>
            <w:r>
              <w:rPr>
                <w:rFonts w:hint="eastAsia" w:ascii="华文细黑" w:hAnsi="华文细黑" w:eastAsia="华文细黑" w:cs="华文细黑"/>
                <w:kern w:val="0"/>
                <w:sz w:val="20"/>
              </w:rPr>
              <w:t>开展业务培训，提升统计人员工作能力，发放各类宣传品，印刷工作手册，培训教材。按时发放两员补贴，劳务费，确保工作按时保质完成。掌握全市人口流动情况，为后续1%工作开展打下基础。</w:t>
            </w:r>
          </w:p>
        </w:tc>
        <w:tc>
          <w:tcPr>
            <w:tcW w:w="737" w:type="dxa"/>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发放劳务费</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发放劳务费</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=40元/人/天</w:t>
            </w:r>
          </w:p>
        </w:tc>
        <w:tc>
          <w:tcPr>
            <w:tcW w:w="641" w:type="dxa"/>
            <w:tcBorders>
              <w:top w:val="single" w:color="000000" w:sz="4" w:space="0"/>
              <w:left w:val="single" w:color="000000" w:sz="4" w:space="0"/>
              <w:bottom w:val="single" w:color="000000" w:sz="4" w:space="0"/>
              <w:right w:val="single" w:color="000000" w:sz="4" w:space="0"/>
            </w:tcBorders>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restart"/>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聘用普查人员数</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反映普查员人员数量。</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≥49人</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continue"/>
            <w:shd w:val="clear" w:color="auto" w:fill="auto"/>
            <w:vAlign w:val="center"/>
          </w:tcPr>
          <w:p>
            <w:pPr>
              <w:jc w:val="center"/>
              <w:rPr>
                <w:rFonts w:ascii="华文细黑" w:hAnsi="华文细黑" w:eastAsia="华文细黑" w:cs="华文细黑"/>
                <w:kern w:val="0"/>
                <w:sz w:val="20"/>
              </w:rPr>
            </w:pP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时效指标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人口变动抽样调查调查员补贴发放完成时间</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反应人口抽样调查调查员补贴发放完成时间</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12月之前</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完成普查数据处理培训，为五经普数据处理工作按时完成提供保障</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反映培训覆盖情况，完成技术人员培训</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≥90%</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r>
        <w:trPr>
          <w:trHeight w:val="104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满意度指标</w:t>
            </w: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服务对象满意度指标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服务部门满意度</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服务部门满意度</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≥90%</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10</w:t>
            </w:r>
          </w:p>
        </w:tc>
      </w:tr>
    </w:tbl>
    <w:p>
      <w:pPr>
        <w:spacing w:line="700" w:lineRule="exact"/>
        <w:rPr>
          <w:rFonts w:eastAsia="楷体"/>
          <w:kern w:val="0"/>
          <w:szCs w:val="32"/>
        </w:rPr>
      </w:pPr>
    </w:p>
    <w:p>
      <w:pPr>
        <w:spacing w:line="700" w:lineRule="exact"/>
        <w:ind w:firstLine="640" w:firstLineChars="200"/>
        <w:rPr>
          <w:rFonts w:eastAsia="楷体"/>
          <w:kern w:val="0"/>
          <w:szCs w:val="32"/>
        </w:rPr>
      </w:pPr>
    </w:p>
    <w:p>
      <w:pPr>
        <w:spacing w:line="700" w:lineRule="exact"/>
        <w:rPr>
          <w:rFonts w:eastAsia="楷体"/>
          <w:kern w:val="0"/>
          <w:szCs w:val="32"/>
        </w:rPr>
      </w:pPr>
    </w:p>
    <w:p>
      <w:pPr>
        <w:spacing w:line="700" w:lineRule="exact"/>
        <w:rPr>
          <w:rFonts w:eastAsia="楷体"/>
          <w:kern w:val="0"/>
          <w:szCs w:val="32"/>
        </w:rPr>
      </w:pPr>
    </w:p>
    <w:tbl>
      <w:tblPr>
        <w:tblW w:w="8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925"/>
        <w:gridCol w:w="825"/>
        <w:gridCol w:w="1075"/>
        <w:gridCol w:w="737"/>
        <w:gridCol w:w="763"/>
        <w:gridCol w:w="1037"/>
        <w:gridCol w:w="1175"/>
        <w:gridCol w:w="870"/>
        <w:gridCol w:w="641"/>
      </w:tblGrid>
      <w:tr>
        <w:trPr>
          <w:trHeight w:val="688" w:hRule="atLeast"/>
        </w:trPr>
        <w:tc>
          <w:tcPr>
            <w:tcW w:w="8941" w:type="dxa"/>
            <w:gridSpan w:val="10"/>
            <w:tcBorders>
              <w:top w:val="nil"/>
              <w:left w:val="nil"/>
              <w:bottom w:val="single" w:color="000000" w:sz="4" w:space="0"/>
              <w:right w:val="nil"/>
            </w:tcBorders>
            <w:vAlign w:val="top"/>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pPr>
              <w:spacing w:line="700" w:lineRule="exact"/>
              <w:jc w:val="right"/>
              <w:rPr>
                <w:rFonts w:ascii="Calibri" w:hAnsi="Calibri" w:eastAsia="楷体"/>
                <w:kern w:val="0"/>
                <w:sz w:val="21"/>
                <w:szCs w:val="32"/>
              </w:rPr>
            </w:pPr>
            <w:r>
              <w:rPr>
                <w:rFonts w:hint="eastAsia" w:ascii="Calibri" w:hAnsi="Calibri" w:eastAsia="华文细黑"/>
                <w:color w:val="000000"/>
                <w:sz w:val="20"/>
                <w:szCs w:val="22"/>
              </w:rPr>
              <w:t>单位：万元</w:t>
            </w:r>
          </w:p>
        </w:tc>
      </w:tr>
      <w:tr>
        <w:trPr>
          <w:trHeight w:val="1071" w:hRule="atLeast"/>
        </w:trPr>
        <w:tc>
          <w:tcPr>
            <w:tcW w:w="893" w:type="dxa"/>
            <w:tcBorders>
              <w:top w:val="single" w:color="000000" w:sz="4" w:space="0"/>
              <w:left w:val="single" w:color="000000" w:sz="4" w:space="0"/>
              <w:bottom w:val="single" w:color="000000" w:sz="4" w:space="0"/>
              <w:right w:val="single" w:color="000000" w:sz="4" w:space="0"/>
            </w:tcBorders>
            <w:vAlign w:val="center"/>
          </w:tcPr>
          <w:p>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  金总额   （万元）</w:t>
            </w:r>
          </w:p>
        </w:tc>
        <w:tc>
          <w:tcPr>
            <w:tcW w:w="107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  效目标</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trPr>
          <w:trHeight w:val="561" w:hRule="atLeast"/>
        </w:trPr>
        <w:tc>
          <w:tcPr>
            <w:tcW w:w="8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图们市统计局</w:t>
            </w:r>
          </w:p>
        </w:tc>
        <w:tc>
          <w:tcPr>
            <w:tcW w:w="9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统计调查综合补助</w:t>
            </w:r>
          </w:p>
        </w:tc>
        <w:tc>
          <w:tcPr>
            <w:tcW w:w="8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30.80</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根据国家县域经济城镇居民人均可支配收入调查方案和方法制度，通过制定本地经济县域城镇居民人均可支配收入，达到科学合理推算城乡居民收支调查数据，确保数据真实可信，有效使用。</w:t>
            </w:r>
          </w:p>
        </w:tc>
        <w:tc>
          <w:tcPr>
            <w:tcW w:w="737" w:type="dxa"/>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培训人均成本</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反映培训成本控制情况</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=1次</w:t>
            </w:r>
          </w:p>
        </w:tc>
        <w:tc>
          <w:tcPr>
            <w:tcW w:w="641" w:type="dxa"/>
            <w:tcBorders>
              <w:top w:val="single" w:color="000000" w:sz="4" w:space="0"/>
              <w:left w:val="single" w:color="000000" w:sz="4" w:space="0"/>
              <w:bottom w:val="single" w:color="000000" w:sz="4" w:space="0"/>
              <w:right w:val="single" w:color="000000" w:sz="4" w:space="0"/>
            </w:tcBorders>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restart"/>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抽样调查点发放补贴次数</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按照工作及劳务费相关要求，抽样调查点发放补贴次数</w:t>
            </w:r>
          </w:p>
        </w:tc>
        <w:tc>
          <w:tcPr>
            <w:tcW w:w="870" w:type="dxa"/>
            <w:shd w:val="solid" w:color="FFFFFF" w:fill="auto"/>
            <w:vAlign w:val="center"/>
          </w:tcPr>
          <w:p>
            <w:pPr>
              <w:jc w:val="center"/>
              <w:rPr>
                <w:rFonts w:eastAsia="宋体"/>
                <w:color w:val="000000"/>
                <w:kern w:val="0"/>
                <w:sz w:val="20"/>
              </w:rPr>
            </w:pPr>
            <w:r>
              <w:rPr>
                <w:rFonts w:hint="eastAsia" w:ascii="华文细黑" w:hAnsi="华文细黑" w:eastAsia="华文细黑" w:cs="华文细黑"/>
                <w:kern w:val="0"/>
                <w:sz w:val="20"/>
              </w:rPr>
              <w:t>=2次</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continue"/>
            <w:shd w:val="clear" w:color="auto" w:fill="auto"/>
            <w:vAlign w:val="center"/>
          </w:tcPr>
          <w:p>
            <w:pPr>
              <w:jc w:val="center"/>
              <w:rPr>
                <w:rFonts w:ascii="华文细黑" w:hAnsi="华文细黑" w:eastAsia="华文细黑" w:cs="华文细黑"/>
                <w:kern w:val="0"/>
                <w:sz w:val="20"/>
              </w:rPr>
            </w:pP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调查户登记补贴发放人数</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反映发放调查户登记补贴的人数情况。</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=150次</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30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restart"/>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p>
            <w:pPr>
              <w:jc w:val="center"/>
              <w:rPr>
                <w:rFonts w:ascii="华文细黑" w:hAnsi="华文细黑" w:eastAsia="华文细黑" w:cs="华文细黑"/>
                <w:kern w:val="0"/>
                <w:sz w:val="20"/>
              </w:rPr>
            </w:pP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反映抽样调查户补助发放覆盖情况。</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反映培训覆盖情况，完成技术人员培训</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=100%</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10</w:t>
            </w:r>
          </w:p>
        </w:tc>
      </w:tr>
      <w:tr>
        <w:trPr>
          <w:trHeight w:val="104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continue"/>
            <w:shd w:val="clear" w:color="auto" w:fill="auto"/>
            <w:vAlign w:val="center"/>
          </w:tcPr>
          <w:p>
            <w:pPr>
              <w:jc w:val="center"/>
              <w:rPr>
                <w:rFonts w:ascii="华文细黑" w:hAnsi="华文细黑" w:eastAsia="华文细黑" w:cs="华文细黑"/>
                <w:kern w:val="0"/>
                <w:sz w:val="20"/>
              </w:rPr>
            </w:pP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通过提供收入数据，为制定城乡统筹政策和民生的需要提供依据</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按照抽样的方法，选择一定比例的城乡居民进行记账，在一季度完成后核定上年度收入数据。</w:t>
            </w:r>
          </w:p>
        </w:tc>
        <w:tc>
          <w:tcPr>
            <w:tcW w:w="870"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=1期</w:t>
            </w:r>
          </w:p>
        </w:tc>
        <w:tc>
          <w:tcPr>
            <w:tcW w:w="641" w:type="dxa"/>
            <w:shd w:val="solid" w:color="FFFFFF"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bl>
    <w:p>
      <w:pPr>
        <w:spacing w:line="700" w:lineRule="exact"/>
        <w:rPr>
          <w:rFonts w:eastAsia="楷体"/>
          <w:kern w:val="0"/>
          <w:szCs w:val="32"/>
        </w:rPr>
      </w:pPr>
    </w:p>
    <w:tbl>
      <w:tblPr>
        <w:tblpPr w:leftFromText="180" w:rightFromText="180" w:vertAnchor="text" w:horzAnchor="page" w:tblpX="1790" w:tblpY="646"/>
        <w:tblOverlap w:val="never"/>
        <w:tblW w:w="8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925"/>
        <w:gridCol w:w="825"/>
        <w:gridCol w:w="1075"/>
        <w:gridCol w:w="737"/>
        <w:gridCol w:w="763"/>
        <w:gridCol w:w="1037"/>
        <w:gridCol w:w="1175"/>
        <w:gridCol w:w="870"/>
        <w:gridCol w:w="641"/>
      </w:tblGrid>
      <w:tr>
        <w:trPr>
          <w:trHeight w:val="1343" w:hRule="atLeast"/>
        </w:trPr>
        <w:tc>
          <w:tcPr>
            <w:tcW w:w="8941" w:type="dxa"/>
            <w:gridSpan w:val="10"/>
            <w:tcBorders>
              <w:top w:val="nil"/>
              <w:left w:val="nil"/>
              <w:bottom w:val="single" w:color="000000" w:sz="4" w:space="0"/>
              <w:right w:val="nil"/>
            </w:tcBorders>
            <w:vAlign w:val="top"/>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pPr>
              <w:spacing w:line="700" w:lineRule="exact"/>
              <w:jc w:val="right"/>
              <w:rPr>
                <w:rFonts w:ascii="Calibri" w:hAnsi="Calibri" w:eastAsia="楷体"/>
                <w:kern w:val="0"/>
                <w:sz w:val="21"/>
                <w:szCs w:val="32"/>
              </w:rPr>
            </w:pPr>
            <w:r>
              <w:rPr>
                <w:rFonts w:hint="eastAsia" w:ascii="Calibri" w:hAnsi="Calibri" w:eastAsia="华文细黑"/>
                <w:color w:val="000000"/>
                <w:sz w:val="20"/>
                <w:szCs w:val="22"/>
              </w:rPr>
              <w:t>单位：万元</w:t>
            </w:r>
          </w:p>
        </w:tc>
      </w:tr>
      <w:tr>
        <w:trPr>
          <w:trHeight w:val="1071" w:hRule="atLeast"/>
        </w:trPr>
        <w:tc>
          <w:tcPr>
            <w:tcW w:w="893" w:type="dxa"/>
            <w:tcBorders>
              <w:top w:val="single" w:color="000000" w:sz="4" w:space="0"/>
              <w:left w:val="single" w:color="000000" w:sz="4" w:space="0"/>
              <w:bottom w:val="single" w:color="000000" w:sz="4" w:space="0"/>
              <w:right w:val="single" w:color="000000" w:sz="4" w:space="0"/>
            </w:tcBorders>
            <w:vAlign w:val="center"/>
          </w:tcPr>
          <w:p>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  金总额   （万元）</w:t>
            </w:r>
          </w:p>
        </w:tc>
        <w:tc>
          <w:tcPr>
            <w:tcW w:w="107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  效目标</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763"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037"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trPr>
          <w:trHeight w:val="1626" w:hRule="atLeast"/>
        </w:trPr>
        <w:tc>
          <w:tcPr>
            <w:tcW w:w="8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图们市统计局</w:t>
            </w:r>
          </w:p>
        </w:tc>
        <w:tc>
          <w:tcPr>
            <w:tcW w:w="9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综合统计业务费</w:t>
            </w:r>
          </w:p>
        </w:tc>
        <w:tc>
          <w:tcPr>
            <w:tcW w:w="82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23.65</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通过完善统计服务表，做到常规统计产品全面、及时、清晰；主动融入市委、政府中心工作，专题统计分析精准、透彻、有效。达到全面加强统计工作的监督和管理，完成抽样调查任务，提高统计工作业务水平。</w:t>
            </w:r>
          </w:p>
        </w:tc>
        <w:tc>
          <w:tcPr>
            <w:tcW w:w="737" w:type="dxa"/>
            <w:tcBorders>
              <w:top w:val="single" w:color="000000" w:sz="4" w:space="0"/>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统计分析报告篇数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反映统计分析报告篇数情况。</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≥25篇</w:t>
            </w:r>
          </w:p>
        </w:tc>
        <w:tc>
          <w:tcPr>
            <w:tcW w:w="641" w:type="dxa"/>
            <w:tcBorders>
              <w:top w:val="single" w:color="000000" w:sz="4" w:space="0"/>
              <w:left w:val="single" w:color="000000" w:sz="4" w:space="0"/>
              <w:bottom w:val="single" w:color="000000" w:sz="4" w:space="0"/>
              <w:right w:val="single" w:color="000000" w:sz="4" w:space="0"/>
            </w:tcBorders>
            <w:shd w:val="solid" w:color="FFFFFF"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50</w:t>
            </w:r>
          </w:p>
        </w:tc>
      </w:tr>
      <w:tr>
        <w:trPr>
          <w:trHeight w:val="56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restart"/>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p>
            <w:pPr>
              <w:jc w:val="center"/>
              <w:rPr>
                <w:rFonts w:ascii="华文细黑" w:hAnsi="华文细黑" w:eastAsia="华文细黑" w:cs="华文细黑"/>
                <w:kern w:val="0"/>
                <w:sz w:val="20"/>
              </w:rPr>
            </w:pP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编印历年县域经济运行的统计年鉴，为党政领导决策提供数据支撑</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编印全县历年经济运行的统计年鉴，为党政领导决策提供数据支撑</w:t>
            </w:r>
          </w:p>
        </w:tc>
        <w:tc>
          <w:tcPr>
            <w:tcW w:w="870" w:type="dxa"/>
            <w:shd w:val="solid" w:color="FFFFFF"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=1本</w:t>
            </w:r>
          </w:p>
        </w:tc>
        <w:tc>
          <w:tcPr>
            <w:tcW w:w="641" w:type="dxa"/>
            <w:shd w:val="solid" w:color="FFFFFF"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r>
        <w:trPr>
          <w:trHeight w:val="1041" w:hRule="atLeast"/>
        </w:trPr>
        <w:tc>
          <w:tcPr>
            <w:tcW w:w="893"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9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82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1075" w:type="dxa"/>
            <w:vMerge w:val="continue"/>
            <w:tcBorders>
              <w:left w:val="single" w:color="000000" w:sz="4" w:space="0"/>
              <w:right w:val="single" w:color="000000" w:sz="4" w:space="0"/>
            </w:tcBorders>
            <w:shd w:val="clear" w:color="auto" w:fill="auto"/>
            <w:vAlign w:val="center"/>
          </w:tcPr>
          <w:p>
            <w:pPr>
              <w:jc w:val="center"/>
              <w:rPr>
                <w:rFonts w:ascii="华文细黑" w:hAnsi="华文细黑" w:eastAsia="华文细黑" w:cs="华文细黑"/>
                <w:kern w:val="0"/>
                <w:sz w:val="20"/>
              </w:rPr>
            </w:pPr>
          </w:p>
        </w:tc>
        <w:tc>
          <w:tcPr>
            <w:tcW w:w="737" w:type="dxa"/>
            <w:vMerge w:val="continue"/>
            <w:shd w:val="clear" w:color="auto" w:fill="auto"/>
            <w:vAlign w:val="center"/>
          </w:tcPr>
          <w:p>
            <w:pPr>
              <w:jc w:val="center"/>
              <w:rPr>
                <w:rFonts w:ascii="华文细黑" w:hAnsi="华文细黑" w:eastAsia="华文细黑" w:cs="华文细黑"/>
                <w:kern w:val="0"/>
                <w:sz w:val="20"/>
              </w:rPr>
            </w:pPr>
          </w:p>
        </w:tc>
        <w:tc>
          <w:tcPr>
            <w:tcW w:w="763"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1037" w:type="dxa"/>
            <w:shd w:val="clear" w:color="auto" w:fill="auto"/>
            <w:vAlign w:val="center"/>
          </w:tcPr>
          <w:p>
            <w:pPr>
              <w:jc w:val="center"/>
              <w:rPr>
                <w:rFonts w:ascii="华文细黑" w:hAnsi="华文细黑" w:eastAsia="华文细黑" w:cs="华文细黑"/>
                <w:kern w:val="0"/>
                <w:sz w:val="16"/>
                <w:szCs w:val="16"/>
              </w:rPr>
            </w:pPr>
            <w:r>
              <w:rPr>
                <w:rFonts w:hint="eastAsia" w:ascii="华文细黑" w:hAnsi="华文细黑" w:eastAsia="华文细黑" w:cs="华文细黑"/>
                <w:kern w:val="0"/>
                <w:sz w:val="16"/>
                <w:szCs w:val="16"/>
              </w:rPr>
              <w:t>编印当年月度经济运行的统计月报，为党政领导决策提供数据支撑</w:t>
            </w:r>
          </w:p>
        </w:tc>
        <w:tc>
          <w:tcPr>
            <w:tcW w:w="1175" w:type="dxa"/>
            <w:shd w:val="clear" w:color="auto" w:fill="auto"/>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提供反映当年月度经济运行发展情况，为党政领导决策提供数据支撑，发挥统计参谋和助手作用的统计月报。</w:t>
            </w:r>
          </w:p>
        </w:tc>
        <w:tc>
          <w:tcPr>
            <w:tcW w:w="870" w:type="dxa"/>
            <w:shd w:val="solid" w:color="FFFFFF"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=9次</w:t>
            </w:r>
          </w:p>
        </w:tc>
        <w:tc>
          <w:tcPr>
            <w:tcW w:w="641" w:type="dxa"/>
            <w:shd w:val="solid" w:color="FFFFFF" w:fill="auto"/>
            <w:vAlign w:val="center"/>
          </w:tcPr>
          <w:p>
            <w:pPr>
              <w:tabs>
                <w:tab w:val="left" w:pos="283"/>
              </w:tabs>
              <w:jc w:val="left"/>
              <w:rPr>
                <w:rFonts w:ascii="华文细黑" w:hAnsi="华文细黑" w:eastAsia="华文细黑" w:cs="华文细黑"/>
                <w:kern w:val="0"/>
                <w:sz w:val="20"/>
              </w:rPr>
            </w:pPr>
            <w:r>
              <w:rPr>
                <w:rFonts w:hint="eastAsia" w:ascii="华文细黑" w:hAnsi="华文细黑" w:eastAsia="华文细黑" w:cs="华文细黑"/>
                <w:kern w:val="0"/>
                <w:sz w:val="20"/>
              </w:rPr>
              <w:t>20</w:t>
            </w:r>
          </w:p>
        </w:tc>
      </w:tr>
    </w:tbl>
    <w:p>
      <w:pPr>
        <w:jc w:val="both"/>
        <w:rPr>
          <w:rFonts w:eastAsia="黑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pPr>
        <w:wordWrap w:val="0"/>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w:t>
      </w:r>
      <w:r>
        <w:rPr>
          <w:rFonts w:hint="eastAsia"/>
          <w:szCs w:val="32"/>
        </w:rPr>
        <w:t>、</w:t>
      </w:r>
      <w:r>
        <w:rPr>
          <w:szCs w:val="32"/>
        </w:rPr>
        <w:t>其他收入等；支出包括：一般公共服务支出、社会保障和就业支出、</w:t>
      </w:r>
      <w:r>
        <w:rPr>
          <w:rFonts w:hint="eastAsia"/>
          <w:szCs w:val="32"/>
        </w:rPr>
        <w:t>卫生健康支出、</w:t>
      </w:r>
      <w:r>
        <w:rPr>
          <w:szCs w:val="32"/>
        </w:rPr>
        <w:t>住房保障支出等。20</w:t>
      </w:r>
      <w:r>
        <w:rPr>
          <w:rFonts w:hint="eastAsia"/>
          <w:szCs w:val="32"/>
        </w:rPr>
        <w:t>26</w:t>
      </w:r>
      <w:r>
        <w:rPr>
          <w:szCs w:val="32"/>
        </w:rPr>
        <w:t>年收支总预算</w:t>
      </w:r>
      <w:r>
        <w:rPr>
          <w:rFonts w:hint="eastAsia"/>
          <w:szCs w:val="32"/>
        </w:rPr>
        <w:t>235.05</w:t>
      </w:r>
      <w:r>
        <w:rPr>
          <w:szCs w:val="32"/>
        </w:rPr>
        <w:t>万元</w:t>
      </w:r>
      <w:r>
        <w:rPr>
          <w:rFonts w:hint="eastAsia"/>
          <w:szCs w:val="32"/>
        </w:rPr>
        <w:t>，其中：本年预算235.05万元。2026年本年预算</w:t>
      </w:r>
      <w:r>
        <w:rPr>
          <w:szCs w:val="32"/>
        </w:rPr>
        <w:t>比20</w:t>
      </w:r>
      <w:r>
        <w:rPr>
          <w:rFonts w:hint="eastAsia"/>
          <w:szCs w:val="32"/>
        </w:rPr>
        <w:t>25</w:t>
      </w:r>
      <w:r>
        <w:rPr>
          <w:szCs w:val="32"/>
        </w:rPr>
        <w:t>年</w:t>
      </w:r>
      <w:r>
        <w:rPr>
          <w:rFonts w:hint="eastAsia"/>
          <w:szCs w:val="32"/>
        </w:rPr>
        <w:t>当年</w:t>
      </w:r>
      <w:r>
        <w:rPr>
          <w:szCs w:val="32"/>
        </w:rPr>
        <w:t>预算增加</w:t>
      </w:r>
      <w:r>
        <w:rPr>
          <w:rFonts w:hint="eastAsia"/>
          <w:szCs w:val="32"/>
        </w:rPr>
        <w:t>100.96</w:t>
      </w:r>
      <w:r>
        <w:rPr>
          <w:szCs w:val="32"/>
        </w:rPr>
        <w:t>万元，主要原因是</w:t>
      </w:r>
      <w:r>
        <w:rPr>
          <w:rFonts w:hint="eastAsia"/>
          <w:szCs w:val="32"/>
        </w:rPr>
        <w:t>增加了第四次全国农业普查经费,所以预算拨款增加。</w:t>
      </w:r>
    </w:p>
    <w:p>
      <w:pPr>
        <w:rPr>
          <w:rFonts w:eastAsia="黑体"/>
          <w:szCs w:val="32"/>
        </w:rPr>
      </w:pPr>
      <w:r>
        <w:rPr>
          <w:rFonts w:hint="eastAsia" w:eastAsia="黑体"/>
          <w:szCs w:val="32"/>
        </w:rPr>
        <w:t xml:space="preserve">    </w:t>
      </w:r>
      <w:r>
        <w:rPr>
          <w:rFonts w:eastAsia="黑体"/>
          <w:szCs w:val="32"/>
        </w:rPr>
        <w:t>二、20</w:t>
      </w:r>
      <w:r>
        <w:rPr>
          <w:rFonts w:hint="eastAsia" w:eastAsia="黑体"/>
          <w:szCs w:val="32"/>
        </w:rPr>
        <w:t>26</w:t>
      </w:r>
      <w:r>
        <w:rPr>
          <w:rFonts w:eastAsia="黑体"/>
          <w:szCs w:val="32"/>
        </w:rPr>
        <w:t>年收入预算情况</w:t>
      </w:r>
    </w:p>
    <w:p>
      <w:pPr>
        <w:ind w:firstLine="640" w:firstLineChars="200"/>
        <w:rPr>
          <w:rFonts w:eastAsia="楷体"/>
          <w:szCs w:val="30"/>
        </w:rPr>
      </w:pPr>
      <w:r>
        <w:rPr>
          <w:szCs w:val="32"/>
        </w:rPr>
        <w:t>20</w:t>
      </w:r>
      <w:r>
        <w:rPr>
          <w:rFonts w:hint="eastAsia"/>
          <w:szCs w:val="32"/>
        </w:rPr>
        <w:t>26</w:t>
      </w:r>
      <w:r>
        <w:rPr>
          <w:szCs w:val="32"/>
        </w:rPr>
        <w:t>年收入预算</w:t>
      </w:r>
      <w:r>
        <w:rPr>
          <w:rFonts w:hint="eastAsia"/>
          <w:szCs w:val="32"/>
        </w:rPr>
        <w:t>235.05</w:t>
      </w:r>
      <w:r>
        <w:rPr>
          <w:szCs w:val="32"/>
        </w:rPr>
        <w:t>万元，其中：本年收入</w:t>
      </w:r>
      <w:r>
        <w:rPr>
          <w:rFonts w:hint="eastAsia"/>
          <w:szCs w:val="32"/>
        </w:rPr>
        <w:t>235.05</w:t>
      </w:r>
      <w:r>
        <w:rPr>
          <w:szCs w:val="32"/>
        </w:rPr>
        <w:t>万元，占</w:t>
      </w:r>
      <w:r>
        <w:rPr>
          <w:rFonts w:hint="eastAsia"/>
          <w:szCs w:val="32"/>
        </w:rPr>
        <w:t>100</w:t>
      </w:r>
      <w:r>
        <w:rPr>
          <w:szCs w:val="32"/>
        </w:rPr>
        <w:t>%。本年收入中，一般公共预算拨款收入</w:t>
      </w:r>
      <w:r>
        <w:rPr>
          <w:rFonts w:hint="eastAsia"/>
          <w:szCs w:val="32"/>
        </w:rPr>
        <w:t>169.35</w:t>
      </w:r>
      <w:r>
        <w:rPr>
          <w:szCs w:val="32"/>
        </w:rPr>
        <w:t>万元，占</w:t>
      </w:r>
      <w:r>
        <w:rPr>
          <w:rFonts w:hint="eastAsia"/>
          <w:szCs w:val="32"/>
        </w:rPr>
        <w:t>72.05</w:t>
      </w:r>
      <w:r>
        <w:rPr>
          <w:szCs w:val="32"/>
        </w:rPr>
        <w:t>%；其他收入</w:t>
      </w:r>
      <w:r>
        <w:rPr>
          <w:rFonts w:hint="eastAsia"/>
          <w:szCs w:val="32"/>
        </w:rPr>
        <w:t>65.7</w:t>
      </w:r>
      <w:r>
        <w:rPr>
          <w:szCs w:val="32"/>
        </w:rPr>
        <w:t>万元，占</w:t>
      </w:r>
      <w:r>
        <w:rPr>
          <w:rFonts w:hint="eastAsia"/>
          <w:szCs w:val="32"/>
        </w:rPr>
        <w:t>27.95</w:t>
      </w:r>
      <w:r>
        <w:rPr>
          <w:szCs w:val="32"/>
        </w:rPr>
        <w:t>%</w:t>
      </w:r>
      <w:r>
        <w:rPr>
          <w:rFonts w:hint="eastAsia"/>
          <w:szCs w:val="32"/>
        </w:rPr>
        <w:t>。</w:t>
      </w:r>
    </w:p>
    <w:p>
      <w:pPr>
        <w:rPr>
          <w:rFonts w:eastAsia="黑体"/>
          <w:szCs w:val="32"/>
        </w:rPr>
      </w:pPr>
      <w:r>
        <w:rPr>
          <w:rFonts w:hint="eastAsia" w:eastAsia="黑体"/>
          <w:szCs w:val="32"/>
        </w:rPr>
        <w:t xml:space="preserve">    </w:t>
      </w:r>
      <w:r>
        <w:rPr>
          <w:rFonts w:eastAsia="黑体"/>
          <w:szCs w:val="32"/>
        </w:rPr>
        <w:t>三、20</w:t>
      </w:r>
      <w:r>
        <w:rPr>
          <w:rFonts w:hint="eastAsia" w:eastAsia="黑体"/>
          <w:szCs w:val="32"/>
        </w:rPr>
        <w:t>26</w:t>
      </w:r>
      <w:r>
        <w:rPr>
          <w:rFonts w:eastAsia="黑体"/>
          <w:szCs w:val="32"/>
        </w:rPr>
        <w:t>年支出预算情况</w:t>
      </w:r>
    </w:p>
    <w:p>
      <w:pPr>
        <w:ind w:firstLine="600"/>
        <w:rPr>
          <w:rFonts w:eastAsia="楷体"/>
          <w:szCs w:val="32"/>
        </w:rPr>
      </w:pPr>
      <w:r>
        <w:rPr>
          <w:szCs w:val="32"/>
        </w:rPr>
        <w:t>20</w:t>
      </w:r>
      <w:r>
        <w:rPr>
          <w:rFonts w:hint="eastAsia"/>
          <w:szCs w:val="32"/>
        </w:rPr>
        <w:t>26</w:t>
      </w:r>
      <w:r>
        <w:rPr>
          <w:szCs w:val="32"/>
        </w:rPr>
        <w:t>年支出预算</w:t>
      </w:r>
      <w:r>
        <w:rPr>
          <w:rFonts w:hint="eastAsia"/>
          <w:szCs w:val="32"/>
        </w:rPr>
        <w:t>235.05</w:t>
      </w:r>
      <w:r>
        <w:rPr>
          <w:szCs w:val="32"/>
        </w:rPr>
        <w:t>万元，其中：基本支出</w:t>
      </w:r>
      <w:r>
        <w:rPr>
          <w:rFonts w:hint="eastAsia"/>
          <w:szCs w:val="32"/>
        </w:rPr>
        <w:t>118.68</w:t>
      </w:r>
      <w:r>
        <w:rPr>
          <w:szCs w:val="32"/>
        </w:rPr>
        <w:t>万元，占</w:t>
      </w:r>
      <w:r>
        <w:rPr>
          <w:rFonts w:hint="eastAsia"/>
          <w:szCs w:val="32"/>
        </w:rPr>
        <w:t>50.49</w:t>
      </w:r>
      <w:r>
        <w:rPr>
          <w:szCs w:val="32"/>
        </w:rPr>
        <w:t>%；项目支出</w:t>
      </w:r>
      <w:r>
        <w:rPr>
          <w:rFonts w:hint="eastAsia"/>
          <w:szCs w:val="32"/>
        </w:rPr>
        <w:t>116.37</w:t>
      </w:r>
      <w:r>
        <w:rPr>
          <w:szCs w:val="32"/>
        </w:rPr>
        <w:t>万元，占</w:t>
      </w:r>
      <w:r>
        <w:rPr>
          <w:rFonts w:hint="eastAsia"/>
          <w:szCs w:val="32"/>
        </w:rPr>
        <w:t>49.51</w:t>
      </w:r>
      <w:r>
        <w:rPr>
          <w:szCs w:val="32"/>
        </w:rPr>
        <w:t>%</w:t>
      </w:r>
      <w:r>
        <w:rPr>
          <w:rFonts w:hint="eastAsia"/>
          <w:szCs w:val="32"/>
        </w:rPr>
        <w:t>。</w:t>
      </w:r>
    </w:p>
    <w:p>
      <w:pPr>
        <w:rPr>
          <w:rFonts w:eastAsia="黑体"/>
          <w:szCs w:val="32"/>
        </w:rPr>
      </w:pPr>
      <w:r>
        <w:rPr>
          <w:rFonts w:hint="eastAsia" w:eastAsia="黑体"/>
          <w:szCs w:val="32"/>
        </w:rPr>
        <w:t xml:space="preserve">    </w:t>
      </w:r>
      <w:r>
        <w:rPr>
          <w:rFonts w:eastAsia="黑体"/>
          <w:szCs w:val="32"/>
        </w:rPr>
        <w:t>四、20</w:t>
      </w:r>
      <w:r>
        <w:rPr>
          <w:rFonts w:hint="eastAsia" w:eastAsia="黑体"/>
          <w:szCs w:val="32"/>
        </w:rPr>
        <w:t>26</w:t>
      </w:r>
      <w:r>
        <w:rPr>
          <w:rFonts w:eastAsia="黑体"/>
          <w:szCs w:val="32"/>
        </w:rPr>
        <w:t>年财政拨款收支预算情况</w:t>
      </w:r>
    </w:p>
    <w:p>
      <w:pPr>
        <w:ind w:firstLine="600"/>
        <w:rPr>
          <w:rFonts w:eastAsia="黑体"/>
          <w:szCs w:val="30"/>
        </w:rPr>
      </w:pPr>
      <w:r>
        <w:rPr>
          <w:szCs w:val="32"/>
        </w:rPr>
        <w:t>20</w:t>
      </w:r>
      <w:r>
        <w:rPr>
          <w:rFonts w:hint="eastAsia"/>
          <w:szCs w:val="32"/>
        </w:rPr>
        <w:t>26</w:t>
      </w:r>
      <w:r>
        <w:rPr>
          <w:szCs w:val="32"/>
        </w:rPr>
        <w:t>年财政拨款收支总预算</w:t>
      </w:r>
      <w:r>
        <w:rPr>
          <w:rFonts w:hint="eastAsia"/>
          <w:szCs w:val="32"/>
        </w:rPr>
        <w:t>169.35</w:t>
      </w:r>
      <w:r>
        <w:rPr>
          <w:szCs w:val="32"/>
        </w:rPr>
        <w:t>万元，其中：</w:t>
      </w:r>
      <w:r>
        <w:rPr>
          <w:rFonts w:hint="eastAsia"/>
          <w:szCs w:val="32"/>
        </w:rPr>
        <w:t>本年预算169.35</w:t>
      </w:r>
      <w:r>
        <w:rPr>
          <w:szCs w:val="32"/>
        </w:rPr>
        <w:t>万元</w:t>
      </w:r>
      <w:r>
        <w:rPr>
          <w:rFonts w:hint="eastAsia"/>
          <w:szCs w:val="32"/>
        </w:rPr>
        <w:t>。</w:t>
      </w:r>
      <w:r>
        <w:rPr>
          <w:szCs w:val="32"/>
        </w:rPr>
        <w:t>支出包括：</w:t>
      </w:r>
      <w:r>
        <w:rPr>
          <w:kern w:val="0"/>
          <w:szCs w:val="32"/>
        </w:rPr>
        <w:t>一般公共服务支出</w:t>
      </w:r>
      <w:r>
        <w:rPr>
          <w:rFonts w:hint="eastAsia"/>
          <w:szCs w:val="32"/>
        </w:rPr>
        <w:t>136.83</w:t>
      </w:r>
      <w:r>
        <w:rPr>
          <w:szCs w:val="32"/>
        </w:rPr>
        <w:t>万元，</w:t>
      </w:r>
      <w:r>
        <w:rPr>
          <w:kern w:val="0"/>
          <w:szCs w:val="32"/>
        </w:rPr>
        <w:t>社会保障和就业支出</w:t>
      </w:r>
      <w:r>
        <w:rPr>
          <w:rFonts w:hint="eastAsia"/>
          <w:szCs w:val="32"/>
        </w:rPr>
        <w:t>20.99</w:t>
      </w:r>
      <w:r>
        <w:rPr>
          <w:szCs w:val="32"/>
        </w:rPr>
        <w:t>万元，</w:t>
      </w:r>
      <w:r>
        <w:rPr>
          <w:kern w:val="0"/>
          <w:szCs w:val="32"/>
        </w:rPr>
        <w:t>卫生</w:t>
      </w:r>
      <w:r>
        <w:rPr>
          <w:rFonts w:hint="eastAsia"/>
          <w:kern w:val="0"/>
          <w:szCs w:val="32"/>
        </w:rPr>
        <w:t>健康</w:t>
      </w:r>
      <w:r>
        <w:rPr>
          <w:kern w:val="0"/>
          <w:szCs w:val="32"/>
        </w:rPr>
        <w:t>支出</w:t>
      </w:r>
      <w:r>
        <w:rPr>
          <w:rFonts w:hint="eastAsia"/>
          <w:szCs w:val="32"/>
        </w:rPr>
        <w:t>3.34</w:t>
      </w:r>
      <w:r>
        <w:rPr>
          <w:szCs w:val="32"/>
        </w:rPr>
        <w:t>万元，</w:t>
      </w:r>
      <w:r>
        <w:rPr>
          <w:kern w:val="0"/>
          <w:szCs w:val="32"/>
        </w:rPr>
        <w:t>住房保障支出</w:t>
      </w:r>
      <w:r>
        <w:rPr>
          <w:rFonts w:hint="eastAsia"/>
          <w:szCs w:val="32"/>
        </w:rPr>
        <w:t>8.19</w:t>
      </w:r>
      <w:r>
        <w:rPr>
          <w:szCs w:val="32"/>
        </w:rPr>
        <w:t>万元。</w:t>
      </w:r>
      <w:r>
        <w:rPr>
          <w:rFonts w:hint="eastAsia" w:eastAsia="黑体"/>
          <w:szCs w:val="30"/>
        </w:rPr>
        <w:t xml:space="preserve"> </w:t>
      </w:r>
    </w:p>
    <w:p>
      <w:pPr>
        <w:rPr>
          <w:rFonts w:eastAsia="黑体"/>
          <w:szCs w:val="30"/>
        </w:rPr>
      </w:pPr>
      <w:r>
        <w:rPr>
          <w:rFonts w:hint="eastAsia" w:eastAsia="黑体"/>
          <w:szCs w:val="30"/>
        </w:rPr>
        <w:t xml:space="preserve">    </w:t>
      </w: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169.35</w:t>
      </w:r>
      <w:r>
        <w:rPr>
          <w:szCs w:val="32"/>
        </w:rPr>
        <w:t>万元，其中：基本支出</w:t>
      </w:r>
      <w:r>
        <w:rPr>
          <w:rFonts w:hint="eastAsia"/>
          <w:szCs w:val="32"/>
        </w:rPr>
        <w:t>118.68</w:t>
      </w:r>
      <w:r>
        <w:rPr>
          <w:szCs w:val="32"/>
        </w:rPr>
        <w:t>万元，占</w:t>
      </w:r>
      <w:r>
        <w:rPr>
          <w:rFonts w:hint="eastAsia"/>
          <w:szCs w:val="32"/>
        </w:rPr>
        <w:t>70.08</w:t>
      </w:r>
      <w:r>
        <w:rPr>
          <w:szCs w:val="32"/>
        </w:rPr>
        <w:t>%；项目支出</w:t>
      </w:r>
      <w:r>
        <w:rPr>
          <w:rFonts w:hint="eastAsia"/>
          <w:szCs w:val="32"/>
        </w:rPr>
        <w:t>50.67</w:t>
      </w:r>
      <w:r>
        <w:rPr>
          <w:szCs w:val="32"/>
        </w:rPr>
        <w:t>万元，占</w:t>
      </w:r>
      <w:r>
        <w:rPr>
          <w:rFonts w:hint="eastAsia"/>
          <w:szCs w:val="32"/>
        </w:rPr>
        <w:t>29.92</w:t>
      </w:r>
      <w:r>
        <w:rPr>
          <w:szCs w:val="32"/>
        </w:rPr>
        <w:t>%。基本支出中，人员经费</w:t>
      </w:r>
      <w:r>
        <w:rPr>
          <w:rFonts w:hint="eastAsia"/>
          <w:szCs w:val="32"/>
        </w:rPr>
        <w:t>101.74</w:t>
      </w:r>
      <w:r>
        <w:rPr>
          <w:szCs w:val="32"/>
        </w:rPr>
        <w:t>万元，占</w:t>
      </w:r>
      <w:r>
        <w:rPr>
          <w:rFonts w:hint="eastAsia"/>
          <w:szCs w:val="32"/>
        </w:rPr>
        <w:t>85.73</w:t>
      </w:r>
      <w:r>
        <w:rPr>
          <w:szCs w:val="32"/>
        </w:rPr>
        <w:t>%；公用经费</w:t>
      </w:r>
      <w:r>
        <w:rPr>
          <w:rFonts w:hint="eastAsia"/>
          <w:szCs w:val="32"/>
        </w:rPr>
        <w:t>16.94</w:t>
      </w:r>
      <w:r>
        <w:rPr>
          <w:szCs w:val="32"/>
        </w:rPr>
        <w:t>万元，占</w:t>
      </w:r>
      <w:r>
        <w:rPr>
          <w:rFonts w:hint="eastAsia"/>
          <w:szCs w:val="32"/>
        </w:rPr>
        <w:t>14.27</w:t>
      </w:r>
      <w:r>
        <w:rPr>
          <w:szCs w:val="32"/>
        </w:rPr>
        <w:t>%。</w:t>
      </w:r>
    </w:p>
    <w:p>
      <w:pPr>
        <w:spacing w:line="520" w:lineRule="exact"/>
        <w:ind w:firstLine="640" w:firstLineChars="200"/>
        <w:rPr>
          <w:szCs w:val="32"/>
        </w:rPr>
      </w:pPr>
      <w:r>
        <w:rPr>
          <w:szCs w:val="32"/>
        </w:rPr>
        <w:t>一般公共服务（类）支出</w:t>
      </w:r>
      <w:r>
        <w:rPr>
          <w:rFonts w:hint="eastAsia"/>
          <w:szCs w:val="32"/>
        </w:rPr>
        <w:t>136.83</w:t>
      </w:r>
      <w:r>
        <w:rPr>
          <w:szCs w:val="32"/>
        </w:rPr>
        <w:t>万元，占</w:t>
      </w:r>
      <w:r>
        <w:rPr>
          <w:rFonts w:hint="eastAsia"/>
          <w:szCs w:val="32"/>
        </w:rPr>
        <w:t>80.80</w:t>
      </w:r>
      <w:r>
        <w:rPr>
          <w:szCs w:val="32"/>
        </w:rPr>
        <w:t>%，主要用于</w:t>
      </w:r>
      <w:r>
        <w:rPr>
          <w:rFonts w:hint="eastAsia"/>
          <w:color w:val="000000"/>
          <w:szCs w:val="32"/>
        </w:rPr>
        <w:t>保障职工工资，维持机关正常运转以及完成年度统计工作任务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rPr>
        <w:t>20.99</w:t>
      </w:r>
      <w:r>
        <w:rPr>
          <w:szCs w:val="32"/>
        </w:rPr>
        <w:t>万元，占</w:t>
      </w:r>
      <w:r>
        <w:rPr>
          <w:rFonts w:hint="eastAsia"/>
          <w:szCs w:val="32"/>
        </w:rPr>
        <w:t>12.39</w:t>
      </w:r>
      <w:r>
        <w:rPr>
          <w:szCs w:val="32"/>
        </w:rPr>
        <w:t>%，主要用于</w:t>
      </w:r>
      <w:r>
        <w:rPr>
          <w:rFonts w:hint="eastAsia"/>
          <w:szCs w:val="32"/>
        </w:rPr>
        <w:t>保障单位基本养老保险</w:t>
      </w:r>
      <w:r>
        <w:rPr>
          <w:szCs w:val="32"/>
        </w:rPr>
        <w:t>。</w:t>
      </w:r>
    </w:p>
    <w:p>
      <w:pPr>
        <w:spacing w:line="520" w:lineRule="exact"/>
        <w:ind w:firstLine="640" w:firstLineChars="200"/>
        <w:rPr>
          <w:szCs w:val="32"/>
        </w:rPr>
      </w:pPr>
      <w:r>
        <w:rPr>
          <w:rFonts w:hint="eastAsia"/>
          <w:szCs w:val="32"/>
        </w:rPr>
        <w:t>卫生健康（类）支出3.34</w:t>
      </w:r>
      <w:r>
        <w:rPr>
          <w:szCs w:val="32"/>
        </w:rPr>
        <w:t>万元，占</w:t>
      </w:r>
      <w:r>
        <w:rPr>
          <w:rFonts w:hint="eastAsia"/>
          <w:szCs w:val="32"/>
        </w:rPr>
        <w:t>1.97</w:t>
      </w:r>
      <w:r>
        <w:rPr>
          <w:szCs w:val="32"/>
        </w:rPr>
        <w:t>%，主要用于</w:t>
      </w:r>
      <w:r>
        <w:rPr>
          <w:rFonts w:hint="eastAsia"/>
          <w:color w:val="000000"/>
          <w:szCs w:val="32"/>
        </w:rPr>
        <w:t>缴纳职工医疗保险</w:t>
      </w:r>
      <w:r>
        <w:rPr>
          <w:szCs w:val="32"/>
        </w:rPr>
        <w:t>。</w:t>
      </w:r>
    </w:p>
    <w:p>
      <w:pPr>
        <w:spacing w:line="520" w:lineRule="exact"/>
        <w:ind w:firstLine="640" w:firstLineChars="200"/>
        <w:rPr>
          <w:szCs w:val="32"/>
        </w:rPr>
      </w:pPr>
      <w:r>
        <w:rPr>
          <w:szCs w:val="32"/>
        </w:rPr>
        <w:t>住房保障（类）支出</w:t>
      </w:r>
      <w:r>
        <w:rPr>
          <w:rFonts w:hint="eastAsia"/>
          <w:szCs w:val="32"/>
        </w:rPr>
        <w:t>8.19</w:t>
      </w:r>
      <w:r>
        <w:rPr>
          <w:szCs w:val="32"/>
        </w:rPr>
        <w:t>万元，占</w:t>
      </w:r>
      <w:r>
        <w:rPr>
          <w:rFonts w:hint="eastAsia"/>
          <w:szCs w:val="32"/>
        </w:rPr>
        <w:t>4.84</w:t>
      </w:r>
      <w:r>
        <w:rPr>
          <w:szCs w:val="32"/>
        </w:rPr>
        <w:t>%，主要用于</w:t>
      </w:r>
      <w:r>
        <w:rPr>
          <w:rFonts w:hint="eastAsia"/>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pPr>
        <w:ind w:firstLine="640"/>
        <w:rPr>
          <w:szCs w:val="32"/>
        </w:rPr>
      </w:pPr>
      <w:r>
        <w:rPr>
          <w:szCs w:val="32"/>
        </w:rPr>
        <w:t>20</w:t>
      </w:r>
      <w:r>
        <w:rPr>
          <w:rFonts w:hint="eastAsia"/>
          <w:szCs w:val="32"/>
        </w:rPr>
        <w:t>26</w:t>
      </w:r>
      <w:r>
        <w:rPr>
          <w:szCs w:val="32"/>
        </w:rPr>
        <w:t>年一般公共预算基本支出</w:t>
      </w:r>
      <w:r>
        <w:rPr>
          <w:rFonts w:hint="eastAsia"/>
          <w:szCs w:val="32"/>
        </w:rPr>
        <w:t>118.68</w:t>
      </w:r>
      <w:r>
        <w:rPr>
          <w:szCs w:val="32"/>
        </w:rPr>
        <w:t>万元，其中：</w:t>
      </w:r>
    </w:p>
    <w:p>
      <w:pPr>
        <w:ind w:firstLine="640" w:firstLineChars="200"/>
        <w:rPr>
          <w:kern w:val="0"/>
          <w:szCs w:val="32"/>
        </w:rPr>
      </w:pPr>
      <w:r>
        <w:rPr>
          <w:szCs w:val="32"/>
        </w:rPr>
        <w:t>人员经费</w:t>
      </w:r>
      <w:r>
        <w:rPr>
          <w:rFonts w:hint="eastAsia"/>
          <w:szCs w:val="32"/>
        </w:rPr>
        <w:t>101.74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szCs w:val="32"/>
        </w:rPr>
        <w:t>、</w:t>
      </w:r>
      <w:r>
        <w:rPr>
          <w:kern w:val="0"/>
          <w:szCs w:val="32"/>
        </w:rPr>
        <w:t>其他对个人和家庭的补助。</w:t>
      </w:r>
    </w:p>
    <w:p>
      <w:pPr>
        <w:ind w:firstLine="640" w:firstLineChars="200"/>
        <w:rPr>
          <w:rFonts w:hint="eastAsia" w:eastAsia="黑体"/>
          <w:szCs w:val="30"/>
        </w:rPr>
      </w:pPr>
      <w:r>
        <w:rPr>
          <w:kern w:val="0"/>
          <w:szCs w:val="32"/>
        </w:rPr>
        <w:t>公用经费</w:t>
      </w:r>
      <w:r>
        <w:rPr>
          <w:rFonts w:hint="eastAsia"/>
          <w:szCs w:val="32"/>
        </w:rPr>
        <w:t>16.94</w:t>
      </w:r>
      <w:r>
        <w:rPr>
          <w:szCs w:val="32"/>
        </w:rPr>
        <w:t>万元，主要包括：</w:t>
      </w:r>
      <w:r>
        <w:rPr>
          <w:kern w:val="0"/>
          <w:szCs w:val="32"/>
        </w:rPr>
        <w:t>办公费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rFonts w:hint="eastAsia"/>
          <w:szCs w:val="32"/>
        </w:rPr>
        <w:t>租赁费、</w:t>
      </w:r>
      <w:r>
        <w:rPr>
          <w:kern w:val="0"/>
          <w:szCs w:val="32"/>
        </w:rPr>
        <w:t>公务接待费</w:t>
      </w:r>
      <w:r>
        <w:rPr>
          <w:szCs w:val="32"/>
        </w:rPr>
        <w:t>、</w:t>
      </w:r>
      <w:r>
        <w:rPr>
          <w:kern w:val="0"/>
          <w:szCs w:val="32"/>
        </w:rPr>
        <w:t>工会经费、其他交通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r>
        <w:rPr>
          <w:rFonts w:hint="eastAsia" w:eastAsia="黑体"/>
          <w:szCs w:val="30"/>
        </w:rPr>
        <w:t xml:space="preserve"> </w:t>
      </w:r>
    </w:p>
    <w:p>
      <w:pPr>
        <w:rPr>
          <w:rFonts w:eastAsia="黑体"/>
          <w:szCs w:val="30"/>
        </w:rPr>
      </w:pPr>
      <w:r>
        <w:rPr>
          <w:rFonts w:hint="eastAsia" w:eastAsia="黑体"/>
          <w:szCs w:val="30"/>
          <w:lang w:eastAsia="zh-CN"/>
        </w:rPr>
        <w:t xml:space="preserve">  </w:t>
      </w:r>
      <w:r>
        <w:rPr>
          <w:rFonts w:hint="eastAsia" w:eastAsia="黑体"/>
          <w:szCs w:val="30"/>
        </w:rPr>
        <w:t xml:space="preserve">  </w:t>
      </w: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26</w:t>
      </w:r>
      <w:r>
        <w:rPr>
          <w:szCs w:val="32"/>
        </w:rPr>
        <w:t>年“三公”经费预算数为</w:t>
      </w:r>
      <w:r>
        <w:rPr>
          <w:rFonts w:hint="eastAsia"/>
          <w:szCs w:val="32"/>
        </w:rPr>
        <w:t>0.13</w:t>
      </w:r>
      <w:r>
        <w:rPr>
          <w:szCs w:val="32"/>
        </w:rPr>
        <w:t>万元</w:t>
      </w:r>
      <w:r>
        <w:rPr>
          <w:rFonts w:hint="eastAsia"/>
          <w:szCs w:val="32"/>
        </w:rPr>
        <w:t>。</w:t>
      </w:r>
      <w:r>
        <w:rPr>
          <w:szCs w:val="32"/>
        </w:rPr>
        <w:t>比20</w:t>
      </w:r>
      <w:r>
        <w:rPr>
          <w:rFonts w:hint="eastAsia"/>
          <w:szCs w:val="32"/>
        </w:rPr>
        <w:t>25</w:t>
      </w:r>
      <w:r>
        <w:rPr>
          <w:szCs w:val="32"/>
        </w:rPr>
        <w:t>年预算数增加</w:t>
      </w:r>
      <w:r>
        <w:rPr>
          <w:rFonts w:hint="eastAsia"/>
          <w:szCs w:val="32"/>
        </w:rPr>
        <w:t>0.10</w:t>
      </w:r>
      <w:r>
        <w:rPr>
          <w:szCs w:val="32"/>
        </w:rPr>
        <w:t>万元。其中：</w:t>
      </w:r>
    </w:p>
    <w:p>
      <w:pPr>
        <w:ind w:firstLine="640" w:firstLineChars="200"/>
        <w:rPr>
          <w:szCs w:val="32"/>
        </w:rPr>
      </w:pPr>
      <w:r>
        <w:rPr>
          <w:szCs w:val="32"/>
        </w:rPr>
        <w:t>1.因公出国（境）费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p>
    <w:p>
      <w:pPr>
        <w:ind w:firstLine="640" w:firstLineChars="200"/>
        <w:rPr>
          <w:szCs w:val="32"/>
        </w:rPr>
      </w:pPr>
      <w:r>
        <w:rPr>
          <w:szCs w:val="32"/>
        </w:rPr>
        <w:t>2.公务接待费</w:t>
      </w:r>
      <w:r>
        <w:rPr>
          <w:rFonts w:hint="eastAsia"/>
          <w:szCs w:val="32"/>
        </w:rPr>
        <w:t>0.13</w:t>
      </w:r>
      <w:r>
        <w:rPr>
          <w:szCs w:val="32"/>
        </w:rPr>
        <w:t>万元</w:t>
      </w:r>
      <w:r>
        <w:rPr>
          <w:rFonts w:hint="eastAsia"/>
          <w:szCs w:val="32"/>
        </w:rPr>
        <w:t>，</w:t>
      </w:r>
      <w:r>
        <w:rPr>
          <w:szCs w:val="32"/>
        </w:rPr>
        <w:t>比20</w:t>
      </w:r>
      <w:r>
        <w:rPr>
          <w:rFonts w:hint="eastAsia"/>
          <w:szCs w:val="32"/>
        </w:rPr>
        <w:t>25</w:t>
      </w:r>
      <w:r>
        <w:rPr>
          <w:szCs w:val="32"/>
        </w:rPr>
        <w:t>年预算数增加</w:t>
      </w:r>
      <w:r>
        <w:rPr>
          <w:rFonts w:hint="eastAsia"/>
          <w:szCs w:val="32"/>
        </w:rPr>
        <w:t>0.10</w:t>
      </w:r>
      <w:r>
        <w:rPr>
          <w:szCs w:val="32"/>
        </w:rPr>
        <w:t>万元，主要原因是</w:t>
      </w:r>
      <w:r>
        <w:rPr>
          <w:rFonts w:hint="eastAsia"/>
          <w:szCs w:val="32"/>
        </w:rPr>
        <w:t>上年度根据工作需要主动调减了公务接待费预算，2026年恢复正常。</w:t>
      </w:r>
    </w:p>
    <w:p>
      <w:pPr>
        <w:ind w:firstLine="640" w:firstLineChars="200"/>
        <w:rPr>
          <w:szCs w:val="32"/>
        </w:rPr>
      </w:pPr>
      <w:r>
        <w:rPr>
          <w:szCs w:val="32"/>
        </w:rPr>
        <w:t>3.公务用车购置及运行</w:t>
      </w:r>
      <w:r>
        <w:rPr>
          <w:rFonts w:hint="eastAsia"/>
          <w:szCs w:val="32"/>
        </w:rPr>
        <w:t>维护</w:t>
      </w:r>
      <w:r>
        <w:rPr>
          <w:szCs w:val="32"/>
        </w:rPr>
        <w:t>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r>
        <w:rPr>
          <w:rFonts w:hint="eastAsia"/>
          <w:szCs w:val="32"/>
        </w:rPr>
        <w:t xml:space="preserve">         </w:t>
      </w:r>
    </w:p>
    <w:p>
      <w:pPr>
        <w:rPr>
          <w:rFonts w:eastAsia="黑体"/>
          <w:szCs w:val="32"/>
        </w:rPr>
      </w:pPr>
      <w:r>
        <w:rPr>
          <w:rFonts w:hint="eastAsia" w:eastAsia="黑体"/>
          <w:szCs w:val="32"/>
        </w:rPr>
        <w:t xml:space="preserve">    </w:t>
      </w:r>
      <w:r>
        <w:rPr>
          <w:rFonts w:eastAsia="黑体"/>
          <w:szCs w:val="32"/>
        </w:rPr>
        <w:t>八、20</w:t>
      </w:r>
      <w:r>
        <w:rPr>
          <w:rFonts w:hint="eastAsia" w:eastAsia="黑体"/>
          <w:szCs w:val="32"/>
        </w:rPr>
        <w:t>26</w:t>
      </w:r>
      <w:r>
        <w:rPr>
          <w:rFonts w:eastAsia="黑体"/>
          <w:szCs w:val="32"/>
        </w:rPr>
        <w:t>年政府性基金预算支出情况</w:t>
      </w:r>
    </w:p>
    <w:p>
      <w:pPr>
        <w:ind w:firstLine="640" w:firstLineChars="200"/>
        <w:rPr>
          <w:szCs w:val="32"/>
        </w:rPr>
      </w:pPr>
      <w:r>
        <w:rPr>
          <w:rFonts w:hint="eastAsia"/>
          <w:szCs w:val="32"/>
        </w:rPr>
        <w:t>本单位无政府性基金预算拨款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pPr>
        <w:spacing w:line="540" w:lineRule="exact"/>
        <w:ind w:firstLine="640" w:firstLineChars="200"/>
        <w:rPr>
          <w:szCs w:val="32"/>
        </w:rPr>
      </w:pPr>
      <w:r>
        <w:rPr>
          <w:rFonts w:hint="eastAsia"/>
          <w:szCs w:val="32"/>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26</w:t>
      </w:r>
      <w:r>
        <w:rPr>
          <w:szCs w:val="32"/>
        </w:rPr>
        <w:t>年</w:t>
      </w:r>
      <w:r>
        <w:rPr>
          <w:rFonts w:hint="eastAsia"/>
          <w:szCs w:val="32"/>
        </w:rPr>
        <w:t>本单位1</w:t>
      </w:r>
      <w:r>
        <w:rPr>
          <w:szCs w:val="32"/>
        </w:rPr>
        <w:t>家行政单位的机关运行经费财政拨款预算</w:t>
      </w:r>
      <w:r>
        <w:rPr>
          <w:rFonts w:hint="eastAsia"/>
          <w:szCs w:val="32"/>
        </w:rPr>
        <w:t>16.94</w:t>
      </w:r>
      <w:r>
        <w:rPr>
          <w:szCs w:val="32"/>
        </w:rPr>
        <w:t>万元，比20</w:t>
      </w:r>
      <w:r>
        <w:rPr>
          <w:rFonts w:hint="eastAsia"/>
          <w:szCs w:val="32"/>
        </w:rPr>
        <w:t>25</w:t>
      </w:r>
      <w:r>
        <w:rPr>
          <w:szCs w:val="32"/>
        </w:rPr>
        <w:t>年预算增加</w:t>
      </w:r>
      <w:r>
        <w:rPr>
          <w:rFonts w:hint="eastAsia"/>
          <w:szCs w:val="32"/>
        </w:rPr>
        <w:t>2.83</w:t>
      </w:r>
      <w:r>
        <w:rPr>
          <w:szCs w:val="32"/>
        </w:rPr>
        <w:t>万元，增长</w:t>
      </w:r>
      <w:r>
        <w:rPr>
          <w:rFonts w:hint="eastAsia"/>
          <w:szCs w:val="32"/>
        </w:rPr>
        <w:t>16.71</w:t>
      </w:r>
      <w:r>
        <w:rPr>
          <w:szCs w:val="32"/>
        </w:rPr>
        <w:t>%</w:t>
      </w:r>
      <w:r>
        <w:rPr>
          <w:rFonts w:hint="eastAsia"/>
          <w:szCs w:val="32"/>
        </w:rPr>
        <w:t>，主要原因是本年度新增公务员1名，财政核定公用经费增加，所以机关运行经费增加</w:t>
      </w:r>
      <w:r>
        <w:rPr>
          <w:szCs w:val="32"/>
        </w:rPr>
        <w:t>。</w:t>
      </w:r>
    </w:p>
    <w:p>
      <w:pPr>
        <w:spacing w:line="540" w:lineRule="exact"/>
        <w:ind w:firstLine="640" w:firstLineChars="200"/>
        <w:rPr>
          <w:rFonts w:eastAsia="楷体"/>
          <w:szCs w:val="32"/>
        </w:rPr>
      </w:pPr>
      <w:r>
        <w:rPr>
          <w:rFonts w:eastAsia="楷体"/>
          <w:szCs w:val="32"/>
        </w:rPr>
        <w:t>（二）政府采购情况</w:t>
      </w:r>
    </w:p>
    <w:p>
      <w:pPr>
        <w:ind w:firstLine="640" w:firstLineChars="200"/>
        <w:rPr>
          <w:rFonts w:eastAsia="楷体"/>
          <w:szCs w:val="32"/>
        </w:rPr>
      </w:pPr>
      <w:r>
        <w:rPr>
          <w:rFonts w:hint="eastAsia"/>
          <w:szCs w:val="32"/>
        </w:rPr>
        <w:t>本单位无政府采购</w:t>
      </w:r>
      <w:r>
        <w:rPr>
          <w:rFonts w:hint="eastAsia" w:eastAsia="楷体"/>
          <w:szCs w:val="32"/>
        </w:rPr>
        <w:t>。</w:t>
      </w:r>
    </w:p>
    <w:p>
      <w:pPr>
        <w:spacing w:line="540" w:lineRule="exact"/>
        <w:ind w:firstLine="640" w:firstLineChars="200"/>
        <w:rPr>
          <w:rFonts w:eastAsia="楷体"/>
          <w:szCs w:val="32"/>
        </w:rPr>
      </w:pPr>
      <w:r>
        <w:rPr>
          <w:rFonts w:eastAsia="楷体"/>
          <w:szCs w:val="32"/>
        </w:rPr>
        <w:t>（三）国有资产占有使用情况</w:t>
      </w:r>
    </w:p>
    <w:p>
      <w:pPr>
        <w:ind w:firstLine="640"/>
        <w:rPr>
          <w:szCs w:val="32"/>
        </w:rPr>
      </w:pPr>
      <w:r>
        <w:rPr>
          <w:rFonts w:hint="eastAsia"/>
          <w:szCs w:val="32"/>
        </w:rPr>
        <w:t xml:space="preserve"> 本单位无国有资产占有使用。</w:t>
      </w:r>
    </w:p>
    <w:p>
      <w:pPr>
        <w:numPr>
          <w:ilvl w:val="0"/>
          <w:numId w:val="1"/>
        </w:numPr>
        <w:spacing w:line="540" w:lineRule="exact"/>
        <w:ind w:firstLine="640" w:firstLineChars="200"/>
        <w:rPr>
          <w:rFonts w:eastAsia="楷体"/>
          <w:szCs w:val="32"/>
        </w:rPr>
      </w:pPr>
      <w:r>
        <w:rPr>
          <w:rFonts w:hint="eastAsia" w:eastAsia="楷体"/>
          <w:szCs w:val="32"/>
        </w:rPr>
        <w:t>项目支出情况说明</w:t>
      </w:r>
    </w:p>
    <w:p>
      <w:pPr>
        <w:spacing w:line="540" w:lineRule="exact"/>
        <w:ind w:firstLine="640" w:firstLineChars="200"/>
      </w:pPr>
      <w:r>
        <w:t>202</w:t>
      </w:r>
      <w:r>
        <w:rPr>
          <w:rFonts w:hint="eastAsia"/>
        </w:rPr>
        <w:t>6</w:t>
      </w:r>
      <w:r>
        <w:t>年</w:t>
      </w:r>
      <w:r>
        <w:rPr>
          <w:rFonts w:hint="eastAsia"/>
        </w:rPr>
        <w:t>单位</w:t>
      </w:r>
      <w:r>
        <w:t>项目支出</w:t>
      </w:r>
      <w:r>
        <w:rPr>
          <w:rFonts w:hint="eastAsia"/>
          <w:szCs w:val="32"/>
        </w:rPr>
        <w:t>116.37</w:t>
      </w:r>
      <w:r>
        <w:rPr>
          <w:szCs w:val="32"/>
        </w:rPr>
        <w:t>万元，其中：一级项目</w:t>
      </w:r>
      <w:r>
        <w:rPr>
          <w:rFonts w:hint="eastAsia"/>
          <w:szCs w:val="32"/>
        </w:rPr>
        <w:t>3</w:t>
      </w:r>
      <w:r>
        <w:rPr>
          <w:szCs w:val="32"/>
        </w:rPr>
        <w:t>个，二级项目</w:t>
      </w:r>
      <w:r>
        <w:rPr>
          <w:rFonts w:hint="eastAsia"/>
          <w:szCs w:val="32"/>
        </w:rPr>
        <w:t>3</w:t>
      </w:r>
      <w:r>
        <w:rPr>
          <w:szCs w:val="32"/>
        </w:rPr>
        <w:t>个；使用</w:t>
      </w:r>
      <w:r>
        <w:rPr>
          <w:rFonts w:hint="eastAsia"/>
          <w:szCs w:val="32"/>
        </w:rPr>
        <w:t>本年拨款116.37</w:t>
      </w:r>
      <w:r>
        <w:rPr>
          <w:szCs w:val="32"/>
        </w:rPr>
        <w:t>万元，</w:t>
      </w:r>
      <w:r>
        <w:rPr>
          <w:rFonts w:hint="eastAsia"/>
          <w:szCs w:val="32"/>
        </w:rPr>
        <w:t>财政拨款结转0</w:t>
      </w:r>
      <w:r>
        <w:rPr>
          <w:szCs w:val="32"/>
        </w:rPr>
        <w:t>万元</w:t>
      </w:r>
      <w:r>
        <w:rPr>
          <w:rFonts w:hint="eastAsia"/>
          <w:szCs w:val="32"/>
        </w:rPr>
        <w:t>，使用单位资金65.70万元，非财政拨款结转0万元。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按照全面实施预算绩效管理的要求，结合本单位职能和重点工作，2026年将</w:t>
      </w:r>
      <w:r>
        <w:rPr>
          <w:rFonts w:hint="eastAsia"/>
          <w:szCs w:val="32"/>
        </w:rPr>
        <w:t>3</w:t>
      </w:r>
      <w:r>
        <w:rPr>
          <w:rFonts w:hint="eastAsia" w:ascii="宋体" w:hAnsi="宋体"/>
        </w:rPr>
        <w:t>个项目支出的绩效目标和指标向社会公开，涉及金额</w:t>
      </w:r>
      <w:r>
        <w:rPr>
          <w:rFonts w:hint="eastAsia"/>
          <w:szCs w:val="32"/>
        </w:rPr>
        <w:t>116.37</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rPr>
          <w:szCs w:val="32"/>
        </w:rPr>
      </w:pPr>
      <w:bookmarkStart w:id="0" w:name="_GoBack"/>
      <w:bookmarkEnd w:id="0"/>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headerReference r:id="rId5" w:type="first"/>
      <w:headerReference r:id="rId4" w:type="default"/>
      <w:footerReference r:id="rId6" w:type="default"/>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rPr>
        <w:rStyle w:val="10"/>
      </w:rPr>
    </w:pPr>
  </w:p>
  <w:p>
    <w:pPr>
      <w:pStyle w:val="6"/>
      <w:tabs>
        <w:tab w:val="left" w:pos="51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2321409">
    <w:nsid w:val="601A1281"/>
    <w:multiLevelType w:val="singleLevel"/>
    <w:tmpl w:val="601A1281"/>
    <w:lvl w:ilvl="0" w:tentative="1">
      <w:start w:val="4"/>
      <w:numFmt w:val="chineseCounting"/>
      <w:suff w:val="nothing"/>
      <w:lvlText w:val="（%1）"/>
      <w:lvlJc w:val="left"/>
    </w:lvl>
  </w:abstractNum>
  <w:num w:numId="1">
    <w:abstractNumId w:val="16123214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109"/>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unhideWhenUsed/>
    <w:uiPriority w:val="1"/>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74"/>
    <w:uiPriority w:val="0"/>
    <w:rPr>
      <w:sz w:val="18"/>
      <w:szCs w:val="18"/>
    </w:rPr>
  </w:style>
  <w:style w:type="paragraph" w:styleId="6">
    <w:name w:val="footer"/>
    <w:basedOn w:val="1"/>
    <w:link w:val="75"/>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uiPriority w:val="0"/>
    <w:rPr/>
  </w:style>
  <w:style w:type="paragraph" w:customStyle="1" w:styleId="11">
    <w:name w:val="页脚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12">
    <w:name w:val="页脚 New New New New New New New"/>
    <w:basedOn w:val="1"/>
    <w:uiPriority w:val="0"/>
    <w:pPr>
      <w:tabs>
        <w:tab w:val="center" w:pos="4153"/>
        <w:tab w:val="right" w:pos="8306"/>
      </w:tabs>
      <w:snapToGrid w:val="0"/>
      <w:jc w:val="left"/>
    </w:pPr>
    <w:rPr>
      <w:sz w:val="18"/>
    </w:rPr>
  </w:style>
  <w:style w:type="paragraph" w:customStyle="1" w:styleId="13">
    <w:name w:val="页脚 New New New New New New"/>
    <w:basedOn w:val="1"/>
    <w:uiPriority w:val="0"/>
    <w:pPr>
      <w:tabs>
        <w:tab w:val="center" w:pos="4153"/>
        <w:tab w:val="right" w:pos="8306"/>
      </w:tabs>
      <w:snapToGrid w:val="0"/>
      <w:jc w:val="left"/>
    </w:pPr>
    <w:rPr>
      <w:sz w:val="18"/>
    </w:rPr>
  </w:style>
  <w:style w:type="paragraph" w:customStyle="1" w:styleId="14">
    <w:name w:val="页脚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15">
    <w:name w:val="页脚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16">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7">
    <w:name w:val="页脚 New New New New New New New New New New New"/>
    <w:basedOn w:val="1"/>
    <w:uiPriority w:val="0"/>
    <w:pPr>
      <w:tabs>
        <w:tab w:val="center" w:pos="4153"/>
        <w:tab w:val="right" w:pos="8306"/>
      </w:tabs>
      <w:snapToGrid w:val="0"/>
      <w:jc w:val="left"/>
    </w:pPr>
    <w:rPr>
      <w:sz w:val="18"/>
    </w:rPr>
  </w:style>
  <w:style w:type="paragraph" w:customStyle="1" w:styleId="18">
    <w:name w:val="p0"/>
    <w:basedOn w:val="1"/>
    <w:uiPriority w:val="0"/>
    <w:pPr>
      <w:widowControl/>
    </w:pPr>
    <w:rPr>
      <w:rFonts w:eastAsia="宋体"/>
      <w:kern w:val="0"/>
      <w:szCs w:val="32"/>
    </w:rPr>
  </w:style>
  <w:style w:type="paragraph" w:customStyle="1" w:styleId="19">
    <w:name w:val="页脚 New New New New New New New New New New New New New New"/>
    <w:basedOn w:val="1"/>
    <w:uiPriority w:val="0"/>
    <w:pPr>
      <w:tabs>
        <w:tab w:val="center" w:pos="4153"/>
        <w:tab w:val="right" w:pos="8306"/>
      </w:tabs>
      <w:snapToGrid w:val="0"/>
      <w:jc w:val="left"/>
    </w:pPr>
    <w:rPr>
      <w:sz w:val="18"/>
    </w:rPr>
  </w:style>
  <w:style w:type="paragraph" w:customStyle="1" w:styleId="20">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22">
    <w:name w:val="页脚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23">
    <w:name w:val="页脚 New New"/>
    <w:basedOn w:val="1"/>
    <w:uiPriority w:val="0"/>
    <w:pPr>
      <w:tabs>
        <w:tab w:val="center" w:pos="4153"/>
        <w:tab w:val="right" w:pos="8306"/>
      </w:tabs>
      <w:snapToGrid w:val="0"/>
      <w:jc w:val="left"/>
    </w:pPr>
    <w:rPr>
      <w:sz w:val="18"/>
    </w:rPr>
  </w:style>
  <w:style w:type="paragraph" w:customStyle="1" w:styleId="24">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w:basedOn w:val="1"/>
    <w:uiPriority w:val="0"/>
    <w:pPr>
      <w:tabs>
        <w:tab w:val="center" w:pos="4153"/>
        <w:tab w:val="right" w:pos="8306"/>
      </w:tabs>
      <w:snapToGrid w:val="0"/>
      <w:jc w:val="left"/>
    </w:pPr>
    <w:rPr>
      <w:sz w:val="18"/>
    </w:rPr>
  </w:style>
  <w:style w:type="paragraph" w:customStyle="1" w:styleId="30">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33">
    <w:name w:val="页脚 New New New New New New New New New New New New New New New"/>
    <w:basedOn w:val="1"/>
    <w:uiPriority w:val="0"/>
    <w:pPr>
      <w:tabs>
        <w:tab w:val="center" w:pos="4153"/>
        <w:tab w:val="right" w:pos="8306"/>
      </w:tabs>
      <w:snapToGrid w:val="0"/>
      <w:jc w:val="left"/>
    </w:pPr>
    <w:rPr>
      <w:sz w:val="18"/>
    </w:rPr>
  </w:style>
  <w:style w:type="paragraph" w:customStyle="1" w:styleId="34">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w:basedOn w:val="1"/>
    <w:uiPriority w:val="0"/>
    <w:pPr>
      <w:tabs>
        <w:tab w:val="center" w:pos="4153"/>
        <w:tab w:val="right" w:pos="8306"/>
      </w:tabs>
      <w:snapToGrid w:val="0"/>
      <w:jc w:val="left"/>
    </w:pPr>
    <w:rPr>
      <w:sz w:val="18"/>
    </w:rPr>
  </w:style>
  <w:style w:type="paragraph" w:customStyle="1" w:styleId="36">
    <w:name w:val="页脚 New New New New New New New New New New"/>
    <w:basedOn w:val="1"/>
    <w:uiPriority w:val="0"/>
    <w:pPr>
      <w:tabs>
        <w:tab w:val="center" w:pos="4153"/>
        <w:tab w:val="right" w:pos="8306"/>
      </w:tabs>
      <w:snapToGrid w:val="0"/>
      <w:jc w:val="left"/>
    </w:pPr>
    <w:rPr>
      <w:sz w:val="18"/>
    </w:rPr>
  </w:style>
  <w:style w:type="paragraph" w:customStyle="1" w:styleId="37">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正文文本 21"/>
    <w:basedOn w:val="1"/>
    <w:uiPriority w:val="0"/>
    <w:pPr>
      <w:adjustRightInd w:val="0"/>
      <w:ind w:firstLine="630"/>
      <w:jc w:val="left"/>
      <w:textAlignment w:val="baseline"/>
    </w:pPr>
    <w:rPr>
      <w:rFonts w:eastAsia="黑体"/>
    </w:rPr>
  </w:style>
  <w:style w:type="paragraph" w:customStyle="1" w:styleId="42">
    <w:name w:val="页脚 New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3">
    <w:name w:val="页脚 New New New New New"/>
    <w:basedOn w:val="1"/>
    <w:uiPriority w:val="0"/>
    <w:pPr>
      <w:tabs>
        <w:tab w:val="center" w:pos="4153"/>
        <w:tab w:val="right" w:pos="8306"/>
      </w:tabs>
      <w:snapToGrid w:val="0"/>
      <w:jc w:val="left"/>
    </w:pPr>
    <w:rPr>
      <w:sz w:val="18"/>
    </w:rPr>
  </w:style>
  <w:style w:type="paragraph" w:customStyle="1" w:styleId="44">
    <w:name w:val="页脚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5">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6">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8">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w:basedOn w:val="1"/>
    <w:uiPriority w:val="0"/>
    <w:pPr>
      <w:tabs>
        <w:tab w:val="center" w:pos="4153"/>
        <w:tab w:val="right" w:pos="8306"/>
      </w:tabs>
      <w:snapToGrid w:val="0"/>
      <w:jc w:val="left"/>
    </w:pPr>
    <w:rPr>
      <w:sz w:val="18"/>
    </w:rPr>
  </w:style>
  <w:style w:type="paragraph" w:customStyle="1" w:styleId="50">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2">
    <w:name w:val="页脚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3">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脚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5">
    <w:name w:val="页脚 New New New New New New New New New"/>
    <w:basedOn w:val="1"/>
    <w:uiPriority w:val="0"/>
    <w:pPr>
      <w:tabs>
        <w:tab w:val="center" w:pos="4153"/>
        <w:tab w:val="right" w:pos="8306"/>
      </w:tabs>
      <w:snapToGrid w:val="0"/>
      <w:jc w:val="left"/>
    </w:pPr>
    <w:rPr>
      <w:sz w:val="18"/>
    </w:rPr>
  </w:style>
  <w:style w:type="paragraph" w:customStyle="1" w:styleId="56">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w:basedOn w:val="1"/>
    <w:uiPriority w:val="0"/>
    <w:pPr>
      <w:tabs>
        <w:tab w:val="center" w:pos="4153"/>
        <w:tab w:val="right" w:pos="8306"/>
      </w:tabs>
      <w:snapToGrid w:val="0"/>
      <w:jc w:val="left"/>
    </w:pPr>
    <w:rPr>
      <w:sz w:val="18"/>
    </w:rPr>
  </w:style>
  <w:style w:type="paragraph" w:customStyle="1" w:styleId="58">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w:basedOn w:val="1"/>
    <w:uiPriority w:val="0"/>
    <w:pPr>
      <w:tabs>
        <w:tab w:val="center" w:pos="4153"/>
        <w:tab w:val="right" w:pos="8306"/>
      </w:tabs>
      <w:snapToGrid w:val="0"/>
      <w:jc w:val="left"/>
    </w:pPr>
    <w:rPr>
      <w:sz w:val="18"/>
    </w:rPr>
  </w:style>
  <w:style w:type="paragraph" w:customStyle="1" w:styleId="61">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Char"/>
    <w:basedOn w:val="1"/>
    <w:uiPriority w:val="0"/>
    <w:rPr>
      <w:rFonts w:eastAsia="宋体"/>
      <w:sz w:val="21"/>
      <w:szCs w:val="21"/>
    </w:rPr>
  </w:style>
  <w:style w:type="paragraph" w:customStyle="1" w:styleId="63">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w:basedOn w:val="1"/>
    <w:uiPriority w:val="0"/>
    <w:pPr>
      <w:tabs>
        <w:tab w:val="center" w:pos="4153"/>
        <w:tab w:val="right" w:pos="8306"/>
      </w:tabs>
      <w:snapToGrid w:val="0"/>
      <w:jc w:val="left"/>
    </w:pPr>
    <w:rPr>
      <w:sz w:val="18"/>
    </w:rPr>
  </w:style>
  <w:style w:type="paragraph" w:customStyle="1" w:styleId="66">
    <w:name w:val="页脚 New New New New"/>
    <w:basedOn w:val="1"/>
    <w:uiPriority w:val="0"/>
    <w:pPr>
      <w:tabs>
        <w:tab w:val="center" w:pos="4153"/>
        <w:tab w:val="right" w:pos="8306"/>
      </w:tabs>
      <w:snapToGrid w:val="0"/>
      <w:jc w:val="left"/>
    </w:pPr>
    <w:rPr>
      <w:sz w:val="18"/>
    </w:rPr>
  </w:style>
  <w:style w:type="paragraph" w:customStyle="1" w:styleId="67">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69">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w:basedOn w:val="1"/>
    <w:uiPriority w:val="0"/>
    <w:pPr>
      <w:tabs>
        <w:tab w:val="center" w:pos="4153"/>
        <w:tab w:val="right" w:pos="8306"/>
      </w:tabs>
      <w:snapToGrid w:val="0"/>
      <w:jc w:val="left"/>
    </w:pPr>
    <w:rPr>
      <w:sz w:val="18"/>
    </w:rPr>
  </w:style>
  <w:style w:type="character" w:customStyle="1" w:styleId="74">
    <w:name w:val="批注框文本 Char Char"/>
    <w:link w:val="5"/>
    <w:uiPriority w:val="0"/>
    <w:rPr>
      <w:rFonts w:eastAsia="仿宋_GB2312"/>
      <w:kern w:val="2"/>
      <w:sz w:val="18"/>
      <w:szCs w:val="18"/>
    </w:rPr>
  </w:style>
  <w:style w:type="character" w:customStyle="1" w:styleId="75">
    <w:name w:val="页脚 Char Char"/>
    <w:link w:val="6"/>
    <w:uiPriority w:val="0"/>
    <w:rPr>
      <w:rFonts w:eastAsia="仿宋_GB2312"/>
      <w:kern w:val="2"/>
      <w:sz w:val="18"/>
    </w:rPr>
  </w:style>
  <w:style w:type="character" w:customStyle="1" w:styleId="76">
    <w:name w:val="font61"/>
    <w:uiPriority w:val="0"/>
    <w:rPr>
      <w:rFonts w:hint="eastAsia" w:ascii="宋体" w:hAnsi="宋体" w:eastAsia="宋体" w:cs="宋体"/>
      <w:color w:val="000000"/>
      <w:sz w:val="24"/>
      <w:szCs w:val="24"/>
      <w:u w:val="none"/>
    </w:rPr>
  </w:style>
  <w:style w:type="character" w:customStyle="1" w:styleId="77">
    <w:name w:val="font41"/>
    <w:uiPriority w:val="0"/>
    <w:rPr>
      <w:rFonts w:hint="default" w:ascii="华文细黑" w:hAnsi="华文细黑" w:eastAsia="华文细黑" w:cs="华文细黑"/>
      <w:color w:val="000000"/>
      <w:sz w:val="20"/>
      <w:szCs w:val="20"/>
      <w:u w:val="none"/>
    </w:rPr>
  </w:style>
  <w:style w:type="character" w:customStyle="1" w:styleId="78">
    <w:name w:val="font21"/>
    <w:uiPriority w:val="0"/>
    <w:rPr>
      <w:rFonts w:hint="default" w:ascii="Arial" w:hAnsi="Arial" w:cs="Arial"/>
      <w:color w:val="000000"/>
      <w:sz w:val="20"/>
      <w:szCs w:val="20"/>
      <w:u w:val="none"/>
    </w:rPr>
  </w:style>
  <w:style w:type="character" w:customStyle="1" w:styleId="79">
    <w:name w:val="font01"/>
    <w:uiPriority w:val="0"/>
    <w:rPr>
      <w:rFonts w:hint="default" w:ascii="Times New Roman" w:hAnsi="Times New Roman" w:cs="Times New Roman"/>
      <w:color w:val="000000"/>
      <w:sz w:val="24"/>
      <w:szCs w:val="24"/>
      <w:u w:val="none"/>
    </w:rPr>
  </w:style>
  <w:style w:type="character" w:customStyle="1" w:styleId="80">
    <w:name w:val="font11"/>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1482</Words>
  <Characters>7481</Characters>
  <Lines>70</Lines>
  <Paragraphs>19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2022-02-21T17:24:00Z</dcterms:created>
  <dc:creator>Administrator</dc:creator>
  <cp:lastModifiedBy>Administrator</cp:lastModifiedBy>
  <cp:lastPrinted>2026-02-27T08:43:00Z</cp:lastPrinted>
  <dcterms:modified xsi:type="dcterms:W3CDTF">2026-02-28T08:40:31Z</dcterms:modified>
  <dc:title>主  持  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