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镇赉县统计局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755" w:firstLineChars="236"/>
        <w:rPr>
          <w:rFonts w:hint="eastAsia" w:ascii="仿宋" w:hAnsi="仿宋" w:eastAsia="仿宋"/>
          <w:szCs w:val="32"/>
        </w:rPr>
      </w:pPr>
      <w:r>
        <w:rPr>
          <w:rFonts w:hint="eastAsia" w:ascii="仿宋" w:hAnsi="仿宋" w:eastAsia="仿宋"/>
          <w:szCs w:val="32"/>
        </w:rPr>
        <w:t>1、贯彻执行国家统计方针、政策及法律法规，监督检查统计法律法规的实施。</w:t>
      </w:r>
    </w:p>
    <w:p>
      <w:pPr>
        <w:ind w:firstLine="755" w:firstLineChars="236"/>
        <w:rPr>
          <w:rFonts w:hint="eastAsia" w:ascii="仿宋" w:hAnsi="仿宋" w:eastAsia="仿宋"/>
          <w:szCs w:val="32"/>
        </w:rPr>
      </w:pPr>
      <w:r>
        <w:rPr>
          <w:rFonts w:hint="eastAsia" w:ascii="仿宋" w:hAnsi="仿宋" w:eastAsia="仿宋"/>
          <w:szCs w:val="32"/>
        </w:rPr>
        <w:t>2、贯彻执行全省统一的基本报表制度和统计标准；编制提供全县国民经济核算资料。</w:t>
      </w:r>
    </w:p>
    <w:p>
      <w:pPr>
        <w:ind w:firstLine="755" w:firstLineChars="236"/>
        <w:rPr>
          <w:rFonts w:hint="eastAsia" w:ascii="仿宋" w:hAnsi="仿宋" w:eastAsia="仿宋"/>
          <w:szCs w:val="32"/>
        </w:rPr>
      </w:pPr>
      <w:r>
        <w:rPr>
          <w:rFonts w:hint="eastAsia" w:ascii="仿宋" w:hAnsi="仿宋" w:eastAsia="仿宋"/>
          <w:szCs w:val="32"/>
        </w:rPr>
        <w:t>3、组织实施重大县情县力计划；统一组织协调全县社会经济统计调查；汇总、整理全县基本统计资料；对国民经济、科技进步和社会发展等情况进行统计分析；向县委、县政府提供统计信息和咨询建议。</w:t>
      </w:r>
    </w:p>
    <w:p>
      <w:pPr>
        <w:ind w:firstLine="755" w:firstLineChars="236"/>
        <w:rPr>
          <w:rFonts w:hint="eastAsia" w:ascii="仿宋" w:hAnsi="仿宋" w:eastAsia="仿宋"/>
          <w:szCs w:val="32"/>
        </w:rPr>
      </w:pPr>
      <w:r>
        <w:rPr>
          <w:rFonts w:hint="eastAsia" w:ascii="仿宋" w:hAnsi="仿宋" w:eastAsia="仿宋"/>
          <w:szCs w:val="32"/>
        </w:rPr>
        <w:t>4、统一核定、管理、公布全县基本统计资料，定期向社会公布全县国民经济和社会发展的统计信息。</w:t>
      </w:r>
    </w:p>
    <w:p>
      <w:pPr>
        <w:ind w:firstLine="755" w:firstLineChars="236"/>
        <w:rPr>
          <w:rFonts w:hint="eastAsia" w:ascii="仿宋" w:hAnsi="仿宋" w:eastAsia="仿宋"/>
          <w:szCs w:val="32"/>
        </w:rPr>
      </w:pPr>
      <w:r>
        <w:rPr>
          <w:rFonts w:hint="eastAsia" w:ascii="仿宋" w:hAnsi="仿宋" w:eastAsia="仿宋"/>
          <w:szCs w:val="32"/>
        </w:rPr>
        <w:t>5、建立完善和管理全县统计信息自动化系统和全县统计数据库体系。</w:t>
      </w:r>
    </w:p>
    <w:p>
      <w:pPr>
        <w:ind w:firstLine="755" w:firstLineChars="236"/>
        <w:rPr>
          <w:rFonts w:hint="eastAsia" w:ascii="仿宋" w:hAnsi="仿宋" w:eastAsia="仿宋"/>
          <w:szCs w:val="32"/>
        </w:rPr>
      </w:pPr>
      <w:r>
        <w:rPr>
          <w:rFonts w:hint="eastAsia" w:ascii="仿宋" w:hAnsi="仿宋" w:eastAsia="仿宋"/>
          <w:szCs w:val="32"/>
        </w:rPr>
        <w:t>6、承办上级</w:t>
      </w:r>
      <w:r>
        <w:rPr>
          <w:rFonts w:hint="eastAsia" w:ascii="仿宋" w:hAnsi="仿宋" w:eastAsia="仿宋"/>
          <w:szCs w:val="32"/>
          <w:lang w:eastAsia="zh-CN"/>
        </w:rPr>
        <w:t>单位</w:t>
      </w:r>
      <w:r>
        <w:rPr>
          <w:rFonts w:hint="eastAsia" w:ascii="仿宋" w:hAnsi="仿宋" w:eastAsia="仿宋"/>
          <w:szCs w:val="32"/>
        </w:rPr>
        <w:t>和镇赉县政府交办的其它事项。</w:t>
      </w:r>
    </w:p>
    <w:p>
      <w:pPr>
        <w:ind w:firstLine="640" w:firstLineChars="200"/>
      </w:pPr>
      <w:r>
        <w:rPr>
          <w:rFonts w:eastAsia="楷体_GB2312"/>
        </w:rPr>
        <w:t>二、机构设置</w:t>
      </w:r>
    </w:p>
    <w:p>
      <w:pPr>
        <w:pStyle w:val="27"/>
        <w:ind w:firstLine="640" w:firstLineChars="200"/>
        <w:rPr>
          <w:rFonts w:hint="eastAsia" w:ascii="仿宋" w:hAnsi="仿宋" w:eastAsia="仿宋"/>
          <w:lang w:eastAsia="zh-CN"/>
        </w:rPr>
      </w:pPr>
      <w:r>
        <w:rPr>
          <w:rFonts w:ascii="仿宋" w:hAnsi="仿宋" w:eastAsia="仿宋"/>
        </w:rPr>
        <w:t>根据上述职责，</w:t>
      </w:r>
      <w:r>
        <w:rPr>
          <w:rFonts w:hint="eastAsia" w:ascii="仿宋" w:hAnsi="仿宋" w:eastAsia="仿宋"/>
        </w:rPr>
        <w:t>镇赉县统计局</w:t>
      </w:r>
      <w:r>
        <w:rPr>
          <w:rFonts w:ascii="仿宋" w:hAnsi="仿宋" w:eastAsia="仿宋"/>
        </w:rPr>
        <w:t>内设</w:t>
      </w:r>
      <w:r>
        <w:rPr>
          <w:rFonts w:hint="eastAsia" w:ascii="仿宋" w:hAnsi="仿宋" w:eastAsia="仿宋"/>
        </w:rPr>
        <w:t>2</w:t>
      </w:r>
      <w:r>
        <w:rPr>
          <w:rFonts w:ascii="仿宋" w:hAnsi="仿宋" w:eastAsia="仿宋"/>
        </w:rPr>
        <w:t>个机构，分别为</w:t>
      </w:r>
      <w:r>
        <w:rPr>
          <w:rFonts w:hint="eastAsia" w:ascii="仿宋" w:hAnsi="仿宋" w:eastAsia="仿宋"/>
        </w:rPr>
        <w:t>综合科，社会经济统计科</w:t>
      </w:r>
      <w:r>
        <w:rPr>
          <w:rFonts w:ascii="仿宋" w:hAnsi="仿宋" w:eastAsia="仿宋"/>
        </w:rPr>
        <w:t>。</w:t>
      </w:r>
      <w:r>
        <w:rPr>
          <w:rFonts w:hint="eastAsia" w:ascii="仿宋" w:hAnsi="仿宋" w:eastAsia="仿宋"/>
          <w:lang w:eastAsia="zh-CN"/>
        </w:rPr>
        <w:t>本单位无下设预算单位。</w:t>
      </w:r>
    </w:p>
    <w:p>
      <w:pPr>
        <w:pStyle w:val="27"/>
        <w:rPr>
          <w:rFonts w:eastAsia="楷体"/>
        </w:rPr>
      </w:pPr>
    </w:p>
    <w:p>
      <w:pPr>
        <w:pStyle w:val="27"/>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042"/>
        <w:gridCol w:w="910"/>
        <w:gridCol w:w="918"/>
        <w:gridCol w:w="66"/>
        <w:gridCol w:w="1134"/>
        <w:gridCol w:w="1502"/>
        <w:gridCol w:w="99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20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50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0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rPr>
              <w:t>一、财政拨款收入</w:t>
            </w:r>
          </w:p>
        </w:tc>
        <w:tc>
          <w:tcPr>
            <w:tcW w:w="91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189.81</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一、一般公共服务</w:t>
            </w: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274.23</w:t>
            </w: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274.23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ind w:firstLine="200" w:firstLineChars="100"/>
              <w:jc w:val="left"/>
              <w:rPr>
                <w:rFonts w:hint="eastAsia" w:ascii="Times New Roman" w:hAnsi="Times New Roman" w:eastAsia="宋体" w:cs="Times New Roman"/>
                <w:kern w:val="2"/>
                <w:sz w:val="20"/>
                <w:lang w:val="en-US" w:eastAsia="zh-CN" w:bidi="ar-SA"/>
              </w:rPr>
            </w:pPr>
            <w:r>
              <w:rPr>
                <w:rFonts w:hint="eastAsia" w:eastAsia="宋体"/>
                <w:sz w:val="20"/>
              </w:rPr>
              <w:t>一般公共预算拨款收入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189.81</w:t>
            </w: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w:t>
            </w:r>
            <w:r>
              <w:rPr>
                <w:rFonts w:hint="eastAsia" w:eastAsia="宋体"/>
                <w:color w:val="000000"/>
                <w:sz w:val="20"/>
              </w:rPr>
              <w:t>社会保障和就业支出</w:t>
            </w:r>
          </w:p>
        </w:tc>
        <w:tc>
          <w:tcPr>
            <w:tcW w:w="99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26.67</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26.67</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lang w:val="en-US" w:eastAsia="zh-CN"/>
              </w:rPr>
              <w:t xml:space="preserve">  </w:t>
            </w:r>
            <w:r>
              <w:rPr>
                <w:rFonts w:hint="eastAsia" w:eastAsia="宋体"/>
                <w:sz w:val="20"/>
              </w:rPr>
              <w:t>政府性基金预算拨款收入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三、</w:t>
            </w:r>
            <w:r>
              <w:rPr>
                <w:rFonts w:hint="eastAsia" w:eastAsia="宋体"/>
                <w:color w:val="000000"/>
                <w:sz w:val="20"/>
              </w:rPr>
              <w:t>卫生健康支出</w:t>
            </w:r>
          </w:p>
        </w:tc>
        <w:tc>
          <w:tcPr>
            <w:tcW w:w="99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4.11</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lang w:val="en-US" w:eastAsia="zh-CN"/>
              </w:rPr>
              <w:t xml:space="preserve">  </w:t>
            </w:r>
            <w:r>
              <w:rPr>
                <w:rFonts w:hint="eastAsia" w:eastAsia="宋体"/>
                <w:sz w:val="20"/>
              </w:rPr>
              <w:t>国有资本经营预</w:t>
            </w:r>
            <w:r>
              <w:rPr>
                <w:rFonts w:hint="eastAsia" w:eastAsia="宋体"/>
                <w:sz w:val="20"/>
                <w:lang w:eastAsia="zh-CN"/>
              </w:rPr>
              <w:t>算</w:t>
            </w:r>
            <w:r>
              <w:rPr>
                <w:rFonts w:hint="eastAsia" w:eastAsia="宋体"/>
                <w:sz w:val="20"/>
              </w:rPr>
              <w:t>拨款收入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99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82" w:type="dxa"/>
            <w:gridSpan w:val="2"/>
            <w:tcBorders>
              <w:top w:val="nil"/>
              <w:left w:val="nil"/>
              <w:bottom w:val="single" w:color="auto" w:sz="4" w:space="0"/>
              <w:right w:val="single" w:color="auto" w:sz="4" w:space="0"/>
            </w:tcBorders>
            <w:shd w:val="clear" w:color="auto" w:fill="auto"/>
            <w:noWrap w:val="0"/>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shd w:val="solid" w:color="FFFFFF" w:fill="auto"/>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shd w:val="clear" w:color="auto" w:fill="FFFFFF"/>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rPr>
              <w:t>三、单位资金收入</w:t>
            </w:r>
          </w:p>
        </w:tc>
        <w:tc>
          <w:tcPr>
            <w:tcW w:w="91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125.51</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125.51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ind w:firstLine="200" w:firstLineChars="100"/>
              <w:jc w:val="left"/>
              <w:rPr>
                <w:rFonts w:hint="eastAsia" w:ascii="Times New Roman" w:hAnsi="Times New Roman" w:eastAsia="宋体" w:cs="Times New Roman"/>
                <w:kern w:val="2"/>
                <w:sz w:val="20"/>
                <w:lang w:val="en-US" w:eastAsia="zh-CN" w:bidi="ar-SA"/>
              </w:rPr>
            </w:pPr>
            <w:r>
              <w:rPr>
                <w:rFonts w:hint="eastAsia" w:eastAsia="宋体"/>
                <w:sz w:val="20"/>
              </w:rPr>
              <w:t>事业收入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ind w:firstLine="200" w:firstLineChars="100"/>
              <w:jc w:val="left"/>
              <w:rPr>
                <w:rFonts w:hint="eastAsia" w:ascii="Times New Roman" w:hAnsi="Times New Roman" w:eastAsia="宋体" w:cs="Times New Roman"/>
                <w:kern w:val="2"/>
                <w:sz w:val="20"/>
                <w:lang w:val="en-US" w:eastAsia="zh-CN" w:bidi="ar-SA"/>
              </w:rPr>
            </w:pPr>
            <w:r>
              <w:rPr>
                <w:rFonts w:hint="eastAsia" w:eastAsia="宋体"/>
                <w:sz w:val="20"/>
              </w:rPr>
              <w:t>事业单位经营收入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lang w:val="en-US" w:eastAsia="zh-CN"/>
              </w:rPr>
              <w:t xml:space="preserve">  </w:t>
            </w:r>
            <w:r>
              <w:rPr>
                <w:rFonts w:hint="eastAsia" w:eastAsia="宋体"/>
                <w:sz w:val="20"/>
              </w:rPr>
              <w:t>上级补助收入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s="Times New Roman"/>
                <w:kern w:val="2"/>
                <w:sz w:val="20"/>
                <w:lang w:val="en-US" w:eastAsia="zh-CN" w:bidi="ar-SA"/>
              </w:rPr>
            </w:pPr>
            <w:r>
              <w:rPr>
                <w:rFonts w:hint="eastAsia" w:eastAsia="宋体"/>
                <w:sz w:val="20"/>
                <w:lang w:val="en-US" w:eastAsia="zh-CN"/>
              </w:rPr>
              <w:t xml:space="preserve">  </w:t>
            </w:r>
            <w:r>
              <w:rPr>
                <w:rFonts w:hint="eastAsia" w:eastAsia="宋体"/>
                <w:sz w:val="20"/>
              </w:rPr>
              <w:t>附属单位上缴收入</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ind w:firstLine="200" w:firstLineChars="100"/>
              <w:jc w:val="left"/>
              <w:rPr>
                <w:rFonts w:hint="eastAsia" w:ascii="Times New Roman" w:hAnsi="Times New Roman" w:eastAsia="宋体" w:cs="Times New Roman"/>
                <w:kern w:val="2"/>
                <w:sz w:val="20"/>
                <w:lang w:val="en-US" w:eastAsia="zh-CN" w:bidi="ar-SA"/>
              </w:rPr>
            </w:pPr>
            <w:r>
              <w:rPr>
                <w:rFonts w:hint="eastAsia" w:eastAsia="宋体"/>
                <w:sz w:val="20"/>
              </w:rPr>
              <w:t>其他收入</w:t>
            </w:r>
          </w:p>
        </w:tc>
        <w:tc>
          <w:tcPr>
            <w:tcW w:w="910" w:type="dxa"/>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125.51</w:t>
            </w: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125.51</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502" w:type="dxa"/>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b/>
                <w:bCs/>
                <w:kern w:val="0"/>
                <w:sz w:val="20"/>
                <w:lang w:val="en-US" w:eastAsia="zh-CN" w:bidi="ar-SA"/>
              </w:rPr>
            </w:pPr>
            <w:r>
              <w:rPr>
                <w:rFonts w:eastAsia="宋体"/>
                <w:b/>
                <w:bCs/>
                <w:kern w:val="0"/>
                <w:sz w:val="20"/>
              </w:rPr>
              <w:t>本年收入合计</w:t>
            </w:r>
          </w:p>
        </w:tc>
        <w:tc>
          <w:tcPr>
            <w:tcW w:w="91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315.32</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315.32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both"/>
              <w:rPr>
                <w:rFonts w:ascii="Times New Roman" w:hAnsi="Times New Roman" w:eastAsia="宋体" w:cs="Times New Roman"/>
                <w:b/>
                <w:bCs/>
                <w:kern w:val="0"/>
                <w:sz w:val="20"/>
                <w:lang w:val="en-US" w:eastAsia="zh-CN" w:bidi="ar-SA"/>
              </w:rPr>
            </w:pPr>
            <w:r>
              <w:rPr>
                <w:rFonts w:eastAsia="宋体"/>
                <w:b/>
                <w:bCs/>
                <w:kern w:val="0"/>
                <w:sz w:val="20"/>
              </w:rPr>
              <w:t>本年支出合计</w:t>
            </w: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315.32</w:t>
            </w: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315.32</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2"/>
                <w:sz w:val="20"/>
                <w:lang w:val="en-US" w:eastAsia="zh-CN" w:bidi="ar-SA"/>
              </w:rPr>
            </w:pPr>
            <w:r>
              <w:rPr>
                <w:rFonts w:hint="eastAsia" w:eastAsia="宋体"/>
                <w:sz w:val="20"/>
              </w:rPr>
              <w:t>财政拨款结转</w:t>
            </w:r>
          </w:p>
        </w:tc>
        <w:tc>
          <w:tcPr>
            <w:tcW w:w="91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kern w:val="0"/>
                <w:sz w:val="20"/>
                <w:lang w:val="en-US" w:eastAsia="zh-CN" w:bidi="ar-SA"/>
              </w:rPr>
            </w:pPr>
            <w:r>
              <w:rPr>
                <w:rFonts w:eastAsia="宋体"/>
                <w:kern w:val="0"/>
                <w:sz w:val="20"/>
              </w:rPr>
              <w:t>结转下年</w:t>
            </w:r>
            <w:r>
              <w:rPr>
                <w:rFonts w:hint="eastAsia" w:eastAsia="宋体"/>
                <w:kern w:val="0"/>
                <w:sz w:val="20"/>
                <w:lang w:eastAsia="zh-CN"/>
              </w:rPr>
              <w:t>支</w:t>
            </w:r>
            <w:r>
              <w:rPr>
                <w:rFonts w:hint="eastAsia" w:eastAsia="宋体"/>
                <w:kern w:val="0"/>
                <w:sz w:val="20"/>
              </w:rPr>
              <w:t>出</w:t>
            </w: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2"/>
                <w:sz w:val="20"/>
                <w:lang w:val="en-US" w:eastAsia="zh-CN" w:bidi="ar-SA"/>
              </w:rPr>
            </w:pPr>
            <w:r>
              <w:rPr>
                <w:rFonts w:hint="eastAsia" w:eastAsia="宋体"/>
                <w:sz w:val="20"/>
                <w:lang w:eastAsia="zh-CN"/>
              </w:rPr>
              <w:t>非财政拨款</w:t>
            </w:r>
            <w:r>
              <w:rPr>
                <w:rFonts w:hint="eastAsia" w:eastAsia="宋体"/>
                <w:sz w:val="20"/>
              </w:rPr>
              <w:t>结转结余</w:t>
            </w:r>
          </w:p>
        </w:tc>
        <w:tc>
          <w:tcPr>
            <w:tcW w:w="91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lang w:val="en-US" w:eastAsia="zh-CN" w:bidi="ar-SA"/>
              </w:rPr>
            </w:pP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2042"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kern w:val="2"/>
                <w:sz w:val="20"/>
                <w:lang w:val="en-US" w:eastAsia="zh-CN" w:bidi="ar-SA"/>
              </w:rPr>
            </w:pPr>
            <w:r>
              <w:rPr>
                <w:rFonts w:eastAsia="黑体"/>
                <w:b/>
                <w:bCs/>
                <w:kern w:val="0"/>
                <w:sz w:val="20"/>
              </w:rPr>
              <w:t>收入总计</w:t>
            </w:r>
          </w:p>
        </w:tc>
        <w:tc>
          <w:tcPr>
            <w:tcW w:w="91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315.32</w:t>
            </w:r>
          </w:p>
        </w:tc>
        <w:tc>
          <w:tcPr>
            <w:tcW w:w="984"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315.32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5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0"/>
                <w:lang w:val="en-US" w:eastAsia="zh-CN" w:bidi="ar-SA"/>
              </w:rPr>
            </w:pPr>
            <w:r>
              <w:rPr>
                <w:rFonts w:eastAsia="黑体"/>
                <w:b/>
                <w:bCs/>
                <w:kern w:val="0"/>
                <w:sz w:val="20"/>
              </w:rPr>
              <w:t>支出总计</w:t>
            </w:r>
          </w:p>
        </w:tc>
        <w:tc>
          <w:tcPr>
            <w:tcW w:w="99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315.32</w:t>
            </w:r>
          </w:p>
        </w:tc>
        <w:tc>
          <w:tcPr>
            <w:tcW w:w="1182"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b w:val="0"/>
                <w:bCs w:val="0"/>
                <w:kern w:val="0"/>
                <w:sz w:val="20"/>
                <w:lang w:val="en-US" w:eastAsia="zh-CN" w:bidi="ar-SA"/>
              </w:rPr>
            </w:pPr>
            <w:r>
              <w:rPr>
                <w:rFonts w:hint="eastAsia" w:eastAsia="宋体"/>
                <w:b w:val="0"/>
                <w:bCs w:val="0"/>
                <w:kern w:val="0"/>
                <w:sz w:val="20"/>
                <w:lang w:val="en-US" w:eastAsia="zh-CN"/>
              </w:rPr>
              <w:t>315.32</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25"/>
        <w:gridCol w:w="769"/>
        <w:gridCol w:w="767"/>
        <w:gridCol w:w="833"/>
        <w:gridCol w:w="400"/>
        <w:gridCol w:w="434"/>
        <w:gridCol w:w="383"/>
        <w:gridCol w:w="383"/>
        <w:gridCol w:w="400"/>
        <w:gridCol w:w="434"/>
        <w:gridCol w:w="450"/>
        <w:gridCol w:w="833"/>
        <w:gridCol w:w="700"/>
        <w:gridCol w:w="433"/>
        <w:gridCol w:w="400"/>
        <w:gridCol w:w="417"/>
        <w:gridCol w:w="433"/>
        <w:gridCol w:w="594"/>
      </w:tblGrid>
      <w:tr>
        <w:tblPrEx>
          <w:tblCellMar>
            <w:top w:w="0" w:type="dxa"/>
            <w:left w:w="108" w:type="dxa"/>
            <w:bottom w:w="0" w:type="dxa"/>
            <w:right w:w="108" w:type="dxa"/>
          </w:tblCellMar>
        </w:tblPrEx>
        <w:trPr>
          <w:trHeight w:val="335" w:hRule="atLeast"/>
          <w:jc w:val="center"/>
        </w:trPr>
        <w:tc>
          <w:tcPr>
            <w:tcW w:w="1425" w:type="dxa"/>
            <w:tcBorders>
              <w:bottom w:val="single" w:color="000000" w:sz="4" w:space="0"/>
            </w:tcBorders>
            <w:noWrap w:val="0"/>
            <w:vAlign w:val="top"/>
          </w:tcPr>
          <w:p>
            <w:pPr>
              <w:autoSpaceDN w:val="0"/>
              <w:jc w:val="left"/>
              <w:textAlignment w:val="center"/>
              <w:rPr>
                <w:rFonts w:eastAsia="华文细黑"/>
                <w:color w:val="000000"/>
                <w:sz w:val="20"/>
              </w:rPr>
            </w:pPr>
          </w:p>
        </w:tc>
        <w:tc>
          <w:tcPr>
            <w:tcW w:w="4369"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717" w:type="dxa"/>
            <w:gridSpan w:val="3"/>
            <w:noWrap w:val="0"/>
            <w:vAlign w:val="center"/>
          </w:tcPr>
          <w:p>
            <w:pPr>
              <w:autoSpaceDN w:val="0"/>
              <w:jc w:val="left"/>
              <w:textAlignment w:val="center"/>
              <w:rPr>
                <w:rFonts w:eastAsia="华文细黑"/>
                <w:color w:val="000000"/>
                <w:sz w:val="20"/>
              </w:rPr>
            </w:pPr>
          </w:p>
        </w:tc>
        <w:tc>
          <w:tcPr>
            <w:tcW w:w="700" w:type="dxa"/>
            <w:noWrap w:val="0"/>
            <w:vAlign w:val="center"/>
          </w:tcPr>
          <w:p>
            <w:pPr>
              <w:autoSpaceDN w:val="0"/>
              <w:jc w:val="left"/>
              <w:textAlignment w:val="center"/>
              <w:rPr>
                <w:rFonts w:eastAsia="华文细黑"/>
                <w:color w:val="000000"/>
                <w:sz w:val="20"/>
              </w:rPr>
            </w:pPr>
          </w:p>
        </w:tc>
        <w:tc>
          <w:tcPr>
            <w:tcW w:w="433" w:type="dxa"/>
            <w:noWrap w:val="0"/>
            <w:vAlign w:val="center"/>
          </w:tcPr>
          <w:p>
            <w:pPr>
              <w:autoSpaceDN w:val="0"/>
              <w:jc w:val="left"/>
              <w:textAlignment w:val="center"/>
              <w:rPr>
                <w:rFonts w:eastAsia="华文细黑"/>
                <w:color w:val="000000"/>
                <w:sz w:val="20"/>
              </w:rPr>
            </w:pPr>
          </w:p>
        </w:tc>
        <w:tc>
          <w:tcPr>
            <w:tcW w:w="400" w:type="dxa"/>
            <w:noWrap w:val="0"/>
            <w:vAlign w:val="bottom"/>
          </w:tcPr>
          <w:p>
            <w:pPr>
              <w:autoSpaceDN w:val="0"/>
              <w:jc w:val="right"/>
              <w:textAlignment w:val="bottom"/>
              <w:rPr>
                <w:rFonts w:eastAsia="宋体"/>
                <w:color w:val="000000"/>
                <w:sz w:val="20"/>
              </w:rPr>
            </w:pPr>
          </w:p>
        </w:tc>
        <w:tc>
          <w:tcPr>
            <w:tcW w:w="1444"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425"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69"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17"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77"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425"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69"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67"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7"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3"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0"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0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50"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2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4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76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7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0"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41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657" w:hRule="atLeast"/>
          <w:jc w:val="center"/>
        </w:trPr>
        <w:tc>
          <w:tcPr>
            <w:tcW w:w="1425"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镇赉县统计局</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315.32</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189.81</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189.81</w:t>
            </w:r>
          </w:p>
        </w:tc>
        <w:tc>
          <w:tcPr>
            <w:tcW w:w="40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125.51</w:t>
            </w: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p>
        </w:tc>
      </w:tr>
      <w:tr>
        <w:tblPrEx>
          <w:tblCellMar>
            <w:top w:w="0" w:type="dxa"/>
            <w:left w:w="108" w:type="dxa"/>
            <w:bottom w:w="0" w:type="dxa"/>
            <w:right w:w="108" w:type="dxa"/>
          </w:tblCellMar>
        </w:tblPrEx>
        <w:trPr>
          <w:trHeight w:val="624" w:hRule="atLeast"/>
          <w:jc w:val="center"/>
        </w:trPr>
        <w:tc>
          <w:tcPr>
            <w:tcW w:w="1425" w:type="dxa"/>
            <w:tcBorders>
              <w:top w:val="single" w:color="000000" w:sz="4" w:space="0"/>
              <w:left w:val="single" w:color="000000" w:sz="4" w:space="0"/>
              <w:bottom w:val="single" w:color="auto"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69"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315.32</w:t>
            </w:r>
          </w:p>
        </w:tc>
        <w:tc>
          <w:tcPr>
            <w:tcW w:w="767"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189.81</w:t>
            </w:r>
          </w:p>
        </w:tc>
        <w:tc>
          <w:tcPr>
            <w:tcW w:w="8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189.81</w:t>
            </w:r>
          </w:p>
        </w:tc>
        <w:tc>
          <w:tcPr>
            <w:tcW w:w="400" w:type="dxa"/>
            <w:tcBorders>
              <w:top w:val="single" w:color="000000" w:sz="4" w:space="0"/>
              <w:left w:val="single" w:color="000000" w:sz="4" w:space="0"/>
              <w:bottom w:val="single" w:color="auto"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bottom w:val="single" w:color="auto" w:sz="4" w:space="0"/>
              <w:right w:val="single" w:color="000000" w:sz="4" w:space="0"/>
            </w:tcBorders>
            <w:shd w:val="solid" w:color="FFFFFF" w:fill="auto"/>
            <w:noWrap w:val="0"/>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125.51</w:t>
            </w:r>
          </w:p>
        </w:tc>
        <w:tc>
          <w:tcPr>
            <w:tcW w:w="7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auto" w:sz="4" w:space="0"/>
              <w:right w:val="single" w:color="000000" w:sz="4" w:space="0"/>
            </w:tcBorders>
            <w:shd w:val="solid" w:color="FFFFFF" w:fill="auto"/>
            <w:noWrap w:val="0"/>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7"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10067"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015"/>
              <w:gridCol w:w="1245"/>
              <w:gridCol w:w="1215"/>
              <w:gridCol w:w="1200"/>
              <w:gridCol w:w="1200"/>
              <w:gridCol w:w="530"/>
              <w:gridCol w:w="460"/>
              <w:gridCol w:w="837"/>
              <w:gridCol w:w="138"/>
            </w:tblGrid>
            <w:tr>
              <w:tblPrEx>
                <w:tblCellMar>
                  <w:top w:w="15" w:type="dxa"/>
                  <w:left w:w="15" w:type="dxa"/>
                  <w:bottom w:w="15" w:type="dxa"/>
                  <w:right w:w="15" w:type="dxa"/>
                </w:tblCellMar>
              </w:tblPrEx>
              <w:trPr>
                <w:gridAfter w:val="1"/>
                <w:wAfter w:w="138" w:type="dxa"/>
                <w:trHeight w:val="636" w:hRule="atLeast"/>
              </w:trPr>
              <w:tc>
                <w:tcPr>
                  <w:tcW w:w="6675" w:type="dxa"/>
                  <w:gridSpan w:val="4"/>
                  <w:tcBorders>
                    <w:bottom w:val="single" w:color="000000" w:sz="4" w:space="0"/>
                  </w:tcBorders>
                  <w:noWrap w:val="0"/>
                  <w:vAlign w:val="center"/>
                </w:tcPr>
                <w:p>
                  <w:pPr>
                    <w:widowControl/>
                    <w:jc w:val="left"/>
                    <w:rPr>
                      <w:rFonts w:eastAsia="华文细黑"/>
                      <w:color w:val="000000"/>
                      <w:kern w:val="0"/>
                      <w:sz w:val="20"/>
                    </w:rPr>
                  </w:pPr>
                </w:p>
              </w:tc>
              <w:tc>
                <w:tcPr>
                  <w:tcW w:w="1200" w:type="dxa"/>
                  <w:tcBorders>
                    <w:bottom w:val="single" w:color="000000" w:sz="4" w:space="0"/>
                  </w:tcBorders>
                  <w:noWrap w:val="0"/>
                  <w:vAlign w:val="center"/>
                </w:tcPr>
                <w:p>
                  <w:pPr>
                    <w:widowControl/>
                    <w:jc w:val="right"/>
                    <w:rPr>
                      <w:rFonts w:eastAsia="华文细黑"/>
                      <w:color w:val="000000"/>
                      <w:kern w:val="0"/>
                      <w:sz w:val="20"/>
                    </w:rPr>
                  </w:pPr>
                </w:p>
              </w:tc>
              <w:tc>
                <w:tcPr>
                  <w:tcW w:w="530" w:type="dxa"/>
                  <w:tcBorders>
                    <w:bottom w:val="single" w:color="000000" w:sz="4" w:space="0"/>
                  </w:tcBorders>
                  <w:noWrap w:val="0"/>
                  <w:vAlign w:val="center"/>
                </w:tcPr>
                <w:p>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371" w:hRule="atLeast"/>
              </w:trPr>
              <w:tc>
                <w:tcPr>
                  <w:tcW w:w="301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45"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41"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274.23</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102.19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1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szCs w:val="20"/>
                    </w:rPr>
                    <w:t>统计信息事务</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274.23</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102.19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172.04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2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24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102.19</w:t>
                  </w:r>
                </w:p>
              </w:tc>
              <w:tc>
                <w:tcPr>
                  <w:tcW w:w="121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102.19</w:t>
                  </w:r>
                </w:p>
              </w:tc>
              <w:tc>
                <w:tcPr>
                  <w:tcW w:w="120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p>
              </w:tc>
              <w:tc>
                <w:tcPr>
                  <w:tcW w:w="120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46" w:hRule="atLeast"/>
              </w:trPr>
              <w:tc>
                <w:tcPr>
                  <w:tcW w:w="301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pPr>
                    <w:widowControl/>
                    <w:ind w:left="800" w:leftChars="0" w:hanging="800" w:hangingChars="400"/>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36.22</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36.22</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45" w:hRule="atLeast"/>
              </w:trPr>
              <w:tc>
                <w:tcPr>
                  <w:tcW w:w="301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pPr>
                    <w:widowControl/>
                    <w:ind w:left="800" w:leftChars="0" w:hanging="800" w:hangingChars="40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专项普查活动</w:t>
                  </w:r>
                </w:p>
              </w:tc>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104.88</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104.88</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c>
                <w:tcPr>
                  <w:tcW w:w="97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45" w:hRule="atLeast"/>
              </w:trPr>
              <w:tc>
                <w:tcPr>
                  <w:tcW w:w="301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pPr>
                    <w:widowControl/>
                    <w:ind w:firstLine="800" w:firstLineChars="40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统计抽样调查</w:t>
                  </w:r>
                </w:p>
              </w:tc>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30.94</w:t>
                  </w:r>
                </w:p>
              </w:tc>
              <w:tc>
                <w:tcPr>
                  <w:tcW w:w="12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30.94</w:t>
                  </w:r>
                </w:p>
              </w:tc>
              <w:tc>
                <w:tcPr>
                  <w:tcW w:w="1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c>
                <w:tcPr>
                  <w:tcW w:w="97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left="800" w:leftChars="0" w:hanging="800" w:hangingChars="400"/>
                    <w:jc w:val="lef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3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r>
                    <w:rPr>
                      <w:rFonts w:hint="eastAsia" w:ascii="宋体" w:hAnsi="宋体" w:eastAsia="宋体" w:cs="宋体"/>
                      <w:color w:val="000000"/>
                      <w:kern w:val="0"/>
                      <w:sz w:val="20"/>
                      <w:szCs w:val="20"/>
                      <w:lang w:val="en-US" w:eastAsia="zh-CN"/>
                    </w:rPr>
                    <w:t xml:space="preserve">    </w:t>
                  </w:r>
                </w:p>
              </w:tc>
              <w:tc>
                <w:tcPr>
                  <w:tcW w:w="1245"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26.67</w:t>
                  </w:r>
                </w:p>
              </w:tc>
              <w:tc>
                <w:tcPr>
                  <w:tcW w:w="1215"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26.67</w:t>
                  </w:r>
                </w:p>
              </w:tc>
              <w:tc>
                <w:tcPr>
                  <w:tcW w:w="120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p>
              </w:tc>
              <w:tc>
                <w:tcPr>
                  <w:tcW w:w="120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auto"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行政事业单位养老支出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26.67</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26.67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6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ascii="Times New Roman" w:hAnsi="Times New Roman" w:eastAsia="宋体" w:cs="Times New Roman"/>
                      <w:color w:val="000000"/>
                      <w:kern w:val="0"/>
                      <w:sz w:val="20"/>
                      <w:lang w:val="en-US" w:eastAsia="zh-CN" w:bidi="ar-SA"/>
                    </w:rPr>
                  </w:pPr>
                  <w:bookmarkStart w:id="0" w:name="_GoBack"/>
                  <w:bookmarkEnd w:id="0"/>
                  <w:r>
                    <w:rPr>
                      <w:rFonts w:hint="eastAsia" w:ascii="宋体" w:hAnsi="宋体" w:eastAsia="宋体" w:cs="宋体"/>
                      <w:color w:val="000000"/>
                      <w:kern w:val="0"/>
                      <w:sz w:val="20"/>
                      <w:szCs w:val="20"/>
                      <w:lang w:val="en-US" w:eastAsia="zh-CN"/>
                    </w:rPr>
                    <w:t>行政单位离退休</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8.34</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297"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机关事业单位基本养老保险缴费支出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12.22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12.22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297"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wordWrap w:val="0"/>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机关事业单位职业年金缴费支出 </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6.11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1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行政事业单位医疗</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1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行政单位医疗</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60"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住房改革支出</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住房公积金</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10.31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3015"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0" w:firstLineChars="500"/>
                    <w:jc w:val="both"/>
                    <w:rPr>
                      <w:rFonts w:hint="eastAsia" w:ascii="宋体" w:hAnsi="宋体" w:eastAsia="宋体" w:cs="宋体"/>
                      <w:color w:val="000000"/>
                      <w:kern w:val="0"/>
                      <w:sz w:val="20"/>
                      <w:szCs w:val="20"/>
                    </w:rPr>
                  </w:pPr>
                  <w:r>
                    <w:rPr>
                      <w:rFonts w:eastAsia="华文细黑"/>
                      <w:color w:val="000000"/>
                      <w:kern w:val="0"/>
                      <w:sz w:val="20"/>
                    </w:rPr>
                    <w:t>合计</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315.32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143.28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189.81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rPr>
                  </w:pPr>
                  <w:r>
                    <w:rPr>
                      <w:rFonts w:hint="eastAsia" w:eastAsia="宋体"/>
                      <w:color w:val="000000"/>
                      <w:kern w:val="0"/>
                      <w:sz w:val="20"/>
                      <w:lang w:val="en-US" w:eastAsia="zh-CN"/>
                    </w:rPr>
                    <w:t>148.72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color w:val="000000"/>
                      <w:kern w:val="0"/>
                      <w:sz w:val="20"/>
                      <w:lang w:val="en-US" w:eastAsia="zh-CN"/>
                    </w:rPr>
                    <w:t>148.72</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kern w:val="0"/>
                      <w:sz w:val="20"/>
                      <w:lang w:val="en-US" w:eastAsia="zh-CN"/>
                    </w:rPr>
                  </w:pPr>
                  <w:r>
                    <w:rPr>
                      <w:rFonts w:hint="eastAsia" w:eastAsia="宋体"/>
                      <w:color w:val="000000"/>
                      <w:kern w:val="0"/>
                      <w:sz w:val="20"/>
                      <w:lang w:val="en-US" w:eastAsia="zh-CN"/>
                    </w:rPr>
                    <w:t>26.67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center"/>
                    <w:textAlignment w:val="center"/>
                    <w:rPr>
                      <w:rFonts w:hint="eastAsia" w:eastAsia="宋体"/>
                      <w:kern w:val="0"/>
                      <w:sz w:val="20"/>
                      <w:lang w:val="en-US" w:eastAsia="zh-CN"/>
                    </w:rPr>
                  </w:pPr>
                  <w:r>
                    <w:rPr>
                      <w:rFonts w:hint="eastAsia" w:eastAsia="宋体"/>
                      <w:color w:val="000000"/>
                      <w:kern w:val="0"/>
                      <w:sz w:val="20"/>
                      <w:lang w:val="en-US" w:eastAsia="zh-CN"/>
                    </w:rPr>
                    <w:t>26.67</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eastAsia="宋体"/>
                      <w:kern w:val="0"/>
                      <w:sz w:val="20"/>
                    </w:rPr>
                  </w:pPr>
                  <w:r>
                    <w:rPr>
                      <w:rFonts w:hint="eastAsia" w:eastAsia="宋体"/>
                      <w:color w:val="000000"/>
                      <w:kern w:val="0"/>
                      <w:sz w:val="20"/>
                      <w:lang w:val="en-US" w:eastAsia="zh-CN"/>
                    </w:rPr>
                    <w:t>4.11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center"/>
                    <w:textAlignment w:val="center"/>
                    <w:rPr>
                      <w:rFonts w:ascii="Times New Roman" w:hAnsi="Times New Roman" w:eastAsia="宋体" w:cs="Times New Roman"/>
                      <w:kern w:val="0"/>
                      <w:sz w:val="20"/>
                      <w:lang w:val="en-US" w:eastAsia="zh-CN" w:bidi="ar-SA"/>
                    </w:rPr>
                  </w:pPr>
                  <w:r>
                    <w:rPr>
                      <w:rFonts w:hint="eastAsia" w:eastAsia="宋体"/>
                      <w:color w:val="000000"/>
                      <w:kern w:val="0"/>
                      <w:sz w:val="20"/>
                      <w:lang w:val="en-US" w:eastAsia="zh-CN"/>
                    </w:rPr>
                    <w:t>4.11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kern w:val="0"/>
                      <w:sz w:val="20"/>
                      <w:lang w:val="en-US" w:eastAsia="zh-CN"/>
                    </w:rPr>
                  </w:pPr>
                  <w:r>
                    <w:rPr>
                      <w:rFonts w:hint="eastAsia" w:eastAsia="宋体"/>
                      <w:color w:val="000000"/>
                      <w:kern w:val="0"/>
                      <w:sz w:val="20"/>
                      <w:lang w:val="en-US" w:eastAsia="zh-CN"/>
                    </w:rPr>
                    <w:t>10.31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center"/>
                    <w:textAlignment w:val="center"/>
                    <w:rPr>
                      <w:rFonts w:hint="default" w:ascii="Times New Roman" w:hAnsi="Times New Roman" w:eastAsia="宋体" w:cs="Times New Roman"/>
                      <w:kern w:val="0"/>
                      <w:sz w:val="20"/>
                      <w:lang w:val="en-US" w:eastAsia="zh-CN" w:bidi="ar-SA"/>
                    </w:rPr>
                  </w:pPr>
                  <w:r>
                    <w:rPr>
                      <w:rFonts w:hint="eastAsia" w:eastAsia="宋体"/>
                      <w:color w:val="000000"/>
                      <w:kern w:val="0"/>
                      <w:sz w:val="20"/>
                      <w:lang w:val="en-US" w:eastAsia="zh-CN"/>
                    </w:rPr>
                    <w:t>10.31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189.81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189.81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rPr>
          <w:rFonts w:hAnsi="楷体" w:eastAsia="楷体"/>
        </w:rPr>
      </w:pPr>
    </w:p>
    <w:p>
      <w:pPr>
        <w:ind w:firstLine="640" w:firstLineChars="200"/>
        <w:rPr>
          <w:rFonts w:eastAsia="楷体"/>
        </w:rPr>
      </w:pPr>
      <w:r>
        <w:rPr>
          <w:rFonts w:hAnsi="楷体" w:eastAsia="楷体"/>
        </w:rPr>
        <w:br w:type="page"/>
      </w:r>
    </w:p>
    <w:tbl>
      <w:tblPr>
        <w:tblStyle w:val="9"/>
        <w:tblW w:w="8789" w:type="dxa"/>
        <w:tblInd w:w="111" w:type="dxa"/>
        <w:tblLayout w:type="fixed"/>
        <w:tblCellMar>
          <w:top w:w="15" w:type="dxa"/>
          <w:left w:w="15" w:type="dxa"/>
          <w:bottom w:w="15" w:type="dxa"/>
          <w:right w:w="15" w:type="dxa"/>
        </w:tblCellMar>
      </w:tblPr>
      <w:tblGrid>
        <w:gridCol w:w="3114"/>
        <w:gridCol w:w="1125"/>
        <w:gridCol w:w="1185"/>
        <w:gridCol w:w="1185"/>
        <w:gridCol w:w="1140"/>
        <w:gridCol w:w="1040"/>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3114"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25"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5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312" w:hRule="atLeast"/>
        </w:trPr>
        <w:tc>
          <w:tcPr>
            <w:tcW w:w="311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25"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570" w:hRule="atLeast"/>
        </w:trPr>
        <w:tc>
          <w:tcPr>
            <w:tcW w:w="311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25"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5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148.72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102.19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80.96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46.53</w:t>
            </w:r>
          </w:p>
        </w:tc>
      </w:tr>
      <w:tr>
        <w:trPr>
          <w:trHeight w:val="46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统计信息事务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148.72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102.19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80.96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21.23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46.53</w:t>
            </w:r>
          </w:p>
        </w:tc>
      </w:tr>
      <w:tr>
        <w:trPr>
          <w:trHeight w:val="4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105.94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102.19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80.96</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21.23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rPr>
          <w:trHeight w:val="486"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left="800" w:leftChars="0" w:hanging="800" w:hangingChars="4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11.59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ascii="Times New Roman" w:hAnsi="Times New Roman" w:eastAsia="宋体" w:cs="Times New Roman"/>
                <w:color w:val="000000"/>
                <w:kern w:val="0"/>
                <w:sz w:val="2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11.59</w:t>
            </w:r>
          </w:p>
        </w:tc>
      </w:tr>
      <w:tr>
        <w:trPr>
          <w:trHeight w:val="4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专项普查活动</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4.00</w:t>
            </w:r>
          </w:p>
        </w:tc>
      </w:tr>
      <w:tr>
        <w:trPr>
          <w:trHeight w:val="46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统计抽样调查</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30.94</w:t>
            </w:r>
          </w:p>
        </w:tc>
      </w:tr>
      <w:tr>
        <w:trPr>
          <w:trHeight w:val="50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r>
              <w:rPr>
                <w:rFonts w:hint="eastAsia" w:ascii="宋体" w:hAnsi="宋体" w:eastAsia="宋体" w:cs="宋体"/>
                <w:color w:val="000000"/>
                <w:kern w:val="0"/>
                <w:sz w:val="20"/>
                <w:szCs w:val="20"/>
                <w:lang w:val="en-US" w:eastAsia="zh-CN"/>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47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rPr>
              <w:t>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26.67</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8.34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8.34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8.34</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269"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12.22</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269"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tabs>
                <w:tab w:val="left" w:pos="375"/>
                <w:tab w:val="right" w:pos="3204"/>
              </w:tabs>
              <w:wordWrap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ab/>
            </w:r>
            <w:r>
              <w:rPr>
                <w:rFonts w:hint="eastAsia" w:ascii="宋体" w:hAnsi="宋体" w:eastAsia="宋体" w:cs="宋体"/>
                <w:color w:val="000000"/>
                <w:kern w:val="0"/>
                <w:sz w:val="20"/>
                <w:szCs w:val="20"/>
                <w:lang w:val="en-US" w:eastAsia="zh-CN"/>
              </w:rPr>
              <w:t xml:space="preserve">    机关事业单位职业年金缴费支出</w:t>
            </w:r>
            <w:r>
              <w:rPr>
                <w:rFonts w:hint="eastAsia" w:ascii="宋体" w:hAnsi="宋体" w:eastAsia="宋体" w:cs="宋体"/>
                <w:color w:val="000000"/>
                <w:kern w:val="0"/>
                <w:sz w:val="20"/>
                <w:szCs w:val="20"/>
                <w:lang w:val="en-US" w:eastAsia="zh-CN"/>
              </w:rPr>
              <w:tab/>
            </w:r>
            <w:r>
              <w:rPr>
                <w:rFonts w:hint="eastAsia" w:ascii="宋体" w:hAnsi="宋体" w:eastAsia="宋体" w:cs="宋体"/>
                <w:color w:val="000000"/>
                <w:kern w:val="0"/>
                <w:sz w:val="20"/>
                <w:szCs w:val="20"/>
                <w:lang w:val="en-US" w:eastAsia="zh-CN"/>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s="Times New Roman"/>
                <w:color w:val="000000"/>
                <w:kern w:val="0"/>
                <w:sz w:val="20"/>
                <w:lang w:val="en-US" w:eastAsia="zh-CN" w:bidi="ar-SA"/>
              </w:rPr>
            </w:pPr>
            <w:r>
              <w:rPr>
                <w:rFonts w:hint="eastAsia" w:eastAsia="宋体" w:cs="Times New Roman"/>
                <w:color w:val="000000"/>
                <w:kern w:val="0"/>
                <w:sz w:val="20"/>
                <w:lang w:val="en-US" w:eastAsia="zh-CN" w:bidi="ar-SA"/>
              </w:rPr>
              <w:t>6.11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s="Times New Roman"/>
                <w:color w:val="000000"/>
                <w:kern w:val="0"/>
                <w:sz w:val="20"/>
                <w:lang w:val="en-US" w:eastAsia="zh-CN" w:bidi="ar-SA"/>
              </w:rPr>
            </w:pPr>
            <w:r>
              <w:rPr>
                <w:rFonts w:hint="eastAsia" w:eastAsia="宋体" w:cs="Times New Roman"/>
                <w:color w:val="000000"/>
                <w:kern w:val="0"/>
                <w:sz w:val="20"/>
                <w:lang w:val="en-US" w:eastAsia="zh-CN" w:bidi="ar-SA"/>
              </w:rPr>
              <w:t>6.11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3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0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3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行政单位医疗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560"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51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both"/>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szCs w:val="20"/>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10.31</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495" w:hRule="atLeast"/>
        </w:trPr>
        <w:tc>
          <w:tcPr>
            <w:tcW w:w="3114"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0" w:firstLineChars="500"/>
              <w:jc w:val="both"/>
              <w:rPr>
                <w:rFonts w:hint="eastAsia" w:ascii="宋体" w:hAnsi="宋体" w:eastAsia="宋体" w:cs="宋体"/>
                <w:color w:val="000000"/>
                <w:kern w:val="0"/>
                <w:sz w:val="20"/>
                <w:szCs w:val="20"/>
                <w:lang w:val="en-US" w:eastAsia="zh-CN" w:bidi="ar-SA"/>
              </w:rPr>
            </w:pPr>
            <w:r>
              <w:rPr>
                <w:rFonts w:eastAsia="华文细黑"/>
                <w:color w:val="000000"/>
                <w:kern w:val="0"/>
                <w:sz w:val="20"/>
              </w:rPr>
              <w:t>合计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189.81</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143.28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122.05</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46.53</w:t>
            </w: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26"/>
        <w:gridCol w:w="1961"/>
        <w:gridCol w:w="1700"/>
        <w:gridCol w:w="1833"/>
      </w:tblGrid>
      <w:tr>
        <w:tblPrEx>
          <w:tblCellMar>
            <w:top w:w="0" w:type="dxa"/>
            <w:left w:w="108" w:type="dxa"/>
            <w:bottom w:w="0" w:type="dxa"/>
            <w:right w:w="108" w:type="dxa"/>
          </w:tblCellMar>
        </w:tblPrEx>
        <w:trPr>
          <w:trHeight w:val="90" w:hRule="atLeast"/>
          <w:jc w:val="center"/>
        </w:trPr>
        <w:tc>
          <w:tcPr>
            <w:tcW w:w="8920"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90" w:hRule="atLeast"/>
          <w:jc w:val="center"/>
        </w:trPr>
        <w:tc>
          <w:tcPr>
            <w:tcW w:w="342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961"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3"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61"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0"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113.31</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122.08</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37.66</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37.66</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24.67</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24.67</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17.02</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17.02</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机关事业单位基本养老保险缴费</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12.22</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12.22</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both"/>
              <w:rPr>
                <w:rFonts w:hint="default" w:eastAsia="宋体"/>
                <w:color w:val="000000"/>
                <w:sz w:val="20"/>
                <w:lang w:val="en-US" w:eastAsia="zh-CN"/>
              </w:rPr>
            </w:pPr>
            <w:r>
              <w:rPr>
                <w:rFonts w:hint="eastAsia" w:eastAsia="宋体"/>
                <w:color w:val="000000"/>
                <w:sz w:val="20"/>
                <w:lang w:val="en-US" w:eastAsia="zh-CN"/>
              </w:rPr>
              <w:t xml:space="preserve">    职业年金缴费</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000000"/>
                <w:sz w:val="20"/>
                <w:lang w:val="en-US" w:eastAsia="zh-CN"/>
              </w:rPr>
            </w:pPr>
            <w:r>
              <w:rPr>
                <w:rFonts w:hint="eastAsia" w:eastAsia="宋体"/>
                <w:color w:val="000000"/>
                <w:sz w:val="20"/>
                <w:lang w:val="en-US" w:eastAsia="zh-CN"/>
              </w:rPr>
              <w:t>6.11</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6.11</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eastAsia="宋体"/>
                <w:color w:val="000000"/>
                <w:sz w:val="20"/>
                <w:lang w:val="en-US" w:eastAsia="zh-CN"/>
              </w:rP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职工基本医疗保险缴费</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3.99</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3.99</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其他社会保障缴费</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0.12</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0.12</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住房公积金</w:t>
            </w:r>
          </w:p>
        </w:tc>
        <w:tc>
          <w:tcPr>
            <w:tcW w:w="19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10.31</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10.31</w:t>
            </w:r>
          </w:p>
        </w:tc>
        <w:tc>
          <w:tcPr>
            <w:tcW w:w="18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医疗费</w:t>
            </w:r>
          </w:p>
        </w:tc>
        <w:tc>
          <w:tcPr>
            <w:tcW w:w="1961" w:type="dxa"/>
            <w:tcBorders>
              <w:top w:val="single" w:color="auto" w:sz="4" w:space="0"/>
              <w:left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1.20</w:t>
            </w:r>
          </w:p>
        </w:tc>
        <w:tc>
          <w:tcPr>
            <w:tcW w:w="170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1.20</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其他工资福利支出</w:t>
            </w:r>
          </w:p>
        </w:tc>
        <w:tc>
          <w:tcPr>
            <w:tcW w:w="1961" w:type="dxa"/>
            <w:tcBorders>
              <w:top w:val="single" w:color="auto" w:sz="4" w:space="0"/>
              <w:left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eastAsia="宋体"/>
                <w:color w:val="000000"/>
                <w:sz w:val="20"/>
              </w:rPr>
              <w:t>二、商品和服务支出</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20.58</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20.58</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1.71</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印刷费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1.76</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1.76</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0.33</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0.33</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0.35</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0.35</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1961" w:type="dxa"/>
            <w:tcBorders>
              <w:top w:val="single" w:color="auto" w:sz="4" w:space="0"/>
              <w:left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3.66</w:t>
            </w:r>
          </w:p>
        </w:tc>
        <w:tc>
          <w:tcPr>
            <w:tcW w:w="1700" w:type="dxa"/>
            <w:tcBorders>
              <w:top w:val="single" w:color="auto" w:sz="4" w:space="0"/>
              <w:left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3.66</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培训费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0.31</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0.31</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公务接待费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0.16</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0.16</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1961" w:type="dxa"/>
            <w:tcBorders>
              <w:top w:val="single" w:color="auto" w:sz="4" w:space="0"/>
              <w:left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1.25</w:t>
            </w:r>
          </w:p>
        </w:tc>
        <w:tc>
          <w:tcPr>
            <w:tcW w:w="1700" w:type="dxa"/>
            <w:tcBorders>
              <w:top w:val="single" w:color="auto" w:sz="4" w:space="0"/>
              <w:left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1.25</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5.52</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5.52</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5.53</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5.53</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8.74</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8.74</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8.34</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8.34</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0.40</w:t>
            </w:r>
          </w:p>
        </w:tc>
        <w:tc>
          <w:tcPr>
            <w:tcW w:w="1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0.40</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资本性支出</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0.65</w:t>
            </w:r>
          </w:p>
        </w:tc>
      </w:tr>
      <w:tr>
        <w:tblPrEx>
          <w:tblCellMar>
            <w:top w:w="0" w:type="dxa"/>
            <w:left w:w="108" w:type="dxa"/>
            <w:bottom w:w="0" w:type="dxa"/>
            <w:right w:w="108" w:type="dxa"/>
          </w:tblCellMar>
        </w:tblPrEx>
        <w:trPr>
          <w:trHeight w:val="90"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0.65</w:t>
            </w:r>
          </w:p>
        </w:tc>
      </w:tr>
      <w:tr>
        <w:tblPrEx>
          <w:tblCellMar>
            <w:top w:w="0" w:type="dxa"/>
            <w:left w:w="108" w:type="dxa"/>
            <w:bottom w:w="0" w:type="dxa"/>
            <w:right w:w="108" w:type="dxa"/>
          </w:tblCellMar>
        </w:tblPrEx>
        <w:trPr>
          <w:trHeight w:val="334" w:hRule="atLeast"/>
          <w:jc w:val="center"/>
        </w:trPr>
        <w:tc>
          <w:tcPr>
            <w:tcW w:w="342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1000" w:firstLineChars="5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143.28</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122.05</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21.23</w:t>
            </w:r>
          </w:p>
        </w:tc>
      </w:tr>
    </w:tbl>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0.16</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p>
      <w:pPr>
        <w:ind w:firstLine="640" w:firstLineChars="200"/>
        <w:rPr>
          <w:rFonts w:eastAsia="楷体"/>
          <w:kern w:val="0"/>
          <w:szCs w:val="32"/>
        </w:rPr>
      </w:pPr>
    </w:p>
    <w:p>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r>
        <w:rPr>
          <w:rFonts w:hint="eastAsia"/>
          <w:color w:val="000000"/>
          <w:kern w:val="0"/>
          <w:sz w:val="28"/>
          <w:szCs w:val="28"/>
          <w:lang w:val="en-US" w:eastAsia="zh-CN"/>
        </w:rPr>
        <w:t>说明：本单位2026年度无政府性基金预算支出预算，故本表无数据。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rPr>
          <w:rFonts w:eastAsia="楷体_GB2312"/>
          <w:kern w:val="0"/>
          <w:szCs w:val="32"/>
        </w:rPr>
      </w:pPr>
      <w:r>
        <w:rPr>
          <w:rFonts w:hint="eastAsia"/>
          <w:color w:val="000000"/>
          <w:kern w:val="0"/>
          <w:sz w:val="28"/>
          <w:szCs w:val="28"/>
          <w:lang w:val="en-US" w:eastAsia="zh-CN"/>
        </w:rPr>
        <w:t>说明：本单位2026年度无国有资本经营预算支出预算，故本表无数据。</w:t>
      </w:r>
    </w:p>
    <w:p>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1779" w:tblpY="419"/>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52"/>
        <w:gridCol w:w="1436"/>
        <w:gridCol w:w="1050"/>
        <w:gridCol w:w="700"/>
        <w:gridCol w:w="667"/>
        <w:gridCol w:w="276"/>
        <w:gridCol w:w="240"/>
        <w:gridCol w:w="267"/>
        <w:gridCol w:w="700"/>
        <w:gridCol w:w="267"/>
        <w:gridCol w:w="236"/>
        <w:gridCol w:w="236"/>
        <w:gridCol w:w="236"/>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34" w:type="dxa"/>
            <w:gridSpan w:val="15"/>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1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05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436"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05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0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150"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434"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12" w:type="dxa"/>
            <w:vMerge w:val="restart"/>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类型</w:t>
            </w:r>
          </w:p>
        </w:tc>
        <w:tc>
          <w:tcPr>
            <w:tcW w:w="2488" w:type="dxa"/>
            <w:gridSpan w:val="2"/>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项目名称</w:t>
            </w:r>
          </w:p>
        </w:tc>
        <w:tc>
          <w:tcPr>
            <w:tcW w:w="1050"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单位名称</w:t>
            </w:r>
          </w:p>
        </w:tc>
        <w:tc>
          <w:tcPr>
            <w:tcW w:w="700" w:type="dxa"/>
            <w:vMerge w:val="restart"/>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合计</w:t>
            </w:r>
          </w:p>
        </w:tc>
        <w:tc>
          <w:tcPr>
            <w:tcW w:w="2150" w:type="dxa"/>
            <w:gridSpan w:val="5"/>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eastAsia="zh-CN"/>
              </w:rPr>
              <w:t>本年预算</w:t>
            </w:r>
          </w:p>
        </w:tc>
        <w:tc>
          <w:tcPr>
            <w:tcW w:w="1434" w:type="dxa"/>
            <w:gridSpan w:val="5"/>
            <w:noWrap w:val="0"/>
            <w:vAlign w:val="center"/>
          </w:tcPr>
          <w:p>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12"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1052" w:type="dxa"/>
            <w:vMerge w:val="restart"/>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一级项目</w:t>
            </w:r>
          </w:p>
        </w:tc>
        <w:tc>
          <w:tcPr>
            <w:tcW w:w="1436" w:type="dxa"/>
            <w:vMerge w:val="restart"/>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二级</w:t>
            </w:r>
            <w:r>
              <w:rPr>
                <w:rFonts w:hint="eastAsia" w:ascii="宋体" w:hAnsi="宋体" w:eastAsia="宋体" w:cs="宋体"/>
                <w:color w:val="000000"/>
                <w:sz w:val="13"/>
                <w:szCs w:val="13"/>
                <w:lang w:val="en-US" w:eastAsia="zh-CN"/>
              </w:rPr>
              <w:t xml:space="preserve">  </w:t>
            </w:r>
            <w:r>
              <w:rPr>
                <w:rFonts w:hint="eastAsia" w:ascii="宋体" w:hAnsi="宋体" w:eastAsia="宋体" w:cs="宋体"/>
                <w:color w:val="000000"/>
                <w:sz w:val="13"/>
                <w:szCs w:val="13"/>
              </w:rPr>
              <w:t>项目</w:t>
            </w:r>
          </w:p>
        </w:tc>
        <w:tc>
          <w:tcPr>
            <w:tcW w:w="105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13"/>
                <w:szCs w:val="13"/>
                <w:lang w:eastAsia="zh-CN"/>
              </w:rPr>
            </w:pPr>
          </w:p>
        </w:tc>
        <w:tc>
          <w:tcPr>
            <w:tcW w:w="700"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1183" w:type="dxa"/>
            <w:gridSpan w:val="3"/>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财政拨款</w:t>
            </w:r>
          </w:p>
        </w:tc>
        <w:tc>
          <w:tcPr>
            <w:tcW w:w="267" w:type="dxa"/>
            <w:vMerge w:val="restart"/>
            <w:noWrap w:val="0"/>
            <w:vAlign w:val="center"/>
          </w:tcPr>
          <w:p>
            <w:pPr>
              <w:autoSpaceDN w:val="0"/>
              <w:spacing w:line="240" w:lineRule="auto"/>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财政专户管理资金</w:t>
            </w:r>
          </w:p>
        </w:tc>
        <w:tc>
          <w:tcPr>
            <w:tcW w:w="700" w:type="dxa"/>
            <w:vMerge w:val="restart"/>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lang w:eastAsia="zh-CN"/>
              </w:rPr>
              <w:t>单位资金</w:t>
            </w:r>
          </w:p>
        </w:tc>
        <w:tc>
          <w:tcPr>
            <w:tcW w:w="739" w:type="dxa"/>
            <w:gridSpan w:val="3"/>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财政拨款结转</w:t>
            </w:r>
          </w:p>
        </w:tc>
        <w:tc>
          <w:tcPr>
            <w:tcW w:w="695" w:type="dxa"/>
            <w:gridSpan w:val="2"/>
            <w:noWrap w:val="0"/>
            <w:vAlign w:val="center"/>
          </w:tcPr>
          <w:p>
            <w:pPr>
              <w:tabs>
                <w:tab w:val="left" w:pos="492"/>
              </w:tabs>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012"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1052"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1436"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1050"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700" w:type="dxa"/>
            <w:vMerge w:val="continue"/>
            <w:noWrap w:val="0"/>
            <w:vAlign w:val="center"/>
          </w:tcPr>
          <w:p>
            <w:pPr>
              <w:autoSpaceDN w:val="0"/>
              <w:jc w:val="center"/>
              <w:textAlignment w:val="center"/>
              <w:rPr>
                <w:rFonts w:hint="eastAsia" w:ascii="宋体" w:hAnsi="宋体" w:eastAsia="宋体" w:cs="宋体"/>
                <w:color w:val="000000"/>
                <w:sz w:val="13"/>
                <w:szCs w:val="13"/>
              </w:rPr>
            </w:pPr>
          </w:p>
        </w:tc>
        <w:tc>
          <w:tcPr>
            <w:tcW w:w="667"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一般公共预算</w:t>
            </w:r>
          </w:p>
        </w:tc>
        <w:tc>
          <w:tcPr>
            <w:tcW w:w="276"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政府性</w:t>
            </w:r>
          </w:p>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基金</w:t>
            </w:r>
          </w:p>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预算</w:t>
            </w:r>
          </w:p>
        </w:tc>
        <w:tc>
          <w:tcPr>
            <w:tcW w:w="240" w:type="dxa"/>
            <w:noWrap w:val="0"/>
            <w:vAlign w:val="center"/>
          </w:tcPr>
          <w:p>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国有资本经营预算</w:t>
            </w:r>
          </w:p>
        </w:tc>
        <w:tc>
          <w:tcPr>
            <w:tcW w:w="267"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13"/>
                <w:szCs w:val="13"/>
                <w:lang w:eastAsia="zh-CN"/>
              </w:rPr>
            </w:pPr>
          </w:p>
        </w:tc>
        <w:tc>
          <w:tcPr>
            <w:tcW w:w="70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13"/>
                <w:szCs w:val="13"/>
              </w:rPr>
            </w:pPr>
          </w:p>
        </w:tc>
        <w:tc>
          <w:tcPr>
            <w:tcW w:w="267"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一般</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公共</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政府性</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基金</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国有资本经营</w:t>
            </w:r>
            <w:r>
              <w:rPr>
                <w:rFonts w:hint="eastAsia" w:ascii="宋体" w:hAnsi="宋体" w:eastAsia="宋体" w:cs="宋体"/>
                <w:color w:val="000000"/>
                <w:sz w:val="13"/>
                <w:szCs w:val="13"/>
              </w:rPr>
              <w:br w:type="textWrapping"/>
            </w:r>
            <w:r>
              <w:rPr>
                <w:rFonts w:hint="eastAsia" w:ascii="宋体" w:hAnsi="宋体" w:eastAsia="宋体" w:cs="宋体"/>
                <w:color w:val="000000"/>
                <w:sz w:val="13"/>
                <w:szCs w:val="13"/>
              </w:rPr>
              <w:t>预算</w:t>
            </w:r>
          </w:p>
        </w:tc>
        <w:tc>
          <w:tcPr>
            <w:tcW w:w="236" w:type="dxa"/>
            <w:noWrap w:val="0"/>
            <w:vAlign w:val="center"/>
          </w:tcPr>
          <w:p>
            <w:pPr>
              <w:autoSpaceDN w:val="0"/>
              <w:jc w:val="center"/>
              <w:textAlignment w:val="center"/>
              <w:rPr>
                <w:rFonts w:hint="eastAsia" w:ascii="宋体" w:hAnsi="宋体" w:eastAsia="宋体" w:cs="宋体"/>
                <w:color w:val="000000"/>
                <w:sz w:val="13"/>
                <w:szCs w:val="13"/>
                <w:lang w:eastAsia="zh-CN"/>
              </w:rPr>
            </w:pPr>
            <w:r>
              <w:rPr>
                <w:rFonts w:hint="eastAsia" w:ascii="宋体" w:hAnsi="宋体" w:eastAsia="宋体" w:cs="宋体"/>
                <w:color w:val="000000"/>
                <w:sz w:val="13"/>
                <w:szCs w:val="13"/>
                <w:lang w:eastAsia="zh-CN"/>
              </w:rPr>
              <w:t>财政专户管理资金</w:t>
            </w:r>
          </w:p>
        </w:tc>
        <w:tc>
          <w:tcPr>
            <w:tcW w:w="459" w:type="dxa"/>
            <w:noWrap w:val="0"/>
            <w:vAlign w:val="center"/>
          </w:tcPr>
          <w:p>
            <w:pPr>
              <w:autoSpaceDN w:val="0"/>
              <w:jc w:val="center"/>
              <w:textAlignment w:val="center"/>
              <w:rPr>
                <w:rFonts w:hint="eastAsia" w:ascii="宋体" w:hAnsi="宋体" w:eastAsia="宋体" w:cs="宋体"/>
                <w:color w:val="000000"/>
                <w:sz w:val="13"/>
                <w:szCs w:val="13"/>
              </w:rPr>
            </w:pPr>
            <w:r>
              <w:rPr>
                <w:rFonts w:hint="eastAsia" w:ascii="宋体" w:hAnsi="宋体" w:eastAsia="宋体" w:cs="宋体"/>
                <w:color w:val="000000"/>
                <w:sz w:val="13"/>
                <w:szCs w:val="13"/>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012" w:type="dxa"/>
            <w:noWrap w:val="0"/>
            <w:vAlign w:val="center"/>
          </w:tcPr>
          <w:p>
            <w:pPr>
              <w:spacing w:line="700" w:lineRule="exact"/>
              <w:jc w:val="center"/>
              <w:rPr>
                <w:rFonts w:ascii="Calibri" w:hAnsi="Calibri" w:eastAsia="楷体"/>
                <w:kern w:val="0"/>
                <w:sz w:val="13"/>
                <w:szCs w:val="13"/>
              </w:rPr>
            </w:pPr>
            <w:r>
              <w:rPr>
                <w:rFonts w:hint="eastAsia" w:ascii="宋体" w:hAnsi="宋体" w:eastAsia="宋体" w:cs="宋体"/>
                <w:kern w:val="0"/>
                <w:sz w:val="13"/>
                <w:szCs w:val="13"/>
                <w:lang w:val="en-US" w:eastAsia="zh-CN"/>
              </w:rPr>
              <w:t>31部门特目标类项目</w:t>
            </w:r>
          </w:p>
        </w:tc>
        <w:tc>
          <w:tcPr>
            <w:tcW w:w="1052" w:type="dxa"/>
            <w:noWrap w:val="0"/>
            <w:vAlign w:val="center"/>
          </w:tcPr>
          <w:p>
            <w:pPr>
              <w:spacing w:line="700" w:lineRule="exact"/>
              <w:jc w:val="center"/>
              <w:rPr>
                <w:rFonts w:ascii="Calibri" w:hAnsi="Calibri" w:eastAsia="楷体"/>
                <w:kern w:val="0"/>
                <w:sz w:val="13"/>
                <w:szCs w:val="13"/>
              </w:rPr>
            </w:pPr>
          </w:p>
        </w:tc>
        <w:tc>
          <w:tcPr>
            <w:tcW w:w="1436" w:type="dxa"/>
            <w:noWrap w:val="0"/>
            <w:vAlign w:val="center"/>
          </w:tcPr>
          <w:p>
            <w:pPr>
              <w:spacing w:line="700" w:lineRule="exact"/>
              <w:jc w:val="center"/>
              <w:rPr>
                <w:rFonts w:ascii="Calibri" w:hAnsi="Calibri" w:eastAsia="楷体"/>
                <w:kern w:val="0"/>
                <w:sz w:val="13"/>
                <w:szCs w:val="13"/>
              </w:rPr>
            </w:pPr>
          </w:p>
        </w:tc>
        <w:tc>
          <w:tcPr>
            <w:tcW w:w="1050" w:type="dxa"/>
            <w:noWrap w:val="0"/>
            <w:vAlign w:val="center"/>
          </w:tcPr>
          <w:p>
            <w:pPr>
              <w:spacing w:line="700" w:lineRule="exact"/>
              <w:jc w:val="center"/>
              <w:rPr>
                <w:rFonts w:ascii="Calibri" w:hAnsi="Calibri" w:eastAsia="楷体"/>
                <w:kern w:val="0"/>
                <w:sz w:val="13"/>
                <w:szCs w:val="13"/>
              </w:rPr>
            </w:pPr>
          </w:p>
        </w:tc>
        <w:tc>
          <w:tcPr>
            <w:tcW w:w="700" w:type="dxa"/>
            <w:noWrap w:val="0"/>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3"/>
                <w:szCs w:val="13"/>
                <w:lang w:val="en-US" w:eastAsia="zh-CN"/>
              </w:rPr>
              <w:t>172.04</w:t>
            </w:r>
          </w:p>
        </w:tc>
        <w:tc>
          <w:tcPr>
            <w:tcW w:w="667" w:type="dxa"/>
            <w:noWrap w:val="0"/>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5"/>
                <w:szCs w:val="15"/>
                <w:lang w:val="en-US" w:eastAsia="zh-CN"/>
              </w:rPr>
              <w:t>46.53</w:t>
            </w:r>
          </w:p>
        </w:tc>
        <w:tc>
          <w:tcPr>
            <w:tcW w:w="276" w:type="dxa"/>
            <w:noWrap w:val="0"/>
            <w:vAlign w:val="center"/>
          </w:tcPr>
          <w:p>
            <w:pPr>
              <w:spacing w:line="700" w:lineRule="exact"/>
              <w:jc w:val="center"/>
              <w:rPr>
                <w:rFonts w:ascii="Calibri" w:hAnsi="Calibri" w:eastAsia="楷体"/>
                <w:kern w:val="0"/>
                <w:szCs w:val="32"/>
              </w:rPr>
            </w:pPr>
          </w:p>
        </w:tc>
        <w:tc>
          <w:tcPr>
            <w:tcW w:w="240" w:type="dxa"/>
            <w:noWrap w:val="0"/>
            <w:vAlign w:val="center"/>
          </w:tcPr>
          <w:p>
            <w:pPr>
              <w:spacing w:line="700" w:lineRule="exact"/>
              <w:jc w:val="center"/>
              <w:rPr>
                <w:rFonts w:ascii="Calibri" w:hAnsi="Calibri" w:eastAsia="楷体"/>
                <w:kern w:val="0"/>
                <w:szCs w:val="32"/>
              </w:rPr>
            </w:pPr>
          </w:p>
        </w:tc>
        <w:tc>
          <w:tcPr>
            <w:tcW w:w="267" w:type="dxa"/>
            <w:noWrap w:val="0"/>
            <w:vAlign w:val="center"/>
          </w:tcPr>
          <w:p>
            <w:pPr>
              <w:spacing w:line="700" w:lineRule="exact"/>
              <w:jc w:val="center"/>
              <w:rPr>
                <w:rFonts w:ascii="Calibri" w:hAnsi="Calibri" w:eastAsia="楷体"/>
                <w:kern w:val="0"/>
                <w:szCs w:val="32"/>
              </w:rPr>
            </w:pPr>
          </w:p>
        </w:tc>
        <w:tc>
          <w:tcPr>
            <w:tcW w:w="700" w:type="dxa"/>
            <w:noWrap w:val="0"/>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13"/>
                <w:szCs w:val="13"/>
                <w:lang w:val="en-US" w:eastAsia="zh-CN"/>
              </w:rPr>
              <w:t>125.51</w:t>
            </w:r>
          </w:p>
        </w:tc>
        <w:tc>
          <w:tcPr>
            <w:tcW w:w="267" w:type="dxa"/>
            <w:noWrap w:val="0"/>
            <w:vAlign w:val="center"/>
          </w:tcPr>
          <w:p>
            <w:pPr>
              <w:spacing w:line="700" w:lineRule="exact"/>
              <w:jc w:val="center"/>
              <w:rPr>
                <w:rFonts w:ascii="Calibri" w:hAnsi="Calibri" w:eastAsia="楷体"/>
                <w:kern w:val="0"/>
                <w:szCs w:val="32"/>
              </w:rPr>
            </w:pPr>
          </w:p>
        </w:tc>
        <w:tc>
          <w:tcPr>
            <w:tcW w:w="236" w:type="dxa"/>
            <w:noWrap w:val="0"/>
            <w:vAlign w:val="center"/>
          </w:tcPr>
          <w:p>
            <w:pPr>
              <w:spacing w:line="700" w:lineRule="exact"/>
              <w:jc w:val="center"/>
              <w:rPr>
                <w:rFonts w:ascii="Calibri" w:hAnsi="Calibri" w:eastAsia="楷体"/>
                <w:kern w:val="0"/>
                <w:szCs w:val="32"/>
              </w:rPr>
            </w:pPr>
          </w:p>
        </w:tc>
        <w:tc>
          <w:tcPr>
            <w:tcW w:w="236" w:type="dxa"/>
            <w:noWrap w:val="0"/>
            <w:vAlign w:val="center"/>
          </w:tcPr>
          <w:p>
            <w:pPr>
              <w:spacing w:line="700" w:lineRule="exact"/>
              <w:jc w:val="center"/>
              <w:rPr>
                <w:rFonts w:ascii="Calibri" w:hAnsi="Calibri" w:eastAsia="楷体"/>
                <w:kern w:val="0"/>
                <w:szCs w:val="32"/>
              </w:rPr>
            </w:pPr>
          </w:p>
        </w:tc>
        <w:tc>
          <w:tcPr>
            <w:tcW w:w="236" w:type="dxa"/>
            <w:noWrap w:val="0"/>
            <w:vAlign w:val="center"/>
          </w:tcPr>
          <w:p>
            <w:pPr>
              <w:spacing w:line="700" w:lineRule="exact"/>
              <w:jc w:val="center"/>
              <w:rPr>
                <w:rFonts w:ascii="Calibri" w:hAnsi="Calibri" w:eastAsia="楷体"/>
                <w:kern w:val="0"/>
                <w:szCs w:val="32"/>
              </w:rPr>
            </w:pPr>
          </w:p>
        </w:tc>
        <w:tc>
          <w:tcPr>
            <w:tcW w:w="459" w:type="dxa"/>
            <w:noWrap w:val="0"/>
            <w:vAlign w:val="center"/>
          </w:tcPr>
          <w:p>
            <w:pPr>
              <w:spacing w:line="700" w:lineRule="exact"/>
              <w:jc w:val="center"/>
              <w:rPr>
                <w:rFonts w:hint="default" w:ascii="Calibri" w:hAnsi="Calibri" w:eastAsia="楷体"/>
                <w:kern w:val="0"/>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12" w:type="dxa"/>
            <w:noWrap w:val="0"/>
            <w:vAlign w:val="center"/>
          </w:tcPr>
          <w:p>
            <w:pPr>
              <w:spacing w:line="700" w:lineRule="exact"/>
              <w:jc w:val="center"/>
              <w:rPr>
                <w:rFonts w:ascii="Calibri" w:hAnsi="Calibri" w:eastAsia="楷体"/>
                <w:kern w:val="0"/>
                <w:sz w:val="13"/>
                <w:szCs w:val="13"/>
              </w:rPr>
            </w:pPr>
          </w:p>
        </w:tc>
        <w:tc>
          <w:tcPr>
            <w:tcW w:w="1052" w:type="dxa"/>
            <w:noWrap w:val="0"/>
            <w:vAlign w:val="center"/>
          </w:tcPr>
          <w:p>
            <w:pPr>
              <w:spacing w:line="700" w:lineRule="exact"/>
              <w:jc w:val="center"/>
              <w:rPr>
                <w:rFonts w:hint="eastAsia" w:asciiTheme="minorEastAsia" w:hAnsiTheme="minorEastAsia" w:eastAsiaTheme="minorEastAsia" w:cstheme="minorEastAsia"/>
                <w:kern w:val="0"/>
                <w:sz w:val="13"/>
                <w:szCs w:val="13"/>
                <w:lang w:val="en-US" w:eastAsia="zh-CN"/>
              </w:rPr>
            </w:pPr>
            <w:r>
              <w:rPr>
                <w:rFonts w:hint="eastAsia" w:asciiTheme="minorEastAsia" w:hAnsiTheme="minorEastAsia" w:eastAsiaTheme="minorEastAsia" w:cstheme="minorEastAsia"/>
                <w:kern w:val="0"/>
                <w:sz w:val="13"/>
                <w:szCs w:val="13"/>
                <w:lang w:val="en-US" w:eastAsia="zh-CN"/>
              </w:rPr>
              <w:t>统计抽样抽样调查</w:t>
            </w:r>
          </w:p>
        </w:tc>
        <w:tc>
          <w:tcPr>
            <w:tcW w:w="1436" w:type="dxa"/>
            <w:noWrap w:val="0"/>
            <w:vAlign w:val="center"/>
          </w:tcPr>
          <w:p>
            <w:pPr>
              <w:spacing w:line="700" w:lineRule="exact"/>
              <w:jc w:val="center"/>
              <w:rPr>
                <w:rFonts w:ascii="Calibri" w:hAnsi="Calibri" w:eastAsia="楷体"/>
                <w:kern w:val="0"/>
                <w:sz w:val="13"/>
                <w:szCs w:val="13"/>
              </w:rPr>
            </w:pPr>
          </w:p>
        </w:tc>
        <w:tc>
          <w:tcPr>
            <w:tcW w:w="1050" w:type="dxa"/>
            <w:shd w:val="clear" w:color="auto" w:fill="auto"/>
            <w:noWrap w:val="0"/>
            <w:vAlign w:val="center"/>
          </w:tcPr>
          <w:p>
            <w:pPr>
              <w:spacing w:line="700" w:lineRule="exact"/>
              <w:jc w:val="center"/>
              <w:rPr>
                <w:rFonts w:hint="default" w:ascii="Calibri" w:hAnsi="Calibri" w:eastAsia="楷体" w:cs="Times New Roman"/>
                <w:kern w:val="0"/>
                <w:sz w:val="11"/>
                <w:szCs w:val="11"/>
                <w:lang w:val="en-US" w:eastAsia="zh-CN" w:bidi="ar-SA"/>
              </w:rPr>
            </w:pPr>
          </w:p>
        </w:tc>
        <w:tc>
          <w:tcPr>
            <w:tcW w:w="700" w:type="dxa"/>
            <w:shd w:val="clear" w:color="auto" w:fill="auto"/>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30.94</w:t>
            </w:r>
          </w:p>
        </w:tc>
        <w:tc>
          <w:tcPr>
            <w:tcW w:w="667" w:type="dxa"/>
            <w:shd w:val="clear" w:color="auto" w:fill="auto"/>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30.94</w:t>
            </w:r>
          </w:p>
        </w:tc>
        <w:tc>
          <w:tcPr>
            <w:tcW w:w="27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p>
        </w:tc>
        <w:tc>
          <w:tcPr>
            <w:tcW w:w="700" w:type="dxa"/>
            <w:noWrap w:val="0"/>
            <w:vAlign w:val="center"/>
          </w:tcPr>
          <w:p>
            <w:pPr>
              <w:spacing w:line="700" w:lineRule="exact"/>
              <w:jc w:val="center"/>
              <w:rPr>
                <w:rFonts w:hint="eastAsia" w:ascii="Calibri" w:hAnsi="Calibri" w:eastAsia="楷体"/>
                <w:kern w:val="0"/>
                <w:sz w:val="13"/>
                <w:szCs w:val="13"/>
                <w:lang w:val="en-US" w:eastAsia="zh-CN"/>
              </w:rPr>
            </w:pPr>
          </w:p>
        </w:tc>
        <w:tc>
          <w:tcPr>
            <w:tcW w:w="267"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459" w:type="dxa"/>
            <w:noWrap w:val="0"/>
            <w:vAlign w:val="center"/>
          </w:tcPr>
          <w:p>
            <w:pPr>
              <w:spacing w:line="700" w:lineRule="exact"/>
              <w:jc w:val="center"/>
              <w:rPr>
                <w:rFonts w:ascii="Calibri" w:hAnsi="Calibri" w:eastAsia="楷体"/>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12" w:type="dxa"/>
            <w:noWrap w:val="0"/>
            <w:vAlign w:val="center"/>
          </w:tcPr>
          <w:p>
            <w:pPr>
              <w:spacing w:line="700" w:lineRule="exact"/>
              <w:jc w:val="center"/>
              <w:rPr>
                <w:rFonts w:ascii="Calibri" w:hAnsi="Calibri" w:eastAsia="楷体"/>
                <w:kern w:val="0"/>
                <w:sz w:val="13"/>
                <w:szCs w:val="13"/>
              </w:rPr>
            </w:pPr>
          </w:p>
        </w:tc>
        <w:tc>
          <w:tcPr>
            <w:tcW w:w="1052" w:type="dxa"/>
            <w:noWrap w:val="0"/>
            <w:vAlign w:val="center"/>
          </w:tcPr>
          <w:p>
            <w:pPr>
              <w:spacing w:line="700" w:lineRule="exact"/>
              <w:jc w:val="center"/>
              <w:rPr>
                <w:rFonts w:hint="eastAsia" w:asciiTheme="minorEastAsia" w:hAnsiTheme="minorEastAsia" w:eastAsiaTheme="minorEastAsia" w:cstheme="minorEastAsia"/>
                <w:kern w:val="0"/>
                <w:sz w:val="13"/>
                <w:szCs w:val="13"/>
                <w:lang w:val="en-US" w:eastAsia="zh-CN"/>
              </w:rPr>
            </w:pPr>
          </w:p>
        </w:tc>
        <w:tc>
          <w:tcPr>
            <w:tcW w:w="1436" w:type="dxa"/>
            <w:noWrap w:val="0"/>
            <w:vAlign w:val="center"/>
          </w:tcPr>
          <w:p>
            <w:pPr>
              <w:spacing w:line="700" w:lineRule="exact"/>
              <w:jc w:val="both"/>
              <w:rPr>
                <w:rFonts w:hint="eastAsia" w:asciiTheme="minorEastAsia" w:hAnsiTheme="minorEastAsia" w:eastAsiaTheme="minorEastAsia" w:cstheme="minorEastAsia"/>
                <w:kern w:val="0"/>
                <w:sz w:val="13"/>
                <w:szCs w:val="13"/>
                <w:lang w:eastAsia="zh-CN"/>
              </w:rPr>
            </w:pPr>
            <w:r>
              <w:rPr>
                <w:rFonts w:hint="eastAsia" w:asciiTheme="minorEastAsia" w:hAnsiTheme="minorEastAsia" w:eastAsiaTheme="minorEastAsia" w:cstheme="minorEastAsia"/>
                <w:kern w:val="0"/>
                <w:sz w:val="13"/>
                <w:szCs w:val="13"/>
                <w:lang w:eastAsia="zh-CN"/>
              </w:rPr>
              <w:t>统计调查综合补助</w:t>
            </w:r>
          </w:p>
        </w:tc>
        <w:tc>
          <w:tcPr>
            <w:tcW w:w="1050" w:type="dxa"/>
            <w:shd w:val="clear" w:color="auto" w:fill="auto"/>
            <w:noWrap w:val="0"/>
            <w:vAlign w:val="center"/>
          </w:tcPr>
          <w:p>
            <w:pPr>
              <w:spacing w:line="700" w:lineRule="exact"/>
              <w:jc w:val="center"/>
              <w:rPr>
                <w:rFonts w:hint="eastAsia" w:asciiTheme="minorEastAsia" w:hAnsiTheme="minorEastAsia" w:eastAsiaTheme="minorEastAsia" w:cstheme="minorEastAsia"/>
                <w:kern w:val="0"/>
                <w:sz w:val="13"/>
                <w:szCs w:val="13"/>
                <w:lang w:val="en-US" w:eastAsia="zh-CN" w:bidi="ar-SA"/>
              </w:rPr>
            </w:pPr>
            <w:r>
              <w:rPr>
                <w:rFonts w:hint="eastAsia" w:asciiTheme="minorEastAsia" w:hAnsiTheme="minorEastAsia" w:eastAsiaTheme="minorEastAsia" w:cstheme="minorEastAsia"/>
                <w:kern w:val="0"/>
                <w:sz w:val="13"/>
                <w:szCs w:val="13"/>
                <w:lang w:val="en-US" w:eastAsia="zh-CN" w:bidi="ar-SA"/>
              </w:rPr>
              <w:t>镇赉县统计局</w:t>
            </w:r>
          </w:p>
        </w:tc>
        <w:tc>
          <w:tcPr>
            <w:tcW w:w="700" w:type="dxa"/>
            <w:shd w:val="clear" w:color="auto" w:fill="auto"/>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30.94</w:t>
            </w:r>
          </w:p>
        </w:tc>
        <w:tc>
          <w:tcPr>
            <w:tcW w:w="667" w:type="dxa"/>
            <w:shd w:val="clear" w:color="auto" w:fill="auto"/>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30.94</w:t>
            </w:r>
          </w:p>
        </w:tc>
        <w:tc>
          <w:tcPr>
            <w:tcW w:w="27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p>
        </w:tc>
        <w:tc>
          <w:tcPr>
            <w:tcW w:w="700" w:type="dxa"/>
            <w:noWrap w:val="0"/>
            <w:vAlign w:val="center"/>
          </w:tcPr>
          <w:p>
            <w:pPr>
              <w:spacing w:line="700" w:lineRule="exact"/>
              <w:jc w:val="center"/>
              <w:rPr>
                <w:rFonts w:hint="eastAsia" w:ascii="Calibri" w:hAnsi="Calibri" w:eastAsia="楷体"/>
                <w:kern w:val="0"/>
                <w:sz w:val="13"/>
                <w:szCs w:val="13"/>
                <w:lang w:val="en-US" w:eastAsia="zh-CN"/>
              </w:rPr>
            </w:pPr>
          </w:p>
        </w:tc>
        <w:tc>
          <w:tcPr>
            <w:tcW w:w="267"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459" w:type="dxa"/>
            <w:noWrap w:val="0"/>
            <w:vAlign w:val="center"/>
          </w:tcPr>
          <w:p>
            <w:pPr>
              <w:spacing w:line="700" w:lineRule="exact"/>
              <w:jc w:val="center"/>
              <w:rPr>
                <w:rFonts w:ascii="Calibri" w:hAnsi="Calibri" w:eastAsia="楷体"/>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12" w:type="dxa"/>
            <w:noWrap w:val="0"/>
            <w:vAlign w:val="center"/>
          </w:tcPr>
          <w:p>
            <w:pPr>
              <w:spacing w:line="700" w:lineRule="exact"/>
              <w:jc w:val="center"/>
              <w:rPr>
                <w:rFonts w:ascii="Calibri" w:hAnsi="Calibri" w:eastAsia="楷体"/>
                <w:kern w:val="0"/>
                <w:sz w:val="13"/>
                <w:szCs w:val="13"/>
              </w:rPr>
            </w:pPr>
          </w:p>
        </w:tc>
        <w:tc>
          <w:tcPr>
            <w:tcW w:w="1052" w:type="dxa"/>
            <w:noWrap w:val="0"/>
            <w:vAlign w:val="center"/>
          </w:tcPr>
          <w:p>
            <w:pPr>
              <w:spacing w:line="700" w:lineRule="exact"/>
              <w:jc w:val="center"/>
              <w:rPr>
                <w:rFonts w:ascii="Calibri" w:hAnsi="Calibri" w:eastAsia="楷体"/>
                <w:kern w:val="0"/>
                <w:sz w:val="13"/>
                <w:szCs w:val="13"/>
              </w:rPr>
            </w:pPr>
            <w:r>
              <w:rPr>
                <w:rFonts w:hint="eastAsia" w:asciiTheme="minorEastAsia" w:hAnsiTheme="minorEastAsia" w:eastAsiaTheme="minorEastAsia" w:cstheme="minorEastAsia"/>
                <w:kern w:val="0"/>
                <w:sz w:val="13"/>
                <w:szCs w:val="13"/>
                <w:lang w:val="en-US" w:eastAsia="zh-CN"/>
              </w:rPr>
              <w:t>专项统计业务</w:t>
            </w:r>
          </w:p>
        </w:tc>
        <w:tc>
          <w:tcPr>
            <w:tcW w:w="1436" w:type="dxa"/>
            <w:noWrap w:val="0"/>
            <w:vAlign w:val="center"/>
          </w:tcPr>
          <w:p>
            <w:pPr>
              <w:spacing w:line="700" w:lineRule="exact"/>
              <w:jc w:val="center"/>
              <w:rPr>
                <w:rFonts w:ascii="Calibri" w:hAnsi="Calibri" w:eastAsia="楷体"/>
                <w:kern w:val="0"/>
                <w:sz w:val="13"/>
                <w:szCs w:val="13"/>
              </w:rPr>
            </w:pPr>
          </w:p>
        </w:tc>
        <w:tc>
          <w:tcPr>
            <w:tcW w:w="1050" w:type="dxa"/>
            <w:shd w:val="clear" w:color="auto" w:fill="auto"/>
            <w:noWrap w:val="0"/>
            <w:vAlign w:val="center"/>
          </w:tcPr>
          <w:p>
            <w:pPr>
              <w:spacing w:line="700" w:lineRule="exact"/>
              <w:jc w:val="center"/>
              <w:rPr>
                <w:rFonts w:hint="default" w:ascii="Calibri" w:hAnsi="Calibri" w:eastAsia="楷体" w:cs="Times New Roman"/>
                <w:kern w:val="0"/>
                <w:sz w:val="11"/>
                <w:szCs w:val="11"/>
                <w:lang w:val="en-US" w:eastAsia="zh-CN" w:bidi="ar-SA"/>
              </w:rPr>
            </w:pPr>
          </w:p>
        </w:tc>
        <w:tc>
          <w:tcPr>
            <w:tcW w:w="700"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36.22</w:t>
            </w:r>
          </w:p>
        </w:tc>
        <w:tc>
          <w:tcPr>
            <w:tcW w:w="667"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11.59</w:t>
            </w:r>
          </w:p>
        </w:tc>
        <w:tc>
          <w:tcPr>
            <w:tcW w:w="27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p>
        </w:tc>
        <w:tc>
          <w:tcPr>
            <w:tcW w:w="700" w:type="dxa"/>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24.63</w:t>
            </w:r>
          </w:p>
        </w:tc>
        <w:tc>
          <w:tcPr>
            <w:tcW w:w="267"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459" w:type="dxa"/>
            <w:noWrap w:val="0"/>
            <w:vAlign w:val="center"/>
          </w:tcPr>
          <w:p>
            <w:pPr>
              <w:spacing w:line="700" w:lineRule="exact"/>
              <w:jc w:val="center"/>
              <w:rPr>
                <w:rFonts w:ascii="Calibri" w:hAnsi="Calibri" w:eastAsia="楷体"/>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2" w:type="dxa"/>
            <w:noWrap w:val="0"/>
            <w:vAlign w:val="center"/>
          </w:tcPr>
          <w:p>
            <w:pPr>
              <w:spacing w:line="700" w:lineRule="exact"/>
              <w:jc w:val="center"/>
              <w:rPr>
                <w:rFonts w:ascii="Calibri" w:hAnsi="Calibri" w:eastAsia="楷体"/>
                <w:kern w:val="0"/>
                <w:sz w:val="13"/>
                <w:szCs w:val="13"/>
              </w:rPr>
            </w:pPr>
          </w:p>
        </w:tc>
        <w:tc>
          <w:tcPr>
            <w:tcW w:w="1052" w:type="dxa"/>
            <w:noWrap w:val="0"/>
            <w:vAlign w:val="center"/>
          </w:tcPr>
          <w:p>
            <w:pPr>
              <w:spacing w:line="700" w:lineRule="exact"/>
              <w:jc w:val="center"/>
              <w:rPr>
                <w:rFonts w:ascii="Calibri" w:hAnsi="Calibri" w:eastAsia="楷体"/>
                <w:kern w:val="0"/>
                <w:sz w:val="13"/>
                <w:szCs w:val="13"/>
              </w:rPr>
            </w:pPr>
          </w:p>
        </w:tc>
        <w:tc>
          <w:tcPr>
            <w:tcW w:w="1436" w:type="dxa"/>
            <w:noWrap w:val="0"/>
            <w:vAlign w:val="center"/>
          </w:tcPr>
          <w:p>
            <w:pPr>
              <w:spacing w:line="700" w:lineRule="exact"/>
              <w:jc w:val="center"/>
              <w:rPr>
                <w:rFonts w:hint="eastAsia" w:asciiTheme="minorEastAsia" w:hAnsiTheme="minorEastAsia" w:eastAsiaTheme="minorEastAsia" w:cstheme="minorEastAsia"/>
                <w:kern w:val="0"/>
                <w:sz w:val="13"/>
                <w:szCs w:val="13"/>
                <w:lang w:val="en-US" w:eastAsia="zh-CN"/>
              </w:rPr>
            </w:pPr>
            <w:r>
              <w:rPr>
                <w:rFonts w:hint="eastAsia" w:asciiTheme="minorEastAsia" w:hAnsiTheme="minorEastAsia" w:eastAsiaTheme="minorEastAsia" w:cstheme="minorEastAsia"/>
                <w:kern w:val="0"/>
                <w:sz w:val="13"/>
                <w:szCs w:val="13"/>
                <w:lang w:val="en-US" w:eastAsia="zh-CN"/>
              </w:rPr>
              <w:t>综合统计业务费</w:t>
            </w:r>
          </w:p>
        </w:tc>
        <w:tc>
          <w:tcPr>
            <w:tcW w:w="1050"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Theme="minorEastAsia" w:hAnsiTheme="minorEastAsia" w:eastAsiaTheme="minorEastAsia" w:cstheme="minorEastAsia"/>
                <w:kern w:val="0"/>
                <w:sz w:val="13"/>
                <w:szCs w:val="13"/>
                <w:lang w:val="en-US" w:eastAsia="zh-CN" w:bidi="ar-SA"/>
              </w:rPr>
              <w:t>镇赉县统计局</w:t>
            </w:r>
          </w:p>
        </w:tc>
        <w:tc>
          <w:tcPr>
            <w:tcW w:w="700"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36.22</w:t>
            </w:r>
          </w:p>
        </w:tc>
        <w:tc>
          <w:tcPr>
            <w:tcW w:w="667"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11.59</w:t>
            </w:r>
          </w:p>
        </w:tc>
        <w:tc>
          <w:tcPr>
            <w:tcW w:w="276" w:type="dxa"/>
            <w:noWrap w:val="0"/>
            <w:vAlign w:val="center"/>
          </w:tcPr>
          <w:p>
            <w:pPr>
              <w:spacing w:line="700" w:lineRule="exact"/>
              <w:jc w:val="center"/>
              <w:rPr>
                <w:rFonts w:ascii="Calibri" w:hAnsi="Calibri" w:eastAsia="楷体"/>
                <w:kern w:val="0"/>
                <w:sz w:val="13"/>
                <w:szCs w:val="13"/>
              </w:rPr>
            </w:pPr>
          </w:p>
        </w:tc>
        <w:tc>
          <w:tcPr>
            <w:tcW w:w="240" w:type="dxa"/>
            <w:noWrap w:val="0"/>
            <w:vAlign w:val="center"/>
          </w:tcPr>
          <w:p>
            <w:pPr>
              <w:spacing w:line="700" w:lineRule="exact"/>
              <w:jc w:val="center"/>
              <w:rPr>
                <w:rFonts w:ascii="Calibri" w:hAnsi="Calibri" w:eastAsia="楷体"/>
                <w:kern w:val="0"/>
                <w:sz w:val="13"/>
                <w:szCs w:val="13"/>
              </w:rPr>
            </w:pPr>
          </w:p>
        </w:tc>
        <w:tc>
          <w:tcPr>
            <w:tcW w:w="267" w:type="dxa"/>
            <w:noWrap w:val="0"/>
            <w:vAlign w:val="center"/>
          </w:tcPr>
          <w:p>
            <w:pPr>
              <w:spacing w:line="700" w:lineRule="exact"/>
              <w:jc w:val="center"/>
              <w:rPr>
                <w:rFonts w:ascii="Calibri" w:hAnsi="Calibri" w:eastAsia="楷体"/>
                <w:kern w:val="0"/>
                <w:sz w:val="13"/>
                <w:szCs w:val="13"/>
              </w:rPr>
            </w:pPr>
          </w:p>
        </w:tc>
        <w:tc>
          <w:tcPr>
            <w:tcW w:w="700"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24.63</w:t>
            </w:r>
          </w:p>
        </w:tc>
        <w:tc>
          <w:tcPr>
            <w:tcW w:w="267"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459" w:type="dxa"/>
            <w:noWrap w:val="0"/>
            <w:vAlign w:val="center"/>
          </w:tcPr>
          <w:p>
            <w:pPr>
              <w:spacing w:line="700" w:lineRule="exact"/>
              <w:jc w:val="center"/>
              <w:rPr>
                <w:rFonts w:ascii="Calibri" w:hAnsi="Calibri" w:eastAsia="楷体"/>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2" w:type="dxa"/>
            <w:noWrap w:val="0"/>
            <w:vAlign w:val="center"/>
          </w:tcPr>
          <w:p>
            <w:pPr>
              <w:spacing w:line="700" w:lineRule="exact"/>
              <w:jc w:val="center"/>
              <w:rPr>
                <w:rFonts w:ascii="Calibri" w:hAnsi="Calibri" w:eastAsia="楷体"/>
                <w:kern w:val="0"/>
                <w:sz w:val="13"/>
                <w:szCs w:val="13"/>
              </w:rPr>
            </w:pPr>
          </w:p>
        </w:tc>
        <w:tc>
          <w:tcPr>
            <w:tcW w:w="1052" w:type="dxa"/>
            <w:noWrap w:val="0"/>
            <w:vAlign w:val="center"/>
          </w:tcPr>
          <w:p>
            <w:pPr>
              <w:spacing w:line="700" w:lineRule="exact"/>
              <w:jc w:val="center"/>
              <w:rPr>
                <w:rFonts w:hint="default" w:asciiTheme="minorEastAsia" w:hAnsiTheme="minorEastAsia" w:eastAsiaTheme="minorEastAsia" w:cstheme="minorEastAsia"/>
                <w:kern w:val="0"/>
                <w:sz w:val="13"/>
                <w:szCs w:val="13"/>
                <w:lang w:val="en-US" w:eastAsia="zh-CN"/>
              </w:rPr>
            </w:pPr>
            <w:r>
              <w:rPr>
                <w:rFonts w:hint="eastAsia" w:asciiTheme="minorEastAsia" w:hAnsiTheme="minorEastAsia" w:eastAsiaTheme="minorEastAsia" w:cstheme="minorEastAsia"/>
                <w:kern w:val="0"/>
                <w:sz w:val="13"/>
                <w:szCs w:val="13"/>
                <w:lang w:val="en-US" w:eastAsia="zh-CN"/>
              </w:rPr>
              <w:t>专项普查</w:t>
            </w:r>
          </w:p>
        </w:tc>
        <w:tc>
          <w:tcPr>
            <w:tcW w:w="1436" w:type="dxa"/>
            <w:noWrap w:val="0"/>
            <w:vAlign w:val="center"/>
          </w:tcPr>
          <w:p>
            <w:pPr>
              <w:spacing w:line="700" w:lineRule="exact"/>
              <w:jc w:val="center"/>
              <w:rPr>
                <w:rFonts w:ascii="Calibri" w:hAnsi="Calibri" w:eastAsia="楷体"/>
                <w:kern w:val="0"/>
                <w:sz w:val="13"/>
                <w:szCs w:val="13"/>
              </w:rPr>
            </w:pPr>
          </w:p>
        </w:tc>
        <w:tc>
          <w:tcPr>
            <w:tcW w:w="1050" w:type="dxa"/>
            <w:noWrap w:val="0"/>
            <w:vAlign w:val="center"/>
          </w:tcPr>
          <w:p>
            <w:pPr>
              <w:spacing w:line="700" w:lineRule="exact"/>
              <w:jc w:val="center"/>
              <w:rPr>
                <w:rFonts w:ascii="Calibri" w:hAnsi="Calibri" w:eastAsia="楷体"/>
                <w:kern w:val="0"/>
                <w:sz w:val="13"/>
                <w:szCs w:val="13"/>
              </w:rPr>
            </w:pPr>
          </w:p>
        </w:tc>
        <w:tc>
          <w:tcPr>
            <w:tcW w:w="700"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104.88</w:t>
            </w:r>
          </w:p>
        </w:tc>
        <w:tc>
          <w:tcPr>
            <w:tcW w:w="667"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4.00</w:t>
            </w:r>
          </w:p>
        </w:tc>
        <w:tc>
          <w:tcPr>
            <w:tcW w:w="276" w:type="dxa"/>
            <w:noWrap w:val="0"/>
            <w:vAlign w:val="center"/>
          </w:tcPr>
          <w:p>
            <w:pPr>
              <w:spacing w:line="700" w:lineRule="exact"/>
              <w:jc w:val="center"/>
              <w:rPr>
                <w:rFonts w:ascii="Calibri" w:hAnsi="Calibri" w:eastAsia="楷体"/>
                <w:kern w:val="0"/>
                <w:sz w:val="13"/>
                <w:szCs w:val="13"/>
              </w:rPr>
            </w:pPr>
          </w:p>
        </w:tc>
        <w:tc>
          <w:tcPr>
            <w:tcW w:w="240" w:type="dxa"/>
            <w:noWrap w:val="0"/>
            <w:vAlign w:val="center"/>
          </w:tcPr>
          <w:p>
            <w:pPr>
              <w:spacing w:line="700" w:lineRule="exact"/>
              <w:jc w:val="center"/>
              <w:rPr>
                <w:rFonts w:ascii="Calibri" w:hAnsi="Calibri" w:eastAsia="楷体"/>
                <w:kern w:val="0"/>
                <w:sz w:val="13"/>
                <w:szCs w:val="13"/>
              </w:rPr>
            </w:pPr>
          </w:p>
        </w:tc>
        <w:tc>
          <w:tcPr>
            <w:tcW w:w="267" w:type="dxa"/>
            <w:noWrap w:val="0"/>
            <w:vAlign w:val="center"/>
          </w:tcPr>
          <w:p>
            <w:pPr>
              <w:spacing w:line="700" w:lineRule="exact"/>
              <w:jc w:val="center"/>
              <w:rPr>
                <w:rFonts w:ascii="Calibri" w:hAnsi="Calibri" w:eastAsia="楷体"/>
                <w:kern w:val="0"/>
                <w:sz w:val="13"/>
                <w:szCs w:val="13"/>
              </w:rPr>
            </w:pPr>
          </w:p>
        </w:tc>
        <w:tc>
          <w:tcPr>
            <w:tcW w:w="700"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Calibri" w:hAnsi="Calibri" w:eastAsia="楷体"/>
                <w:kern w:val="0"/>
                <w:sz w:val="13"/>
                <w:szCs w:val="13"/>
                <w:lang w:val="en-US" w:eastAsia="zh-CN"/>
              </w:rPr>
              <w:t>100.88</w:t>
            </w:r>
          </w:p>
        </w:tc>
        <w:tc>
          <w:tcPr>
            <w:tcW w:w="267"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236" w:type="dxa"/>
            <w:noWrap w:val="0"/>
            <w:vAlign w:val="center"/>
          </w:tcPr>
          <w:p>
            <w:pPr>
              <w:spacing w:line="700" w:lineRule="exact"/>
              <w:jc w:val="center"/>
              <w:rPr>
                <w:rFonts w:ascii="Calibri" w:hAnsi="Calibri" w:eastAsia="楷体"/>
                <w:kern w:val="0"/>
                <w:sz w:val="13"/>
                <w:szCs w:val="13"/>
              </w:rPr>
            </w:pPr>
          </w:p>
        </w:tc>
        <w:tc>
          <w:tcPr>
            <w:tcW w:w="459" w:type="dxa"/>
            <w:noWrap w:val="0"/>
            <w:vAlign w:val="center"/>
          </w:tcPr>
          <w:p>
            <w:pPr>
              <w:spacing w:line="700" w:lineRule="exact"/>
              <w:jc w:val="center"/>
              <w:rPr>
                <w:rFonts w:hint="default" w:ascii="Calibri" w:hAnsi="Calibri" w:eastAsia="楷体"/>
                <w:kern w:val="0"/>
                <w:sz w:val="13"/>
                <w:szCs w:val="13"/>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12" w:type="dxa"/>
            <w:noWrap w:val="0"/>
            <w:vAlign w:val="center"/>
          </w:tcPr>
          <w:p>
            <w:pPr>
              <w:autoSpaceDN w:val="0"/>
              <w:jc w:val="both"/>
              <w:textAlignment w:val="center"/>
              <w:rPr>
                <w:rFonts w:hint="eastAsia" w:ascii="Calibri" w:hAnsi="Calibri" w:eastAsia="华文细黑"/>
                <w:color w:val="000000"/>
                <w:sz w:val="13"/>
                <w:szCs w:val="13"/>
              </w:rPr>
            </w:pPr>
          </w:p>
        </w:tc>
        <w:tc>
          <w:tcPr>
            <w:tcW w:w="1052" w:type="dxa"/>
            <w:noWrap w:val="0"/>
            <w:vAlign w:val="center"/>
          </w:tcPr>
          <w:p>
            <w:pPr>
              <w:spacing w:line="700" w:lineRule="exact"/>
              <w:jc w:val="center"/>
              <w:rPr>
                <w:rFonts w:hint="eastAsia" w:asciiTheme="minorEastAsia" w:hAnsiTheme="minorEastAsia" w:eastAsiaTheme="minorEastAsia" w:cstheme="minorEastAsia"/>
                <w:kern w:val="0"/>
                <w:sz w:val="13"/>
                <w:szCs w:val="13"/>
                <w:lang w:val="en-US" w:eastAsia="zh-CN"/>
              </w:rPr>
            </w:pPr>
          </w:p>
        </w:tc>
        <w:tc>
          <w:tcPr>
            <w:tcW w:w="1436" w:type="dxa"/>
            <w:noWrap w:val="0"/>
            <w:vAlign w:val="center"/>
          </w:tcPr>
          <w:p>
            <w:pPr>
              <w:spacing w:line="700" w:lineRule="exact"/>
              <w:jc w:val="center"/>
              <w:rPr>
                <w:rFonts w:hint="default" w:ascii="Calibri" w:hAnsi="Calibri" w:eastAsia="楷体"/>
                <w:kern w:val="0"/>
                <w:sz w:val="13"/>
                <w:szCs w:val="13"/>
                <w:lang w:val="en-US" w:eastAsia="zh-CN"/>
              </w:rPr>
            </w:pPr>
            <w:r>
              <w:rPr>
                <w:rFonts w:hint="eastAsia" w:asciiTheme="minorEastAsia" w:hAnsiTheme="minorEastAsia" w:eastAsiaTheme="minorEastAsia" w:cstheme="minorEastAsia"/>
                <w:kern w:val="0"/>
                <w:sz w:val="13"/>
                <w:szCs w:val="13"/>
                <w:lang w:val="en-US" w:eastAsia="zh-CN"/>
              </w:rPr>
              <w:t>大型普查综合业务费</w:t>
            </w:r>
          </w:p>
        </w:tc>
        <w:tc>
          <w:tcPr>
            <w:tcW w:w="1050" w:type="dxa"/>
            <w:noWrap w:val="0"/>
            <w:vAlign w:val="center"/>
          </w:tcPr>
          <w:p>
            <w:pPr>
              <w:spacing w:line="700" w:lineRule="exact"/>
              <w:jc w:val="center"/>
              <w:rPr>
                <w:rFonts w:ascii="Calibri" w:hAnsi="Calibri" w:eastAsia="楷体"/>
                <w:kern w:val="0"/>
                <w:sz w:val="13"/>
                <w:szCs w:val="13"/>
              </w:rPr>
            </w:pPr>
            <w:r>
              <w:rPr>
                <w:rFonts w:hint="eastAsia" w:asciiTheme="minorEastAsia" w:hAnsiTheme="minorEastAsia" w:eastAsiaTheme="minorEastAsia" w:cstheme="minorEastAsia"/>
                <w:kern w:val="0"/>
                <w:sz w:val="13"/>
                <w:szCs w:val="13"/>
                <w:lang w:val="en-US" w:eastAsia="zh-CN" w:bidi="ar-SA"/>
              </w:rPr>
              <w:t>镇赉县统计局</w:t>
            </w:r>
          </w:p>
        </w:tc>
        <w:tc>
          <w:tcPr>
            <w:tcW w:w="700"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104.88</w:t>
            </w:r>
          </w:p>
        </w:tc>
        <w:tc>
          <w:tcPr>
            <w:tcW w:w="667"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4.00</w:t>
            </w:r>
          </w:p>
        </w:tc>
        <w:tc>
          <w:tcPr>
            <w:tcW w:w="27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40"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67"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700"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r>
              <w:rPr>
                <w:rFonts w:hint="eastAsia" w:ascii="Calibri" w:hAnsi="Calibri" w:eastAsia="楷体"/>
                <w:kern w:val="0"/>
                <w:sz w:val="13"/>
                <w:szCs w:val="13"/>
                <w:lang w:val="en-US" w:eastAsia="zh-CN"/>
              </w:rPr>
              <w:t>100.88</w:t>
            </w:r>
          </w:p>
        </w:tc>
        <w:tc>
          <w:tcPr>
            <w:tcW w:w="267"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236" w:type="dxa"/>
            <w:shd w:val="clear" w:color="auto" w:fill="auto"/>
            <w:noWrap w:val="0"/>
            <w:vAlign w:val="center"/>
          </w:tcPr>
          <w:p>
            <w:pPr>
              <w:spacing w:line="700" w:lineRule="exact"/>
              <w:jc w:val="center"/>
              <w:rPr>
                <w:rFonts w:ascii="Calibri" w:hAnsi="Calibri" w:eastAsia="楷体" w:cs="Times New Roman"/>
                <w:kern w:val="0"/>
                <w:sz w:val="13"/>
                <w:szCs w:val="13"/>
                <w:lang w:val="en-US" w:eastAsia="zh-CN" w:bidi="ar-SA"/>
              </w:rPr>
            </w:pPr>
          </w:p>
        </w:tc>
        <w:tc>
          <w:tcPr>
            <w:tcW w:w="459" w:type="dxa"/>
            <w:shd w:val="clear" w:color="auto" w:fill="auto"/>
            <w:noWrap w:val="0"/>
            <w:vAlign w:val="center"/>
          </w:tcPr>
          <w:p>
            <w:pPr>
              <w:spacing w:line="700" w:lineRule="exact"/>
              <w:jc w:val="center"/>
              <w:rPr>
                <w:rFonts w:hint="default" w:ascii="Calibri" w:hAnsi="Calibri" w:eastAsia="楷体" w:cs="Times New Roman"/>
                <w:kern w:val="0"/>
                <w:sz w:val="13"/>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12" w:type="dxa"/>
            <w:noWrap w:val="0"/>
            <w:vAlign w:val="center"/>
          </w:tcPr>
          <w:p>
            <w:pPr>
              <w:spacing w:line="700" w:lineRule="exact"/>
              <w:jc w:val="center"/>
              <w:rPr>
                <w:rFonts w:hint="eastAsia" w:ascii="Calibri" w:hAnsi="Calibri" w:eastAsia="华文细黑"/>
                <w:color w:val="000000"/>
                <w:sz w:val="20"/>
                <w:szCs w:val="22"/>
                <w:lang w:val="en-US" w:eastAsia="zh-CN"/>
              </w:rPr>
            </w:pPr>
            <w:r>
              <w:rPr>
                <w:rFonts w:hint="eastAsia" w:asciiTheme="minorEastAsia" w:hAnsiTheme="minorEastAsia" w:eastAsiaTheme="minorEastAsia" w:cstheme="minorEastAsia"/>
                <w:kern w:val="0"/>
                <w:sz w:val="13"/>
                <w:szCs w:val="13"/>
                <w:lang w:val="en-US" w:eastAsia="zh-CN"/>
              </w:rPr>
              <w:t>合计</w:t>
            </w:r>
          </w:p>
        </w:tc>
        <w:tc>
          <w:tcPr>
            <w:tcW w:w="1052" w:type="dxa"/>
            <w:noWrap w:val="0"/>
            <w:vAlign w:val="center"/>
          </w:tcPr>
          <w:p>
            <w:pPr>
              <w:spacing w:line="700" w:lineRule="exact"/>
              <w:jc w:val="center"/>
              <w:rPr>
                <w:rFonts w:hint="eastAsia" w:ascii="Calibri" w:hAnsi="Calibri" w:eastAsia="华文细黑"/>
                <w:color w:val="000000"/>
                <w:sz w:val="20"/>
                <w:szCs w:val="22"/>
              </w:rPr>
            </w:pPr>
          </w:p>
        </w:tc>
        <w:tc>
          <w:tcPr>
            <w:tcW w:w="1436" w:type="dxa"/>
            <w:noWrap w:val="0"/>
            <w:vAlign w:val="center"/>
          </w:tcPr>
          <w:p>
            <w:pPr>
              <w:spacing w:line="700" w:lineRule="exact"/>
              <w:jc w:val="center"/>
              <w:rPr>
                <w:rFonts w:hint="eastAsia" w:ascii="Calibri" w:hAnsi="Calibri" w:eastAsia="华文细黑"/>
                <w:color w:val="000000"/>
                <w:sz w:val="20"/>
                <w:szCs w:val="22"/>
              </w:rPr>
            </w:pPr>
          </w:p>
        </w:tc>
        <w:tc>
          <w:tcPr>
            <w:tcW w:w="1050" w:type="dxa"/>
            <w:noWrap w:val="0"/>
            <w:vAlign w:val="center"/>
          </w:tcPr>
          <w:p>
            <w:pPr>
              <w:spacing w:line="700" w:lineRule="exact"/>
              <w:jc w:val="center"/>
              <w:rPr>
                <w:rFonts w:hint="eastAsia" w:ascii="Calibri" w:hAnsi="Calibri" w:eastAsia="华文细黑"/>
                <w:color w:val="000000"/>
                <w:sz w:val="20"/>
                <w:szCs w:val="22"/>
              </w:rPr>
            </w:pPr>
          </w:p>
        </w:tc>
        <w:tc>
          <w:tcPr>
            <w:tcW w:w="700" w:type="dxa"/>
            <w:shd w:val="clear" w:color="auto" w:fill="auto"/>
            <w:noWrap w:val="0"/>
            <w:vAlign w:val="center"/>
          </w:tcPr>
          <w:p>
            <w:pPr>
              <w:spacing w:line="700" w:lineRule="exact"/>
              <w:jc w:val="center"/>
              <w:rPr>
                <w:rFonts w:hint="default" w:ascii="Calibri" w:hAnsi="Calibri" w:eastAsia="楷体" w:cs="Times New Roman"/>
                <w:kern w:val="0"/>
                <w:sz w:val="32"/>
                <w:szCs w:val="32"/>
                <w:lang w:val="en-US" w:eastAsia="zh-CN" w:bidi="ar-SA"/>
              </w:rPr>
            </w:pPr>
            <w:r>
              <w:rPr>
                <w:rFonts w:hint="eastAsia" w:ascii="Calibri" w:hAnsi="Calibri" w:eastAsia="楷体"/>
                <w:kern w:val="0"/>
                <w:sz w:val="13"/>
                <w:szCs w:val="13"/>
                <w:lang w:val="en-US" w:eastAsia="zh-CN"/>
              </w:rPr>
              <w:t>172.04</w:t>
            </w:r>
          </w:p>
        </w:tc>
        <w:tc>
          <w:tcPr>
            <w:tcW w:w="667" w:type="dxa"/>
            <w:shd w:val="clear" w:color="auto" w:fill="auto"/>
            <w:noWrap w:val="0"/>
            <w:vAlign w:val="center"/>
          </w:tcPr>
          <w:p>
            <w:pPr>
              <w:spacing w:line="700" w:lineRule="exact"/>
              <w:jc w:val="center"/>
              <w:rPr>
                <w:rFonts w:hint="default" w:ascii="Calibri" w:hAnsi="Calibri" w:eastAsia="楷体" w:cs="Times New Roman"/>
                <w:kern w:val="0"/>
                <w:sz w:val="32"/>
                <w:szCs w:val="32"/>
                <w:lang w:val="en-US" w:eastAsia="zh-CN" w:bidi="ar-SA"/>
              </w:rPr>
            </w:pPr>
            <w:r>
              <w:rPr>
                <w:rFonts w:hint="eastAsia" w:ascii="Calibri" w:hAnsi="Calibri" w:eastAsia="楷体"/>
                <w:kern w:val="0"/>
                <w:sz w:val="15"/>
                <w:szCs w:val="15"/>
                <w:lang w:val="en-US" w:eastAsia="zh-CN"/>
              </w:rPr>
              <w:t>46.53</w:t>
            </w:r>
          </w:p>
        </w:tc>
        <w:tc>
          <w:tcPr>
            <w:tcW w:w="276"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240"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267"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700" w:type="dxa"/>
            <w:shd w:val="clear" w:color="auto" w:fill="auto"/>
            <w:noWrap w:val="0"/>
            <w:vAlign w:val="center"/>
          </w:tcPr>
          <w:p>
            <w:pPr>
              <w:spacing w:line="700" w:lineRule="exact"/>
              <w:jc w:val="center"/>
              <w:rPr>
                <w:rFonts w:hint="default" w:ascii="Calibri" w:hAnsi="Calibri" w:eastAsia="楷体" w:cs="Times New Roman"/>
                <w:kern w:val="0"/>
                <w:sz w:val="32"/>
                <w:szCs w:val="32"/>
                <w:lang w:val="en-US" w:eastAsia="zh-CN" w:bidi="ar-SA"/>
              </w:rPr>
            </w:pPr>
            <w:r>
              <w:rPr>
                <w:rFonts w:hint="eastAsia" w:ascii="Calibri" w:hAnsi="Calibri" w:eastAsia="楷体"/>
                <w:kern w:val="0"/>
                <w:sz w:val="13"/>
                <w:szCs w:val="13"/>
                <w:lang w:val="en-US" w:eastAsia="zh-CN"/>
              </w:rPr>
              <w:t>125.51</w:t>
            </w:r>
          </w:p>
        </w:tc>
        <w:tc>
          <w:tcPr>
            <w:tcW w:w="267"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236"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c>
          <w:tcPr>
            <w:tcW w:w="459" w:type="dxa"/>
            <w:shd w:val="clear" w:color="auto" w:fill="auto"/>
            <w:noWrap w:val="0"/>
            <w:vAlign w:val="center"/>
          </w:tcPr>
          <w:p>
            <w:pPr>
              <w:spacing w:line="700" w:lineRule="exact"/>
              <w:jc w:val="center"/>
              <w:rPr>
                <w:rFonts w:hint="eastAsia" w:ascii="Calibri" w:hAnsi="Calibri" w:eastAsia="楷体" w:cs="Times New Roman"/>
                <w:kern w:val="0"/>
                <w:sz w:val="32"/>
                <w:szCs w:val="32"/>
                <w:lang w:val="en-US" w:eastAsia="zh-CN" w:bidi="ar-SA"/>
              </w:rPr>
            </w:pPr>
          </w:p>
        </w:tc>
      </w:tr>
    </w:tbl>
    <w:p>
      <w:pPr>
        <w:spacing w:line="700" w:lineRule="exact"/>
        <w:jc w:val="cente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621"/>
        <w:gridCol w:w="900"/>
        <w:gridCol w:w="967"/>
        <w:gridCol w:w="883"/>
        <w:gridCol w:w="867"/>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镇赉县统计局</w:t>
            </w:r>
          </w:p>
        </w:tc>
        <w:tc>
          <w:tcPr>
            <w:tcW w:w="103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104.88</w:t>
            </w:r>
          </w:p>
        </w:tc>
        <w:tc>
          <w:tcPr>
            <w:tcW w:w="1038"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lang w:val="en-US" w:eastAsia="zh-CN"/>
              </w:rPr>
              <w:t>1%人口抽样调查补贴发放完成。按照农业普查各个阶段的工作，持续推进，保证农业普查的顺利进行。</w:t>
            </w: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数量指标</w:t>
            </w:r>
          </w:p>
        </w:tc>
        <w:tc>
          <w:tcPr>
            <w:tcW w:w="9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指导员和调查员培训人次</w:t>
            </w:r>
          </w:p>
        </w:tc>
        <w:tc>
          <w:tcPr>
            <w:tcW w:w="8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反映指导员和调查员培训人次情况。</w:t>
            </w:r>
          </w:p>
        </w:tc>
        <w:tc>
          <w:tcPr>
            <w:tcW w:w="8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i w:val="0"/>
                <w:iCs w:val="0"/>
                <w:color w:val="000000"/>
                <w:kern w:val="0"/>
                <w:sz w:val="18"/>
                <w:szCs w:val="18"/>
                <w:u w:val="none"/>
                <w:lang w:val="en-US" w:eastAsia="zh-CN" w:bidi="ar"/>
              </w:rPr>
              <w:t>400</w:t>
            </w:r>
            <w:r>
              <w:rPr>
                <w:rFonts w:hint="default" w:ascii="华文细黑" w:hAnsi="华文细黑" w:eastAsia="华文细黑" w:cs="华文细黑"/>
                <w:i w:val="0"/>
                <w:iCs w:val="0"/>
                <w:color w:val="000000"/>
                <w:kern w:val="0"/>
                <w:sz w:val="18"/>
                <w:szCs w:val="18"/>
                <w:u w:val="none"/>
                <w:lang w:val="en-US" w:eastAsia="zh-CN" w:bidi="ar"/>
              </w:rPr>
              <w:t>人</w:t>
            </w:r>
          </w:p>
        </w:tc>
        <w:tc>
          <w:tcPr>
            <w:tcW w:w="5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i w:val="0"/>
                <w:iCs w:val="0"/>
                <w:color w:val="000000"/>
                <w:kern w:val="0"/>
                <w:sz w:val="18"/>
                <w:szCs w:val="18"/>
                <w:u w:val="none"/>
                <w:lang w:val="en-US" w:eastAsia="zh-CN" w:bidi="ar"/>
              </w:rPr>
              <w:t>时效</w:t>
            </w:r>
            <w:r>
              <w:rPr>
                <w:rFonts w:hint="default" w:ascii="华文细黑" w:hAnsi="华文细黑" w:eastAsia="华文细黑" w:cs="华文细黑"/>
                <w:i w:val="0"/>
                <w:iCs w:val="0"/>
                <w:color w:val="000000"/>
                <w:kern w:val="0"/>
                <w:sz w:val="18"/>
                <w:szCs w:val="18"/>
                <w:u w:val="none"/>
                <w:lang w:val="en-US" w:eastAsia="zh-CN" w:bidi="ar"/>
              </w:rPr>
              <w:t>指标</w:t>
            </w:r>
          </w:p>
        </w:tc>
        <w:tc>
          <w:tcPr>
            <w:tcW w:w="9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普查员、普查指导员补助发放及时率</w:t>
            </w:r>
          </w:p>
        </w:tc>
        <w:tc>
          <w:tcPr>
            <w:tcW w:w="8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普查员、普查指导员补助发放及时情况</w:t>
            </w:r>
          </w:p>
        </w:tc>
        <w:tc>
          <w:tcPr>
            <w:tcW w:w="8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eastAsia="zh-CN"/>
              </w:rPr>
            </w:pPr>
            <w:r>
              <w:rPr>
                <w:rFonts w:hint="eastAsia" w:ascii="Arial" w:hAnsi="Arial" w:eastAsia="华文细黑" w:cs="Arial"/>
                <w:kern w:val="0"/>
                <w:sz w:val="20"/>
                <w:szCs w:val="20"/>
                <w:vertAlign w:val="baseline"/>
                <w:lang w:val="en-US" w:eastAsia="zh-CN"/>
              </w:rPr>
              <w:t>100%</w:t>
            </w:r>
          </w:p>
        </w:tc>
        <w:tc>
          <w:tcPr>
            <w:tcW w:w="5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2</w:t>
            </w:r>
            <w:r>
              <w:rPr>
                <w:rFonts w:hint="eastAsia" w:ascii="华文细黑" w:hAnsi="华文细黑" w:eastAsia="华文细黑" w:cs="华文细黑"/>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效益指标</w:t>
            </w: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社会效益指标</w:t>
            </w:r>
          </w:p>
        </w:tc>
        <w:tc>
          <w:tcPr>
            <w:tcW w:w="9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普查员、普查指导员补贴发放覆盖率</w:t>
            </w:r>
          </w:p>
        </w:tc>
        <w:tc>
          <w:tcPr>
            <w:tcW w:w="8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反映普查员、普查指导员补贴发放覆盖率情况。</w:t>
            </w:r>
          </w:p>
        </w:tc>
        <w:tc>
          <w:tcPr>
            <w:tcW w:w="8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eastAsia="zh-CN"/>
              </w:rPr>
            </w:pPr>
            <w:r>
              <w:rPr>
                <w:rFonts w:hint="eastAsia" w:ascii="Arial" w:hAnsi="Arial" w:eastAsia="华文细黑" w:cs="Arial"/>
                <w:kern w:val="0"/>
                <w:sz w:val="20"/>
                <w:szCs w:val="20"/>
                <w:vertAlign w:val="baseline"/>
                <w:lang w:val="en-US" w:eastAsia="zh-CN"/>
              </w:rPr>
              <w:t>100%</w:t>
            </w:r>
          </w:p>
        </w:tc>
        <w:tc>
          <w:tcPr>
            <w:tcW w:w="5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统计调查综合补助</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30.94</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通过发放记账户补贴，提高住户记账热情和责任感，有利于保障记账户数据质量，保证最终统计数据代表性。。</w:t>
            </w: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p>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数量指标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 xml:space="preserve">  城乡住户调查补助发放人数</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反映发放城乡住户调查补助的人数情况</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华文细黑" w:hAnsi="华文细黑" w:eastAsia="华文细黑" w:cs="华文细黑"/>
                <w:i w:val="0"/>
                <w:iCs w:val="0"/>
                <w:color w:val="000000"/>
                <w:kern w:val="0"/>
                <w:sz w:val="18"/>
                <w:szCs w:val="18"/>
                <w:u w:val="none"/>
                <w:lang w:val="en-US" w:eastAsia="zh-CN" w:bidi="ar"/>
              </w:rPr>
              <w:t>1</w:t>
            </w:r>
            <w:r>
              <w:rPr>
                <w:rFonts w:hint="eastAsia" w:ascii="华文细黑" w:hAnsi="华文细黑" w:eastAsia="华文细黑" w:cs="华文细黑"/>
                <w:i w:val="0"/>
                <w:iCs w:val="0"/>
                <w:color w:val="000000"/>
                <w:kern w:val="0"/>
                <w:sz w:val="18"/>
                <w:szCs w:val="18"/>
                <w:u w:val="none"/>
                <w:lang w:val="en-US" w:eastAsia="zh-CN" w:bidi="ar"/>
              </w:rPr>
              <w:t>8</w:t>
            </w:r>
            <w:r>
              <w:rPr>
                <w:rFonts w:hint="default" w:ascii="华文细黑" w:hAnsi="华文细黑" w:eastAsia="华文细黑" w:cs="华文细黑"/>
                <w:i w:val="0"/>
                <w:iCs w:val="0"/>
                <w:color w:val="000000"/>
                <w:kern w:val="0"/>
                <w:sz w:val="18"/>
                <w:szCs w:val="18"/>
                <w:u w:val="none"/>
                <w:lang w:val="en-US" w:eastAsia="zh-CN" w:bidi="ar"/>
              </w:rPr>
              <w:t>0人</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1038" w:type="dxa"/>
            <w:vMerge w:val="continue"/>
            <w:tcBorders>
              <w:left w:val="single" w:color="000000" w:sz="4" w:space="0"/>
              <w:right w:val="single" w:color="000000" w:sz="4" w:space="0"/>
            </w:tcBorders>
            <w:noWrap w:val="0"/>
            <w:vAlign w:val="center"/>
          </w:tcPr>
          <w:p>
            <w:pPr>
              <w:spacing w:line="240" w:lineRule="auto"/>
              <w:jc w:val="center"/>
              <w:rPr>
                <w:sz w:val="18"/>
                <w:szCs w:val="18"/>
              </w:rPr>
            </w:pP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时效指标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发放补助费时间</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反映发放记账户、辅助调查员补助费时间</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12月</w:t>
            </w:r>
            <w:r>
              <w:rPr>
                <w:rFonts w:hint="eastAsia" w:ascii="华文细黑" w:hAnsi="华文细黑" w:eastAsia="华文细黑" w:cs="华文细黑"/>
                <w:i w:val="0"/>
                <w:iCs w:val="0"/>
                <w:color w:val="000000"/>
                <w:kern w:val="0"/>
                <w:sz w:val="18"/>
                <w:szCs w:val="18"/>
                <w:u w:val="none"/>
                <w:lang w:val="en-US" w:eastAsia="zh-CN" w:bidi="ar"/>
              </w:rPr>
              <w:t>底前</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i w:val="0"/>
                <w:iCs w:val="0"/>
                <w:color w:val="000000"/>
                <w:kern w:val="0"/>
                <w:sz w:val="18"/>
                <w:szCs w:val="18"/>
                <w:u w:val="none"/>
                <w:lang w:val="en-US" w:eastAsia="zh-CN" w:bidi="ar"/>
              </w:rPr>
              <w:t>效益指标</w:t>
            </w: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社会效益指标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调查户、调查员补助发放覆盖率</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反映抽样调查户补助发放覆盖情况。</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i w:val="0"/>
                <w:iCs w:val="0"/>
                <w:color w:val="000000"/>
                <w:kern w:val="0"/>
                <w:sz w:val="18"/>
                <w:szCs w:val="18"/>
                <w:u w:val="none"/>
                <w:lang w:val="en-US" w:eastAsia="zh-CN" w:bidi="ar"/>
              </w:rPr>
              <w:t>100</w:t>
            </w:r>
            <w:r>
              <w:rPr>
                <w:rFonts w:hint="default" w:ascii="华文细黑" w:hAnsi="华文细黑" w:eastAsia="华文细黑" w:cs="华文细黑"/>
                <w:i w:val="0"/>
                <w:iCs w:val="0"/>
                <w:color w:val="000000"/>
                <w:kern w:val="0"/>
                <w:sz w:val="18"/>
                <w:szCs w:val="18"/>
                <w:u w:val="none"/>
                <w:lang w:val="en-US" w:eastAsia="zh-CN" w:bidi="ar"/>
              </w:rPr>
              <w:t>%</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综合统计业务费</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36.22</w:t>
            </w:r>
          </w:p>
        </w:tc>
        <w:tc>
          <w:tcPr>
            <w:tcW w:w="1038"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按照上级统计部门工作要求，组织实施年度统计调查任务，达到全面、及时、准确地上报各专业统计报表，完成发布统计公报及发布统计年鉴。</w:t>
            </w: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i w:val="0"/>
                <w:iCs w:val="0"/>
                <w:color w:val="000000"/>
                <w:kern w:val="0"/>
                <w:sz w:val="18"/>
                <w:szCs w:val="18"/>
                <w:u w:val="none"/>
                <w:lang w:val="en-US" w:eastAsia="zh-CN" w:bidi="ar"/>
              </w:rPr>
              <w:t>产出指标</w:t>
            </w: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i w:val="0"/>
                <w:iCs w:val="0"/>
                <w:color w:val="000000"/>
                <w:kern w:val="0"/>
                <w:sz w:val="18"/>
                <w:szCs w:val="18"/>
                <w:u w:val="none"/>
                <w:lang w:val="en-US" w:eastAsia="zh-CN" w:bidi="ar"/>
              </w:rPr>
              <w:t>数量指标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编印年鉴数</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反映编印年鉴数量。</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Arial" w:hAnsi="Arial" w:eastAsia="华文细黑" w:cs="Arial"/>
                <w:kern w:val="0"/>
                <w:sz w:val="20"/>
                <w:szCs w:val="20"/>
                <w:vertAlign w:val="baseline"/>
              </w:rPr>
              <w:t>≥</w:t>
            </w:r>
            <w:r>
              <w:rPr>
                <w:rFonts w:hint="default" w:ascii="Arial" w:hAnsi="Arial" w:eastAsia="华文细黑" w:cs="Arial"/>
                <w:i w:val="0"/>
                <w:iCs w:val="0"/>
                <w:color w:val="000000"/>
                <w:kern w:val="0"/>
                <w:sz w:val="18"/>
                <w:szCs w:val="18"/>
                <w:u w:val="none"/>
                <w:lang w:val="en-US" w:eastAsia="zh-CN" w:bidi="ar"/>
              </w:rPr>
              <w:t>200份</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产出指标</w:t>
            </w: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时效指标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统计公报撰写完成时间</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华文细黑" w:hAnsi="华文细黑" w:eastAsia="华文细黑" w:cs="华文细黑"/>
                <w:kern w:val="0"/>
                <w:sz w:val="18"/>
                <w:szCs w:val="18"/>
                <w:vertAlign w:val="baseline"/>
              </w:rPr>
            </w:pPr>
            <w:r>
              <w:rPr>
                <w:rFonts w:hint="default" w:ascii="华文细黑" w:hAnsi="华文细黑" w:eastAsia="华文细黑" w:cs="华文细黑"/>
                <w:i w:val="0"/>
                <w:iCs w:val="0"/>
                <w:color w:val="000000"/>
                <w:kern w:val="0"/>
                <w:sz w:val="18"/>
                <w:szCs w:val="18"/>
                <w:u w:val="none"/>
                <w:lang w:val="en-US" w:eastAsia="zh-CN" w:bidi="ar"/>
              </w:rPr>
              <w:t>撰写2024年度统计公报完成时间。</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eastAsia="zh-CN"/>
              </w:rPr>
            </w:pPr>
            <w:r>
              <w:rPr>
                <w:rFonts w:hint="eastAsia" w:ascii="Arial" w:hAnsi="Arial" w:eastAsia="华文细黑" w:cs="Arial"/>
                <w:kern w:val="0"/>
                <w:sz w:val="20"/>
                <w:szCs w:val="20"/>
                <w:vertAlign w:val="baseline"/>
                <w:lang w:val="en-US" w:eastAsia="zh-CN"/>
              </w:rPr>
              <w:t>7月31日</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kern w:val="0"/>
                <w:sz w:val="18"/>
                <w:szCs w:val="18"/>
                <w:vertAlign w:val="baseline"/>
                <w:lang w:val="en-US"/>
              </w:rPr>
            </w:pPr>
            <w:r>
              <w:rPr>
                <w:rFonts w:hint="eastAsia" w:ascii="华文细黑" w:hAnsi="华文细黑" w:eastAsia="华文细黑" w:cs="华文细黑"/>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8"/>
                <w:szCs w:val="18"/>
                <w:vertAlign w:val="baseline"/>
              </w:rPr>
            </w:pPr>
          </w:p>
        </w:tc>
        <w:tc>
          <w:tcPr>
            <w:tcW w:w="62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8"/>
                <w:szCs w:val="18"/>
                <w:u w:val="none"/>
                <w:lang w:val="en-US" w:eastAsia="zh-CN" w:bidi="ar"/>
              </w:rPr>
            </w:pPr>
            <w:r>
              <w:rPr>
                <w:rFonts w:hint="default" w:ascii="华文细黑" w:hAnsi="华文细黑" w:eastAsia="华文细黑" w:cs="华文细黑"/>
                <w:i w:val="0"/>
                <w:iCs w:val="0"/>
                <w:color w:val="000000"/>
                <w:kern w:val="0"/>
                <w:sz w:val="18"/>
                <w:szCs w:val="18"/>
                <w:u w:val="none"/>
                <w:lang w:val="en-US" w:eastAsia="zh-CN" w:bidi="ar"/>
              </w:rPr>
              <w:t>效益指标</w:t>
            </w:r>
          </w:p>
        </w:tc>
        <w:tc>
          <w:tcPr>
            <w:tcW w:w="900"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8"/>
                <w:szCs w:val="18"/>
                <w:u w:val="none"/>
                <w:lang w:val="en-US" w:eastAsia="zh-CN" w:bidi="ar"/>
              </w:rPr>
            </w:pPr>
            <w:r>
              <w:rPr>
                <w:rFonts w:hint="default" w:ascii="华文细黑" w:hAnsi="华文细黑" w:eastAsia="华文细黑" w:cs="华文细黑"/>
                <w:i w:val="0"/>
                <w:iCs w:val="0"/>
                <w:color w:val="000000"/>
                <w:kern w:val="0"/>
                <w:sz w:val="18"/>
                <w:szCs w:val="18"/>
                <w:u w:val="none"/>
                <w:lang w:val="en-US" w:eastAsia="zh-CN" w:bidi="ar"/>
              </w:rPr>
              <w:t>社会效益指标</w:t>
            </w:r>
          </w:p>
        </w:tc>
        <w:tc>
          <w:tcPr>
            <w:tcW w:w="9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8"/>
                <w:szCs w:val="18"/>
                <w:u w:val="none"/>
                <w:lang w:val="en-US" w:eastAsia="zh-CN" w:bidi="ar"/>
              </w:rPr>
            </w:pPr>
            <w:r>
              <w:rPr>
                <w:rFonts w:hint="default" w:ascii="华文细黑" w:hAnsi="华文细黑" w:eastAsia="华文细黑" w:cs="华文细黑"/>
                <w:i w:val="0"/>
                <w:iCs w:val="0"/>
                <w:color w:val="000000"/>
                <w:kern w:val="0"/>
                <w:sz w:val="18"/>
                <w:szCs w:val="18"/>
                <w:u w:val="none"/>
                <w:lang w:val="en-US" w:eastAsia="zh-CN" w:bidi="ar"/>
              </w:rPr>
              <w:t>向社会公众提供统计公报</w:t>
            </w:r>
          </w:p>
        </w:tc>
        <w:tc>
          <w:tcPr>
            <w:tcW w:w="883" w:type="dxa"/>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18"/>
                <w:szCs w:val="18"/>
                <w:u w:val="none"/>
                <w:lang w:val="en-US" w:eastAsia="zh-CN" w:bidi="ar"/>
              </w:rPr>
            </w:pPr>
            <w:r>
              <w:rPr>
                <w:rFonts w:hint="default" w:ascii="华文细黑" w:hAnsi="华文细黑" w:eastAsia="华文细黑" w:cs="华文细黑"/>
                <w:i w:val="0"/>
                <w:iCs w:val="0"/>
                <w:color w:val="000000"/>
                <w:kern w:val="0"/>
                <w:sz w:val="18"/>
                <w:szCs w:val="18"/>
                <w:u w:val="none"/>
                <w:lang w:val="en-US" w:eastAsia="zh-CN" w:bidi="ar"/>
              </w:rPr>
              <w:t>向社会公众提供统计公报篇数</w:t>
            </w:r>
          </w:p>
        </w:tc>
        <w:tc>
          <w:tcPr>
            <w:tcW w:w="867"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华文细黑" w:cs="Arial"/>
                <w:kern w:val="0"/>
                <w:sz w:val="20"/>
                <w:szCs w:val="20"/>
                <w:vertAlign w:val="baseline"/>
                <w:lang w:val="en-US" w:eastAsia="zh-CN"/>
              </w:rPr>
            </w:pPr>
            <w:r>
              <w:rPr>
                <w:rFonts w:hint="eastAsia" w:ascii="Arial" w:hAnsi="Arial" w:eastAsia="华文细黑" w:cs="Arial"/>
                <w:kern w:val="0"/>
                <w:sz w:val="20"/>
                <w:szCs w:val="20"/>
                <w:vertAlign w:val="baseline"/>
                <w:lang w:eastAsia="zh-CN"/>
              </w:rPr>
              <w:t>＝</w:t>
            </w:r>
            <w:r>
              <w:rPr>
                <w:rFonts w:hint="eastAsia" w:ascii="Arial" w:hAnsi="Arial" w:eastAsia="华文细黑" w:cs="Arial"/>
                <w:kern w:val="0"/>
                <w:sz w:val="20"/>
                <w:szCs w:val="20"/>
                <w:vertAlign w:val="baseline"/>
                <w:lang w:val="en-US" w:eastAsia="zh-CN"/>
              </w:rPr>
              <w:t>1篇</w:t>
            </w:r>
          </w:p>
        </w:tc>
        <w:tc>
          <w:tcPr>
            <w:tcW w:w="551"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8"/>
                <w:szCs w:val="18"/>
                <w:u w:val="none"/>
                <w:lang w:val="en-US" w:eastAsia="zh-CN" w:bidi="ar"/>
              </w:rPr>
            </w:pPr>
            <w:r>
              <w:rPr>
                <w:rFonts w:hint="eastAsia" w:ascii="华文细黑" w:hAnsi="华文细黑" w:eastAsia="华文细黑" w:cs="华文细黑"/>
                <w:i w:val="0"/>
                <w:iCs w:val="0"/>
                <w:color w:val="000000"/>
                <w:kern w:val="0"/>
                <w:sz w:val="18"/>
                <w:szCs w:val="18"/>
                <w:u w:val="none"/>
                <w:lang w:val="en-US" w:eastAsia="zh-CN" w:bidi="ar"/>
              </w:rPr>
              <w:t>40</w:t>
            </w:r>
          </w:p>
        </w:tc>
      </w:tr>
    </w:tbl>
    <w:p>
      <w:pPr>
        <w:spacing w:line="700" w:lineRule="exact"/>
        <w:rPr>
          <w:rFonts w:eastAsia="楷体"/>
          <w:kern w:val="0"/>
          <w:szCs w:val="32"/>
        </w:rPr>
      </w:pPr>
    </w:p>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按照综合预算的原则，所有收入和支出全部纳入部门预算管理。收入包括：一般公共预算拨款收入、其他收入；支出包括：一般公共服务支出、社会保障和就业支出、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315.32</w:t>
      </w:r>
      <w:r>
        <w:rPr>
          <w:szCs w:val="32"/>
        </w:rPr>
        <w:t>万元</w:t>
      </w:r>
      <w:r>
        <w:rPr>
          <w:rFonts w:hint="eastAsia"/>
          <w:szCs w:val="32"/>
          <w:lang w:eastAsia="zh-CN"/>
        </w:rPr>
        <w:t>，其中：本年预算</w:t>
      </w:r>
      <w:r>
        <w:rPr>
          <w:rFonts w:hint="eastAsia"/>
          <w:szCs w:val="32"/>
          <w:lang w:val="en-US" w:eastAsia="zh-CN"/>
        </w:rPr>
        <w:t>315.32</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156.46</w:t>
      </w:r>
      <w:r>
        <w:rPr>
          <w:szCs w:val="32"/>
        </w:rPr>
        <w:t>万元，主要原因是</w:t>
      </w:r>
      <w:r>
        <w:rPr>
          <w:rFonts w:hint="eastAsia"/>
          <w:szCs w:val="32"/>
          <w:lang w:val="en-US" w:eastAsia="zh-CN"/>
        </w:rPr>
        <w:t>2026年开展第四次全国农业普查，</w:t>
      </w:r>
      <w:r>
        <w:rPr>
          <w:rFonts w:hint="eastAsia" w:ascii="仿宋" w:hAnsi="仿宋" w:eastAsia="仿宋" w:cs="仿宋"/>
          <w:szCs w:val="32"/>
          <w:lang w:val="en-US" w:eastAsia="zh-CN"/>
        </w:rPr>
        <w:t>预算相应增加</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315.32</w:t>
      </w:r>
      <w:r>
        <w:rPr>
          <w:szCs w:val="32"/>
        </w:rPr>
        <w:t>万元，其中：本年收入</w:t>
      </w:r>
      <w:r>
        <w:rPr>
          <w:rFonts w:hint="eastAsia"/>
          <w:szCs w:val="32"/>
          <w:lang w:val="en-US" w:eastAsia="zh-CN"/>
        </w:rPr>
        <w:t>315.32</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189.81</w:t>
      </w:r>
      <w:r>
        <w:rPr>
          <w:szCs w:val="32"/>
        </w:rPr>
        <w:t>万元，占</w:t>
      </w:r>
      <w:r>
        <w:rPr>
          <w:rFonts w:hint="eastAsia"/>
          <w:szCs w:val="32"/>
          <w:lang w:val="en-US" w:eastAsia="zh-CN"/>
        </w:rPr>
        <w:t>60.20</w:t>
      </w:r>
      <w:r>
        <w:rPr>
          <w:szCs w:val="32"/>
        </w:rPr>
        <w:t>%；其他收入</w:t>
      </w:r>
      <w:r>
        <w:rPr>
          <w:rFonts w:hint="eastAsia"/>
          <w:szCs w:val="32"/>
          <w:lang w:val="en-US" w:eastAsia="zh-CN"/>
        </w:rPr>
        <w:t>125.51</w:t>
      </w:r>
      <w:r>
        <w:rPr>
          <w:szCs w:val="32"/>
        </w:rPr>
        <w:t>万元，占</w:t>
      </w:r>
      <w:r>
        <w:rPr>
          <w:rFonts w:hint="eastAsia"/>
          <w:szCs w:val="32"/>
          <w:lang w:val="en-US" w:eastAsia="zh-CN"/>
        </w:rPr>
        <w:t>39.80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315.32</w:t>
      </w:r>
      <w:r>
        <w:rPr>
          <w:szCs w:val="32"/>
        </w:rPr>
        <w:t>万元，其中：基本支出</w:t>
      </w:r>
      <w:r>
        <w:rPr>
          <w:rFonts w:hint="eastAsia"/>
          <w:szCs w:val="32"/>
          <w:lang w:val="en-US" w:eastAsia="zh-CN"/>
        </w:rPr>
        <w:t>143.28</w:t>
      </w:r>
      <w:r>
        <w:rPr>
          <w:szCs w:val="32"/>
        </w:rPr>
        <w:t>万元，占</w:t>
      </w:r>
      <w:r>
        <w:rPr>
          <w:rFonts w:hint="eastAsia"/>
          <w:szCs w:val="32"/>
          <w:lang w:val="en-US" w:eastAsia="zh-CN"/>
        </w:rPr>
        <w:t>45.43</w:t>
      </w:r>
      <w:r>
        <w:rPr>
          <w:szCs w:val="32"/>
        </w:rPr>
        <w:t>%；项目支出</w:t>
      </w:r>
      <w:r>
        <w:rPr>
          <w:rFonts w:hint="eastAsia"/>
          <w:szCs w:val="32"/>
          <w:lang w:val="en-US" w:eastAsia="zh-CN"/>
        </w:rPr>
        <w:t>172.04</w:t>
      </w:r>
      <w:r>
        <w:rPr>
          <w:szCs w:val="32"/>
        </w:rPr>
        <w:t>万元，占</w:t>
      </w:r>
      <w:r>
        <w:rPr>
          <w:rFonts w:hint="eastAsia"/>
          <w:szCs w:val="32"/>
          <w:lang w:val="en-US" w:eastAsia="zh-CN"/>
        </w:rPr>
        <w:t>54.56</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189.81</w:t>
      </w:r>
      <w:r>
        <w:rPr>
          <w:szCs w:val="32"/>
        </w:rPr>
        <w:t>万元，其中：</w:t>
      </w:r>
      <w:r>
        <w:rPr>
          <w:rFonts w:hint="eastAsia"/>
          <w:szCs w:val="32"/>
        </w:rPr>
        <w:t>本年</w:t>
      </w:r>
      <w:r>
        <w:rPr>
          <w:rFonts w:hint="eastAsia"/>
          <w:szCs w:val="32"/>
          <w:lang w:eastAsia="zh-CN"/>
        </w:rPr>
        <w:t>预算</w:t>
      </w:r>
      <w:r>
        <w:rPr>
          <w:rFonts w:hint="eastAsia"/>
          <w:szCs w:val="32"/>
          <w:lang w:val="en-US" w:eastAsia="zh-CN"/>
        </w:rPr>
        <w:t>189.81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148.72</w:t>
      </w:r>
      <w:r>
        <w:rPr>
          <w:szCs w:val="32"/>
        </w:rPr>
        <w:t>万元，</w:t>
      </w:r>
      <w:r>
        <w:rPr>
          <w:kern w:val="0"/>
          <w:szCs w:val="32"/>
        </w:rPr>
        <w:t>社会保障和就业支出</w:t>
      </w:r>
      <w:r>
        <w:rPr>
          <w:rFonts w:hint="eastAsia"/>
          <w:szCs w:val="32"/>
          <w:lang w:val="en-US" w:eastAsia="zh-CN"/>
        </w:rPr>
        <w:t>26.67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4.11</w:t>
      </w:r>
      <w:r>
        <w:rPr>
          <w:szCs w:val="32"/>
        </w:rPr>
        <w:t>万元，</w:t>
      </w:r>
      <w:r>
        <w:rPr>
          <w:kern w:val="0"/>
          <w:szCs w:val="32"/>
        </w:rPr>
        <w:t>住房保障支出</w:t>
      </w:r>
      <w:r>
        <w:rPr>
          <w:rFonts w:hint="eastAsia"/>
          <w:szCs w:val="32"/>
          <w:lang w:val="en-US" w:eastAsia="zh-CN"/>
        </w:rPr>
        <w:t>10.31</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189.81</w:t>
      </w:r>
      <w:r>
        <w:rPr>
          <w:szCs w:val="32"/>
        </w:rPr>
        <w:t>万元，其中：基本支出</w:t>
      </w:r>
      <w:r>
        <w:rPr>
          <w:rFonts w:hint="eastAsia"/>
          <w:szCs w:val="32"/>
          <w:lang w:val="en-US" w:eastAsia="zh-CN"/>
        </w:rPr>
        <w:t>143.28</w:t>
      </w:r>
      <w:r>
        <w:rPr>
          <w:szCs w:val="32"/>
        </w:rPr>
        <w:t>万元，占</w:t>
      </w:r>
      <w:r>
        <w:rPr>
          <w:rFonts w:hint="eastAsia"/>
          <w:szCs w:val="32"/>
          <w:lang w:val="en-US" w:eastAsia="zh-CN"/>
        </w:rPr>
        <w:t>75.49</w:t>
      </w:r>
      <w:r>
        <w:rPr>
          <w:szCs w:val="32"/>
        </w:rPr>
        <w:t>%；项目支出</w:t>
      </w:r>
      <w:r>
        <w:rPr>
          <w:rFonts w:hint="eastAsia"/>
          <w:szCs w:val="32"/>
          <w:lang w:val="en-US" w:eastAsia="zh-CN"/>
        </w:rPr>
        <w:t>46.53</w:t>
      </w:r>
      <w:r>
        <w:rPr>
          <w:szCs w:val="32"/>
        </w:rPr>
        <w:t>元，占</w:t>
      </w:r>
      <w:r>
        <w:rPr>
          <w:rFonts w:hint="eastAsia"/>
          <w:szCs w:val="32"/>
          <w:lang w:val="en-US" w:eastAsia="zh-CN"/>
        </w:rPr>
        <w:t>24.51</w:t>
      </w:r>
      <w:r>
        <w:rPr>
          <w:szCs w:val="32"/>
        </w:rPr>
        <w:t>%。基本支出中，人员经费</w:t>
      </w:r>
      <w:r>
        <w:rPr>
          <w:rFonts w:hint="eastAsia"/>
          <w:szCs w:val="32"/>
          <w:lang w:val="en-US" w:eastAsia="zh-CN"/>
        </w:rPr>
        <w:t>122.05</w:t>
      </w:r>
      <w:r>
        <w:rPr>
          <w:szCs w:val="32"/>
        </w:rPr>
        <w:t>万元，占</w:t>
      </w:r>
      <w:r>
        <w:rPr>
          <w:rFonts w:hint="eastAsia"/>
          <w:szCs w:val="32"/>
          <w:lang w:val="en-US" w:eastAsia="zh-CN"/>
        </w:rPr>
        <w:t>85.18</w:t>
      </w:r>
      <w:r>
        <w:rPr>
          <w:szCs w:val="32"/>
        </w:rPr>
        <w:t>%；公用经费</w:t>
      </w:r>
      <w:r>
        <w:rPr>
          <w:rFonts w:hint="eastAsia"/>
          <w:szCs w:val="32"/>
          <w:lang w:val="en-US" w:eastAsia="zh-CN"/>
        </w:rPr>
        <w:t>21.23</w:t>
      </w:r>
      <w:r>
        <w:rPr>
          <w:szCs w:val="32"/>
        </w:rPr>
        <w:t>万元，占</w:t>
      </w:r>
      <w:r>
        <w:rPr>
          <w:rFonts w:hint="eastAsia"/>
          <w:szCs w:val="32"/>
          <w:lang w:val="en-US" w:eastAsia="zh-CN"/>
        </w:rPr>
        <w:t>14.82</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148.72</w:t>
      </w:r>
      <w:r>
        <w:rPr>
          <w:szCs w:val="32"/>
        </w:rPr>
        <w:t>万元，占</w:t>
      </w:r>
      <w:r>
        <w:rPr>
          <w:rFonts w:hint="eastAsia"/>
          <w:szCs w:val="32"/>
          <w:lang w:val="en-US" w:eastAsia="zh-CN"/>
        </w:rPr>
        <w:t>78.35</w:t>
      </w:r>
      <w:r>
        <w:rPr>
          <w:szCs w:val="32"/>
        </w:rPr>
        <w:t>%，主要用于</w:t>
      </w:r>
      <w:r>
        <w:rPr>
          <w:rFonts w:hint="eastAsia"/>
          <w:szCs w:val="32"/>
          <w:lang w:val="en-US" w:eastAsia="zh-CN"/>
        </w:rPr>
        <w:t>保障职工工资，维持机关正常运转</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26.67</w:t>
      </w:r>
      <w:r>
        <w:rPr>
          <w:szCs w:val="32"/>
        </w:rPr>
        <w:t>万元，占</w:t>
      </w:r>
      <w:r>
        <w:rPr>
          <w:rFonts w:hint="eastAsia"/>
          <w:szCs w:val="32"/>
          <w:lang w:val="en-US" w:eastAsia="zh-CN"/>
        </w:rPr>
        <w:t>14.05</w:t>
      </w:r>
      <w:r>
        <w:rPr>
          <w:szCs w:val="32"/>
        </w:rPr>
        <w:t>%，主要用于</w:t>
      </w:r>
      <w:r>
        <w:rPr>
          <w:rFonts w:hint="eastAsia"/>
          <w:szCs w:val="32"/>
          <w:lang w:val="en-US" w:eastAsia="zh-CN"/>
        </w:rPr>
        <w:t>保障单位退休人员待遇、基本养老保险和职业年金缴费支出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4.11</w:t>
      </w:r>
      <w:r>
        <w:rPr>
          <w:szCs w:val="32"/>
        </w:rPr>
        <w:t>万元，占</w:t>
      </w:r>
      <w:r>
        <w:rPr>
          <w:rFonts w:hint="eastAsia"/>
          <w:szCs w:val="32"/>
          <w:lang w:val="en-US" w:eastAsia="zh-CN"/>
        </w:rPr>
        <w:t>2.17</w:t>
      </w:r>
      <w:r>
        <w:rPr>
          <w:szCs w:val="32"/>
        </w:rPr>
        <w:t>%，主要用于</w:t>
      </w:r>
      <w:r>
        <w:rPr>
          <w:rFonts w:hint="eastAsia"/>
          <w:szCs w:val="32"/>
          <w:lang w:val="en-US" w:eastAsia="zh-CN"/>
        </w:rPr>
        <w:t>缴纳职工医疗保险</w:t>
      </w:r>
      <w:r>
        <w:rPr>
          <w:szCs w:val="32"/>
        </w:rPr>
        <w:t>。</w:t>
      </w:r>
    </w:p>
    <w:p>
      <w:pPr>
        <w:spacing w:line="520" w:lineRule="exact"/>
        <w:ind w:firstLine="640" w:firstLineChars="200"/>
        <w:rPr>
          <w:rFonts w:hint="eastAsia"/>
          <w:szCs w:val="32"/>
        </w:rPr>
      </w:pPr>
      <w:r>
        <w:rPr>
          <w:szCs w:val="32"/>
        </w:rPr>
        <w:t>住房保障（类）支出</w:t>
      </w:r>
      <w:r>
        <w:rPr>
          <w:rFonts w:hint="eastAsia"/>
          <w:szCs w:val="32"/>
          <w:lang w:val="en-US" w:eastAsia="zh-CN"/>
        </w:rPr>
        <w:t>10.31</w:t>
      </w:r>
      <w:r>
        <w:rPr>
          <w:szCs w:val="32"/>
        </w:rPr>
        <w:t>万元，占</w:t>
      </w:r>
      <w:r>
        <w:rPr>
          <w:rFonts w:hint="eastAsia"/>
          <w:szCs w:val="32"/>
          <w:lang w:val="en-US" w:eastAsia="zh-CN"/>
        </w:rPr>
        <w:t>5.43</w:t>
      </w:r>
      <w:r>
        <w:rPr>
          <w:szCs w:val="32"/>
        </w:rPr>
        <w:t>%，主要用于</w:t>
      </w:r>
      <w:r>
        <w:rPr>
          <w:rFonts w:hint="eastAsia"/>
          <w:szCs w:val="32"/>
          <w:lang w:val="en-US" w:eastAsia="zh-CN"/>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143.28</w:t>
      </w:r>
      <w:r>
        <w:rPr>
          <w:szCs w:val="32"/>
        </w:rPr>
        <w:t>万元，其中：</w:t>
      </w:r>
    </w:p>
    <w:p>
      <w:pPr>
        <w:ind w:firstLine="640" w:firstLineChars="200"/>
        <w:rPr>
          <w:kern w:val="0"/>
          <w:szCs w:val="32"/>
        </w:rPr>
      </w:pPr>
      <w:r>
        <w:rPr>
          <w:szCs w:val="32"/>
        </w:rPr>
        <w:t>人员经费</w:t>
      </w:r>
      <w:r>
        <w:rPr>
          <w:rFonts w:hint="eastAsia"/>
          <w:szCs w:val="32"/>
          <w:lang w:val="en-US" w:eastAsia="zh-CN"/>
        </w:rPr>
        <w:t>122.05</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医疗费、其他工资福利支出；</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21.23</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rFonts w:hint="eastAsia"/>
          <w:kern w:val="0"/>
          <w:szCs w:val="32"/>
          <w:lang w:eastAsia="zh-CN"/>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0.16万元</w:t>
      </w:r>
      <w:r>
        <w:rPr>
          <w:szCs w:val="32"/>
        </w:rPr>
        <w:t>。其中：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0.16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0.16万元，主要原因是2026年公务接待活动会较上年增加</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jc w:val="both"/>
        <w:rPr>
          <w:rFonts w:hint="eastAsia"/>
          <w:szCs w:val="32"/>
          <w:lang w:eastAsia="zh-CN"/>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firstLineChars="200"/>
        <w:jc w:val="both"/>
        <w:rPr>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r>
        <w:rPr>
          <w:rFonts w:hint="eastAsia"/>
          <w:szCs w:val="32"/>
          <w:lang w:eastAsia="zh-CN"/>
        </w:rPr>
        <w:t>。</w:t>
      </w:r>
    </w:p>
    <w:p>
      <w:pPr>
        <w:ind w:firstLine="640" w:firstLineChars="20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szCs w:val="32"/>
        </w:rPr>
        <w:t>单位的机关运行经费财政拨款预算</w:t>
      </w:r>
      <w:r>
        <w:rPr>
          <w:rFonts w:hint="eastAsia"/>
          <w:szCs w:val="32"/>
          <w:lang w:val="en-US" w:eastAsia="zh-CN"/>
        </w:rPr>
        <w:t>21.23</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eastAsia="zh-CN"/>
        </w:rPr>
        <w:t>增加</w:t>
      </w:r>
      <w:r>
        <w:rPr>
          <w:rFonts w:hint="eastAsia"/>
          <w:szCs w:val="32"/>
          <w:lang w:val="en-US" w:eastAsia="zh-CN"/>
        </w:rPr>
        <w:t>2.54</w:t>
      </w:r>
      <w:r>
        <w:rPr>
          <w:szCs w:val="32"/>
        </w:rPr>
        <w:t>万元，</w:t>
      </w:r>
      <w:r>
        <w:rPr>
          <w:rFonts w:hint="eastAsia"/>
          <w:szCs w:val="32"/>
          <w:lang w:eastAsia="zh-CN"/>
        </w:rPr>
        <w:t>增长</w:t>
      </w:r>
      <w:r>
        <w:rPr>
          <w:rFonts w:hint="eastAsia"/>
          <w:szCs w:val="32"/>
          <w:lang w:val="en-US" w:eastAsia="zh-CN"/>
        </w:rPr>
        <w:t>35.9</w:t>
      </w:r>
      <w:r>
        <w:rPr>
          <w:szCs w:val="32"/>
        </w:rPr>
        <w:t>%</w:t>
      </w:r>
      <w:r>
        <w:rPr>
          <w:rFonts w:hint="eastAsia"/>
          <w:szCs w:val="32"/>
        </w:rPr>
        <w:t>，主要原因是</w:t>
      </w:r>
      <w:r>
        <w:rPr>
          <w:rFonts w:hint="eastAsia"/>
          <w:szCs w:val="32"/>
          <w:lang w:val="en-US" w:eastAsia="zh-CN"/>
        </w:rPr>
        <w:t>2025年新招录公务员1人，机关运行经费预算增加</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hint="eastAsia"/>
          <w:szCs w:val="32"/>
        </w:rPr>
      </w:pPr>
      <w:r>
        <w:rPr>
          <w:rFonts w:hint="eastAsia"/>
          <w:szCs w:val="32"/>
          <w:lang w:val="en-US" w:eastAsia="zh-CN"/>
        </w:rPr>
        <w:t>本单位无政府采购预算</w:t>
      </w:r>
      <w:r>
        <w:rPr>
          <w:rFonts w:hint="eastAsia"/>
          <w:szCs w:val="32"/>
        </w:rPr>
        <w:t>。</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本单位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年部门项目支出</w:t>
      </w:r>
      <w:r>
        <w:rPr>
          <w:rFonts w:hint="eastAsia"/>
          <w:szCs w:val="32"/>
          <w:lang w:val="en-US" w:eastAsia="zh-CN"/>
        </w:rPr>
        <w:t>172.04</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172.04</w:t>
      </w:r>
      <w:r>
        <w:rPr>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按照全面实施预算绩效管理的要求，结合本部门职能和重点工作，</w:t>
      </w:r>
      <w:r>
        <w:rPr>
          <w:rFonts w:hint="eastAsia"/>
          <w:szCs w:val="32"/>
          <w:lang w:val="en-US" w:eastAsia="zh-CN"/>
        </w:rPr>
        <w:t>2026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172.04</w:t>
      </w:r>
      <w:r>
        <w:rPr>
          <w:rFonts w:hint="eastAsia" w:ascii="宋体" w:hAnsi="宋体"/>
        </w:rPr>
        <w:t>万元。</w:t>
      </w: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ind w:firstLine="2560" w:firstLineChars="800"/>
        <w:jc w:val="both"/>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A5E84"/>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824C6"/>
    <w:rsid w:val="019B69D8"/>
    <w:rsid w:val="01B7145A"/>
    <w:rsid w:val="01B85F94"/>
    <w:rsid w:val="01B97F5E"/>
    <w:rsid w:val="02033000"/>
    <w:rsid w:val="020E6D2C"/>
    <w:rsid w:val="024D3C87"/>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014255"/>
    <w:rsid w:val="09015F14"/>
    <w:rsid w:val="091C5C63"/>
    <w:rsid w:val="09421190"/>
    <w:rsid w:val="09A0082A"/>
    <w:rsid w:val="09B020DA"/>
    <w:rsid w:val="0A00435B"/>
    <w:rsid w:val="0A221136"/>
    <w:rsid w:val="0AAA1697"/>
    <w:rsid w:val="0ABA06FE"/>
    <w:rsid w:val="0B49202F"/>
    <w:rsid w:val="0B5F5ADA"/>
    <w:rsid w:val="0B956BE6"/>
    <w:rsid w:val="0C2A5C84"/>
    <w:rsid w:val="0C4F64D9"/>
    <w:rsid w:val="0C583939"/>
    <w:rsid w:val="0C661D49"/>
    <w:rsid w:val="0C6D1BAE"/>
    <w:rsid w:val="0CC23A17"/>
    <w:rsid w:val="0D2A2435"/>
    <w:rsid w:val="0DA001B0"/>
    <w:rsid w:val="0DEB170B"/>
    <w:rsid w:val="0E4C7841"/>
    <w:rsid w:val="0E97506F"/>
    <w:rsid w:val="0EAD461B"/>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2676D5"/>
    <w:rsid w:val="1441443C"/>
    <w:rsid w:val="14C12787"/>
    <w:rsid w:val="154A7BC0"/>
    <w:rsid w:val="15593E10"/>
    <w:rsid w:val="159F7E25"/>
    <w:rsid w:val="15F848D0"/>
    <w:rsid w:val="160E1FA5"/>
    <w:rsid w:val="160F2600"/>
    <w:rsid w:val="16C829AB"/>
    <w:rsid w:val="16DD34F5"/>
    <w:rsid w:val="1723614E"/>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436524"/>
    <w:rsid w:val="1C715266"/>
    <w:rsid w:val="1C852172"/>
    <w:rsid w:val="1CA40C0C"/>
    <w:rsid w:val="1CFF4A32"/>
    <w:rsid w:val="1D003925"/>
    <w:rsid w:val="1D0A0F85"/>
    <w:rsid w:val="1D833200"/>
    <w:rsid w:val="1DAE0917"/>
    <w:rsid w:val="1E3A3FD0"/>
    <w:rsid w:val="1EB55C07"/>
    <w:rsid w:val="1F1D2F95"/>
    <w:rsid w:val="1F351A10"/>
    <w:rsid w:val="1F4044EA"/>
    <w:rsid w:val="1F857EA5"/>
    <w:rsid w:val="1FBF278C"/>
    <w:rsid w:val="1FED47E9"/>
    <w:rsid w:val="206816AC"/>
    <w:rsid w:val="20CB7125"/>
    <w:rsid w:val="21134335"/>
    <w:rsid w:val="21A424CB"/>
    <w:rsid w:val="226E581D"/>
    <w:rsid w:val="228201CD"/>
    <w:rsid w:val="22A4003E"/>
    <w:rsid w:val="23135C25"/>
    <w:rsid w:val="23EC61F6"/>
    <w:rsid w:val="244C543C"/>
    <w:rsid w:val="244D4D1C"/>
    <w:rsid w:val="24624768"/>
    <w:rsid w:val="24A8271E"/>
    <w:rsid w:val="254029E1"/>
    <w:rsid w:val="2580476C"/>
    <w:rsid w:val="259B5BC5"/>
    <w:rsid w:val="25BD151C"/>
    <w:rsid w:val="25EF7FBC"/>
    <w:rsid w:val="25F62C4E"/>
    <w:rsid w:val="26321A4B"/>
    <w:rsid w:val="26643D6C"/>
    <w:rsid w:val="26E33204"/>
    <w:rsid w:val="26FE109D"/>
    <w:rsid w:val="27073E1E"/>
    <w:rsid w:val="27B04AB3"/>
    <w:rsid w:val="282C3BA1"/>
    <w:rsid w:val="28A63332"/>
    <w:rsid w:val="28B05368"/>
    <w:rsid w:val="28C96E8E"/>
    <w:rsid w:val="29163787"/>
    <w:rsid w:val="29527C78"/>
    <w:rsid w:val="29C45F24"/>
    <w:rsid w:val="2A5F6396"/>
    <w:rsid w:val="2A96443D"/>
    <w:rsid w:val="2B65243A"/>
    <w:rsid w:val="2D405AAC"/>
    <w:rsid w:val="2D6C2A36"/>
    <w:rsid w:val="2D9038E4"/>
    <w:rsid w:val="2DF8796C"/>
    <w:rsid w:val="2EB22F18"/>
    <w:rsid w:val="2EC456C9"/>
    <w:rsid w:val="2EE12108"/>
    <w:rsid w:val="2EED35E3"/>
    <w:rsid w:val="2F0B5068"/>
    <w:rsid w:val="2F250383"/>
    <w:rsid w:val="2F63610B"/>
    <w:rsid w:val="2F8337D6"/>
    <w:rsid w:val="2FBC646B"/>
    <w:rsid w:val="300965A3"/>
    <w:rsid w:val="302F5020"/>
    <w:rsid w:val="30730D6E"/>
    <w:rsid w:val="308B20C9"/>
    <w:rsid w:val="30B91A70"/>
    <w:rsid w:val="30F84C22"/>
    <w:rsid w:val="310C6AA2"/>
    <w:rsid w:val="31793674"/>
    <w:rsid w:val="31894469"/>
    <w:rsid w:val="32332703"/>
    <w:rsid w:val="32CF2C5D"/>
    <w:rsid w:val="32EE2C61"/>
    <w:rsid w:val="33391D55"/>
    <w:rsid w:val="33504919"/>
    <w:rsid w:val="335402B5"/>
    <w:rsid w:val="339466B2"/>
    <w:rsid w:val="33BE4517"/>
    <w:rsid w:val="34555AF5"/>
    <w:rsid w:val="34FF687B"/>
    <w:rsid w:val="354C4987"/>
    <w:rsid w:val="35616772"/>
    <w:rsid w:val="35EA1663"/>
    <w:rsid w:val="363C4E84"/>
    <w:rsid w:val="364C598E"/>
    <w:rsid w:val="368A3622"/>
    <w:rsid w:val="36B543E5"/>
    <w:rsid w:val="36B6177E"/>
    <w:rsid w:val="36CC2B0F"/>
    <w:rsid w:val="36FC762F"/>
    <w:rsid w:val="37133AF7"/>
    <w:rsid w:val="37937706"/>
    <w:rsid w:val="3815785C"/>
    <w:rsid w:val="3838492F"/>
    <w:rsid w:val="383A009B"/>
    <w:rsid w:val="3887374F"/>
    <w:rsid w:val="38AA1DD4"/>
    <w:rsid w:val="38CB0ABC"/>
    <w:rsid w:val="39041A07"/>
    <w:rsid w:val="39043B77"/>
    <w:rsid w:val="39670895"/>
    <w:rsid w:val="3A387943"/>
    <w:rsid w:val="3A657F9A"/>
    <w:rsid w:val="3A9113D4"/>
    <w:rsid w:val="3AC54F32"/>
    <w:rsid w:val="3B144A0A"/>
    <w:rsid w:val="3B254018"/>
    <w:rsid w:val="3B5257F8"/>
    <w:rsid w:val="3B7010B2"/>
    <w:rsid w:val="3BA40D5C"/>
    <w:rsid w:val="3BC92948"/>
    <w:rsid w:val="3BDA29D0"/>
    <w:rsid w:val="3BE370D4"/>
    <w:rsid w:val="3C1A026D"/>
    <w:rsid w:val="3C29381E"/>
    <w:rsid w:val="3C711E1D"/>
    <w:rsid w:val="3C7F463D"/>
    <w:rsid w:val="3CAE3960"/>
    <w:rsid w:val="3CEF6494"/>
    <w:rsid w:val="3D365BF6"/>
    <w:rsid w:val="3D6F1467"/>
    <w:rsid w:val="3D7F7007"/>
    <w:rsid w:val="3DB008AA"/>
    <w:rsid w:val="3DF23324"/>
    <w:rsid w:val="3EA14040"/>
    <w:rsid w:val="3EC75624"/>
    <w:rsid w:val="3ED41958"/>
    <w:rsid w:val="3EE8108D"/>
    <w:rsid w:val="3F0B2EA0"/>
    <w:rsid w:val="3F8201A3"/>
    <w:rsid w:val="3FB427C9"/>
    <w:rsid w:val="402675EA"/>
    <w:rsid w:val="404639EB"/>
    <w:rsid w:val="40896772"/>
    <w:rsid w:val="40B019B5"/>
    <w:rsid w:val="40B80EFF"/>
    <w:rsid w:val="40C97A39"/>
    <w:rsid w:val="411918A4"/>
    <w:rsid w:val="415B435E"/>
    <w:rsid w:val="41A35364"/>
    <w:rsid w:val="41C31686"/>
    <w:rsid w:val="41C420BA"/>
    <w:rsid w:val="41C837BC"/>
    <w:rsid w:val="421643AC"/>
    <w:rsid w:val="42982B4E"/>
    <w:rsid w:val="429F5D0C"/>
    <w:rsid w:val="42D11B52"/>
    <w:rsid w:val="42D83665"/>
    <w:rsid w:val="42E55188"/>
    <w:rsid w:val="434A6B47"/>
    <w:rsid w:val="436B1E42"/>
    <w:rsid w:val="444B6438"/>
    <w:rsid w:val="44653AE3"/>
    <w:rsid w:val="456D114B"/>
    <w:rsid w:val="45EB670F"/>
    <w:rsid w:val="46AB7C0D"/>
    <w:rsid w:val="46BC0AEA"/>
    <w:rsid w:val="46D44808"/>
    <w:rsid w:val="46DA5E03"/>
    <w:rsid w:val="46ED776B"/>
    <w:rsid w:val="47532D21"/>
    <w:rsid w:val="479D2523"/>
    <w:rsid w:val="47CF49E6"/>
    <w:rsid w:val="4866767E"/>
    <w:rsid w:val="48674ED2"/>
    <w:rsid w:val="487708E6"/>
    <w:rsid w:val="48B540F2"/>
    <w:rsid w:val="48E704DA"/>
    <w:rsid w:val="493F3E72"/>
    <w:rsid w:val="493F6F72"/>
    <w:rsid w:val="49645F71"/>
    <w:rsid w:val="497E762F"/>
    <w:rsid w:val="499F5C68"/>
    <w:rsid w:val="49FE7E9D"/>
    <w:rsid w:val="4A52465C"/>
    <w:rsid w:val="4A5C4AC6"/>
    <w:rsid w:val="4A662FBF"/>
    <w:rsid w:val="4AF16062"/>
    <w:rsid w:val="4B0A57E5"/>
    <w:rsid w:val="4B0C5FD6"/>
    <w:rsid w:val="4B1D4687"/>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0C20263"/>
    <w:rsid w:val="50D43A3A"/>
    <w:rsid w:val="50E645D0"/>
    <w:rsid w:val="51282B99"/>
    <w:rsid w:val="5136104F"/>
    <w:rsid w:val="51465EDE"/>
    <w:rsid w:val="51561C92"/>
    <w:rsid w:val="515B05A9"/>
    <w:rsid w:val="52071113"/>
    <w:rsid w:val="52085509"/>
    <w:rsid w:val="522774C4"/>
    <w:rsid w:val="522A7431"/>
    <w:rsid w:val="522C627B"/>
    <w:rsid w:val="525A440D"/>
    <w:rsid w:val="52626449"/>
    <w:rsid w:val="533F48C1"/>
    <w:rsid w:val="53AE4B87"/>
    <w:rsid w:val="54187D2B"/>
    <w:rsid w:val="544E511A"/>
    <w:rsid w:val="54741940"/>
    <w:rsid w:val="54810E66"/>
    <w:rsid w:val="54C063E4"/>
    <w:rsid w:val="54C2556E"/>
    <w:rsid w:val="54D70AFE"/>
    <w:rsid w:val="55480EEF"/>
    <w:rsid w:val="569B7F91"/>
    <w:rsid w:val="56D21BED"/>
    <w:rsid w:val="57041FAC"/>
    <w:rsid w:val="572651B2"/>
    <w:rsid w:val="5730129E"/>
    <w:rsid w:val="57AE5C26"/>
    <w:rsid w:val="57DD75A9"/>
    <w:rsid w:val="5801059F"/>
    <w:rsid w:val="58256ABD"/>
    <w:rsid w:val="58404566"/>
    <w:rsid w:val="58C27FDB"/>
    <w:rsid w:val="59472AC7"/>
    <w:rsid w:val="59D514A6"/>
    <w:rsid w:val="59EC6E09"/>
    <w:rsid w:val="5AB343F7"/>
    <w:rsid w:val="5AB95D4E"/>
    <w:rsid w:val="5ABF50F2"/>
    <w:rsid w:val="5AF25D13"/>
    <w:rsid w:val="5AF76904"/>
    <w:rsid w:val="5B052E7A"/>
    <w:rsid w:val="5B3D7F7E"/>
    <w:rsid w:val="5B7C7777"/>
    <w:rsid w:val="5BDC19F5"/>
    <w:rsid w:val="5BEC6771"/>
    <w:rsid w:val="5C1378B8"/>
    <w:rsid w:val="5C681D31"/>
    <w:rsid w:val="5C907ACF"/>
    <w:rsid w:val="5C967DF5"/>
    <w:rsid w:val="5CA30E29"/>
    <w:rsid w:val="5CA506B9"/>
    <w:rsid w:val="5CBC5AAE"/>
    <w:rsid w:val="5CF74CE4"/>
    <w:rsid w:val="5D3031BF"/>
    <w:rsid w:val="5D5A7C63"/>
    <w:rsid w:val="5D5C2DED"/>
    <w:rsid w:val="5E2169DF"/>
    <w:rsid w:val="5E256F6F"/>
    <w:rsid w:val="5EB85AB6"/>
    <w:rsid w:val="5EBD2BD2"/>
    <w:rsid w:val="5F6235A9"/>
    <w:rsid w:val="5F781C91"/>
    <w:rsid w:val="606C6463"/>
    <w:rsid w:val="60882D0D"/>
    <w:rsid w:val="60D86205"/>
    <w:rsid w:val="60DC439E"/>
    <w:rsid w:val="610B5A66"/>
    <w:rsid w:val="614125C2"/>
    <w:rsid w:val="61AA1D1F"/>
    <w:rsid w:val="61E6420F"/>
    <w:rsid w:val="61F46822"/>
    <w:rsid w:val="624C5C52"/>
    <w:rsid w:val="624D53FA"/>
    <w:rsid w:val="63DF08E4"/>
    <w:rsid w:val="63E92F01"/>
    <w:rsid w:val="63F63329"/>
    <w:rsid w:val="64C04AFD"/>
    <w:rsid w:val="655B219F"/>
    <w:rsid w:val="65F75DA9"/>
    <w:rsid w:val="661A7B69"/>
    <w:rsid w:val="66455323"/>
    <w:rsid w:val="664909C1"/>
    <w:rsid w:val="66635AE4"/>
    <w:rsid w:val="66827698"/>
    <w:rsid w:val="66C63EB5"/>
    <w:rsid w:val="67592674"/>
    <w:rsid w:val="679461D3"/>
    <w:rsid w:val="6858287E"/>
    <w:rsid w:val="68593A1E"/>
    <w:rsid w:val="68C04D52"/>
    <w:rsid w:val="68D33DE9"/>
    <w:rsid w:val="69157114"/>
    <w:rsid w:val="691A443E"/>
    <w:rsid w:val="69E0303A"/>
    <w:rsid w:val="69E203A0"/>
    <w:rsid w:val="6A5B6D7D"/>
    <w:rsid w:val="6A765FBC"/>
    <w:rsid w:val="6A80735F"/>
    <w:rsid w:val="6AC17181"/>
    <w:rsid w:val="6ACC5E47"/>
    <w:rsid w:val="6AD43ED1"/>
    <w:rsid w:val="6B11024D"/>
    <w:rsid w:val="6B3B6738"/>
    <w:rsid w:val="6B7D5B36"/>
    <w:rsid w:val="6C834DAA"/>
    <w:rsid w:val="6C993CCE"/>
    <w:rsid w:val="6C9A5170"/>
    <w:rsid w:val="6CF120A8"/>
    <w:rsid w:val="6D72413D"/>
    <w:rsid w:val="6FF50B81"/>
    <w:rsid w:val="70330B9C"/>
    <w:rsid w:val="709D17BE"/>
    <w:rsid w:val="714213DD"/>
    <w:rsid w:val="717F272E"/>
    <w:rsid w:val="71FE401B"/>
    <w:rsid w:val="72783A23"/>
    <w:rsid w:val="728027C6"/>
    <w:rsid w:val="72D37C55"/>
    <w:rsid w:val="73D62FA6"/>
    <w:rsid w:val="73FE7ACC"/>
    <w:rsid w:val="743326A2"/>
    <w:rsid w:val="74556746"/>
    <w:rsid w:val="74730CF0"/>
    <w:rsid w:val="74743258"/>
    <w:rsid w:val="761B13C4"/>
    <w:rsid w:val="76261D92"/>
    <w:rsid w:val="764B6A8A"/>
    <w:rsid w:val="76C17E06"/>
    <w:rsid w:val="76CA67BD"/>
    <w:rsid w:val="76E6298C"/>
    <w:rsid w:val="770021AC"/>
    <w:rsid w:val="774E6400"/>
    <w:rsid w:val="775B0046"/>
    <w:rsid w:val="779D0C3B"/>
    <w:rsid w:val="78560BC5"/>
    <w:rsid w:val="79700BEF"/>
    <w:rsid w:val="798D552B"/>
    <w:rsid w:val="7A090695"/>
    <w:rsid w:val="7A1D5951"/>
    <w:rsid w:val="7AD914EC"/>
    <w:rsid w:val="7AE175F4"/>
    <w:rsid w:val="7B417685"/>
    <w:rsid w:val="7B5220F0"/>
    <w:rsid w:val="7B562C09"/>
    <w:rsid w:val="7BA169C0"/>
    <w:rsid w:val="7BC55243"/>
    <w:rsid w:val="7C2F4A9A"/>
    <w:rsid w:val="7CAD595B"/>
    <w:rsid w:val="7CC07C0C"/>
    <w:rsid w:val="7CF65D07"/>
    <w:rsid w:val="7D2975D1"/>
    <w:rsid w:val="7D2F3083"/>
    <w:rsid w:val="7D906046"/>
    <w:rsid w:val="7DAF3ED9"/>
    <w:rsid w:val="7DCC0CD6"/>
    <w:rsid w:val="7ED93E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2654</Words>
  <Characters>3572</Characters>
  <Lines>71</Lines>
  <Paragraphs>20</Paragraphs>
  <TotalTime>4</TotalTime>
  <ScaleCrop>false</ScaleCrop>
  <LinksUpToDate>false</LinksUpToDate>
  <CharactersWithSpaces>4179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2026-03-02T01:58:55Z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eyJoZGlkIjoiNjBiODkyNzdjMmMzM2E4MTQzMDE4YWNkNjViY2Q5ZWQiLCJ1c2VySWQiOiI4OTIyMjIxODIifQ==</vt:lpwstr>
  </property>
  <property fmtid="{D5CDD505-2E9C-101B-9397-08002B2CF9AE}" pid="4" name="ICV">
    <vt:lpwstr>744488F424F8466AA77AAEADD6132731_13</vt:lpwstr>
  </property>
</Properties>
</file>