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u w:val="none"/>
          <w:lang w:val="en-US" w:eastAsia="zh-CN"/>
        </w:rPr>
        <w:t>集安市统计局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第一部分 部门概况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（一）贯彻执行国家统计方针、政策以及法律、法规，制定全市统计规划及</w:t>
      </w:r>
      <w:r>
        <w:rPr>
          <w:rFonts w:hint="eastAsia"/>
          <w:color w:val="000000"/>
          <w:szCs w:val="32"/>
          <w:lang w:val="en-US" w:eastAsia="zh-CN"/>
        </w:rPr>
        <w:t>统计</w:t>
      </w:r>
      <w:r>
        <w:rPr>
          <w:rFonts w:hint="eastAsia"/>
          <w:color w:val="000000"/>
          <w:szCs w:val="32"/>
        </w:rPr>
        <w:t>调查计划；监督检查统计法律、法规的实施。组织领导全市统计工作，</w:t>
      </w:r>
      <w:r>
        <w:rPr>
          <w:rFonts w:hint="eastAsia"/>
          <w:color w:val="000000"/>
          <w:szCs w:val="32"/>
          <w:lang w:val="en-US" w:eastAsia="zh-CN"/>
        </w:rPr>
        <w:t>承担</w:t>
      </w:r>
      <w:r>
        <w:rPr>
          <w:rFonts w:hint="eastAsia"/>
          <w:color w:val="000000"/>
          <w:szCs w:val="32"/>
        </w:rPr>
        <w:t>确保统计数据真实、准确、及时的责任。</w:t>
      </w:r>
    </w:p>
    <w:p>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pPr>
        <w:ind w:firstLine="640" w:firstLineChars="200"/>
        <w:rPr>
          <w:rFonts w:hint="eastAsia"/>
          <w:color w:val="000000"/>
          <w:szCs w:val="32"/>
        </w:rPr>
      </w:pPr>
      <w:r>
        <w:rPr>
          <w:rFonts w:hint="eastAsia"/>
          <w:color w:val="000000"/>
          <w:szCs w:val="32"/>
        </w:rPr>
        <w:t>（四）统一核定、管理、公布全市基本统计资料，定期向社会公众发布全市国民经济和社会发展情况的统计信息。</w:t>
      </w:r>
    </w:p>
    <w:p>
      <w:pPr>
        <w:ind w:firstLine="640" w:firstLineChars="200"/>
        <w:rPr>
          <w:rFonts w:hint="eastAsia"/>
          <w:color w:val="000000"/>
          <w:szCs w:val="32"/>
        </w:rPr>
      </w:pPr>
      <w:r>
        <w:rPr>
          <w:rFonts w:hint="eastAsia"/>
          <w:color w:val="000000"/>
          <w:szCs w:val="32"/>
        </w:rPr>
        <w:t>（五）建立、完善和管理全市统计信息自动化系统和全市统计数据库体系。</w:t>
      </w:r>
    </w:p>
    <w:p>
      <w:pPr>
        <w:ind w:firstLine="640" w:firstLineChars="200"/>
        <w:rPr>
          <w:rFonts w:hint="eastAsia"/>
          <w:color w:val="000000"/>
          <w:szCs w:val="32"/>
        </w:rPr>
      </w:pPr>
      <w:r>
        <w:rPr>
          <w:rFonts w:hint="eastAsia"/>
          <w:color w:val="000000"/>
          <w:szCs w:val="32"/>
        </w:rPr>
        <w:t>（</w:t>
      </w:r>
      <w:r>
        <w:rPr>
          <w:rFonts w:hint="eastAsia"/>
          <w:color w:val="000000"/>
          <w:szCs w:val="32"/>
          <w:lang w:eastAsia="zh-CN"/>
        </w:rPr>
        <w:t>六</w:t>
      </w:r>
      <w:r>
        <w:rPr>
          <w:rFonts w:hint="eastAsia"/>
          <w:color w:val="000000"/>
          <w:szCs w:val="32"/>
        </w:rPr>
        <w:t>）负责全市统计系统的干部人事、劳动工资、机构编制和财务经费及资产设施管理。</w:t>
      </w:r>
    </w:p>
    <w:p>
      <w:pPr>
        <w:ind w:firstLine="640" w:firstLineChars="200"/>
        <w:rPr>
          <w:color w:val="000000"/>
          <w:sz w:val="21"/>
          <w:szCs w:val="21"/>
        </w:rPr>
      </w:pPr>
      <w:r>
        <w:rPr>
          <w:rFonts w:hint="eastAsia"/>
          <w:color w:val="000000"/>
          <w:szCs w:val="32"/>
        </w:rPr>
        <w:t>（七）承办通化市统计局和集安市政府交办的其他事项。</w:t>
      </w:r>
    </w:p>
    <w:p>
      <w:pPr>
        <w:ind w:firstLine="640" w:firstLineChars="200"/>
      </w:pPr>
      <w:r>
        <w:rPr>
          <w:rFonts w:eastAsia="楷体_GB2312"/>
        </w:rPr>
        <w:t>二、机构设置</w:t>
      </w:r>
    </w:p>
    <w:p>
      <w:pPr>
        <w:pStyle w:val="27"/>
        <w:ind w:firstLine="640" w:firstLineChars="200"/>
        <w:rPr>
          <w:rFonts w:hint="eastAsia" w:eastAsia="仿宋_GB2312"/>
          <w:lang w:eastAsia="zh-CN"/>
        </w:rPr>
      </w:pPr>
      <w:r>
        <w:rPr>
          <w:rFonts w:hint="eastAsia" w:eastAsia="仿宋_GB2312"/>
          <w:lang w:eastAsia="zh-CN"/>
        </w:rPr>
        <w:t>根据上述职责，集安市统计局内设三个机构，分别为办公室、综合统计科、社会经济统计科。</w:t>
      </w:r>
    </w:p>
    <w:p>
      <w:pPr>
        <w:pStyle w:val="27"/>
        <w:ind w:firstLine="640" w:firstLineChars="200"/>
        <w:rPr>
          <w:rFonts w:hint="eastAsia" w:eastAsia="仿宋_GB2312"/>
          <w:lang w:eastAsia="zh-CN"/>
        </w:rPr>
      </w:pPr>
      <w:r>
        <w:rPr>
          <w:rFonts w:hint="eastAsia" w:eastAsia="仿宋_GB2312"/>
          <w:lang w:eastAsia="zh-CN"/>
        </w:rPr>
        <w:t>（一）办公室</w:t>
      </w:r>
    </w:p>
    <w:p>
      <w:pPr>
        <w:pStyle w:val="27"/>
        <w:ind w:firstLine="640" w:firstLineChars="200"/>
        <w:rPr>
          <w:rFonts w:hint="eastAsia" w:eastAsia="仿宋_GB2312"/>
          <w:lang w:eastAsia="zh-CN"/>
        </w:rPr>
      </w:pPr>
      <w:r>
        <w:rPr>
          <w:rFonts w:hint="eastAsia" w:eastAsia="仿宋_GB2312"/>
          <w:lang w:eastAsia="zh-CN"/>
        </w:rPr>
        <w:t>负责局机关日常政务、行政事务、财务经费和国有资产管理工作；负责局机关干部人事、劳动工资、机构编制管理工作；负责局机关党建工作。</w:t>
      </w:r>
    </w:p>
    <w:p>
      <w:pPr>
        <w:pStyle w:val="27"/>
        <w:ind w:firstLine="640" w:firstLineChars="200"/>
        <w:rPr>
          <w:rFonts w:hint="eastAsia" w:eastAsia="仿宋_GB2312"/>
          <w:lang w:eastAsia="zh-CN"/>
        </w:rPr>
      </w:pPr>
      <w:r>
        <w:rPr>
          <w:rFonts w:hint="eastAsia" w:eastAsia="仿宋_GB2312"/>
          <w:lang w:eastAsia="zh-CN"/>
        </w:rPr>
        <w:t>（二）综合统计科</w:t>
      </w:r>
    </w:p>
    <w:p>
      <w:pPr>
        <w:pStyle w:val="27"/>
        <w:ind w:firstLine="640" w:firstLineChars="200"/>
        <w:rPr>
          <w:rFonts w:hint="eastAsia" w:eastAsia="仿宋_GB2312"/>
          <w:lang w:eastAsia="zh-CN"/>
        </w:rPr>
      </w:pPr>
      <w:r>
        <w:rPr>
          <w:rFonts w:hint="eastAsia" w:eastAsia="仿宋_GB2312"/>
          <w:lang w:eastAsia="zh-CN"/>
        </w:rPr>
        <w:t>监测预警全市国民经济运行并进行综合分析；统一整理、核定、管理、使用全市综合性统计资料；负责全市国内生产总值、资金流量、资产负债核算工作，组织开展投入产出调查；负责全市工业、能源、贸易与服务业、固定资产投资、建筑业、人口与就业、社会科技等统计调查工作；对有关统计数据质量进行核查和评估；负责全市统计人员业务培训工作。负责统计工作有关行政审批事项的受理和审批。</w:t>
      </w:r>
    </w:p>
    <w:p>
      <w:pPr>
        <w:pStyle w:val="27"/>
        <w:ind w:firstLine="640" w:firstLineChars="200"/>
        <w:rPr>
          <w:rFonts w:hint="eastAsia" w:eastAsia="仿宋_GB2312"/>
          <w:lang w:eastAsia="zh-CN"/>
        </w:rPr>
      </w:pPr>
      <w:r>
        <w:rPr>
          <w:rFonts w:hint="eastAsia" w:eastAsia="仿宋_GB2312"/>
          <w:lang w:eastAsia="zh-CN"/>
        </w:rPr>
        <w:t>（三）社会经济统计科</w:t>
      </w:r>
    </w:p>
    <w:p>
      <w:pPr>
        <w:pStyle w:val="27"/>
        <w:ind w:firstLine="640" w:firstLineChars="200"/>
        <w:rPr>
          <w:rFonts w:hint="eastAsia" w:eastAsia="仿宋_GB2312"/>
          <w:lang w:eastAsia="zh-CN"/>
        </w:rPr>
      </w:pPr>
      <w:r>
        <w:rPr>
          <w:rFonts w:hint="eastAsia" w:eastAsia="仿宋_GB2312"/>
          <w:lang w:eastAsia="zh-CN"/>
        </w:rPr>
        <w:t>负责组织实施全市农业（包括林、牧、渔业等）及农村统计调查工作，收集和整理提供农业及农村统计调查数据，对有关统计数据质量进行检查和评估；负责组织实施全市统计法律、法规的宣传贯彻和监督检查，依法查处重大的统计违法案件。</w:t>
      </w:r>
    </w:p>
    <w:p>
      <w:pPr>
        <w:pStyle w:val="27"/>
        <w:ind w:firstLine="640" w:firstLineChars="200"/>
        <w:rPr>
          <w:rFonts w:eastAsia="仿宋_GB2312"/>
        </w:rPr>
      </w:pPr>
      <w:r>
        <w:rPr>
          <w:rFonts w:hint="eastAsia" w:eastAsia="仿宋_GB2312"/>
          <w:lang w:eastAsia="zh-CN"/>
        </w:rPr>
        <w:t>本单位无下设预算单位</w:t>
      </w:r>
      <w:r>
        <w:rPr>
          <w:rFonts w:eastAsia="仿宋_GB2312"/>
        </w:rPr>
        <w:t>。</w:t>
      </w:r>
    </w:p>
    <w:p>
      <w:pPr>
        <w:pStyle w:val="27"/>
        <w:ind w:firstLine="640" w:firstLineChars="200"/>
        <w:rPr>
          <w:rFonts w:eastAsia="楷体"/>
        </w:rPr>
      </w:pPr>
    </w:p>
    <w:p>
      <w:pPr>
        <w:pStyle w:val="27"/>
        <w:ind w:firstLine="640" w:firstLineChars="200"/>
        <w:rPr>
          <w:rFonts w:eastAsia="楷体"/>
        </w:rPr>
      </w:pPr>
    </w:p>
    <w:p>
      <w:pPr>
        <w:jc w:val="center"/>
        <w:rPr>
          <w:rFonts w:eastAsia="黑体"/>
        </w:rPr>
      </w:pPr>
      <w:r>
        <w:rPr>
          <w:rFonts w:eastAsia="黑体"/>
        </w:rPr>
        <w:t>第二部分 预算表格</w:t>
      </w:r>
    </w:p>
    <w:p>
      <w:pPr>
        <w:jc w:val="center"/>
        <w:rPr>
          <w:rFonts w:eastAsia="黑体"/>
        </w:rPr>
      </w:pP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179.53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179.53</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267.04</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267.04</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179.53</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179.53</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sz w:val="20"/>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26.16</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3.42</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9.11</w:t>
            </w:r>
          </w:p>
        </w:tc>
        <w:tc>
          <w:tcPr>
            <w:tcW w:w="1182" w:type="dxa"/>
            <w:gridSpan w:val="2"/>
            <w:tcBorders>
              <w:top w:val="nil"/>
              <w:left w:val="nil"/>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9.11</w:t>
            </w: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92.50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92.50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92.50</w:t>
            </w:r>
          </w:p>
        </w:tc>
        <w:tc>
          <w:tcPr>
            <w:tcW w:w="984" w:type="dxa"/>
            <w:gridSpan w:val="2"/>
            <w:tcBorders>
              <w:top w:val="nil"/>
              <w:left w:val="nil"/>
              <w:bottom w:val="single" w:color="auto" w:sz="4" w:space="0"/>
              <w:right w:val="single" w:color="auto" w:sz="4" w:space="0"/>
            </w:tcBorders>
            <w:noWrap w:val="0"/>
            <w:vAlign w:val="center"/>
          </w:tcPr>
          <w:p>
            <w:pPr>
              <w:jc w:val="center"/>
              <w:rPr>
                <w:rFonts w:hint="default" w:eastAsia="宋体"/>
                <w:sz w:val="20"/>
                <w:lang w:val="en-US" w:eastAsia="zh-CN"/>
              </w:rPr>
            </w:pPr>
            <w:r>
              <w:rPr>
                <w:rFonts w:hint="eastAsia" w:eastAsia="宋体"/>
                <w:sz w:val="20"/>
                <w:lang w:val="en-US" w:eastAsia="zh-CN"/>
              </w:rPr>
              <w:t>92.50</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272.03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272.03</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b/>
                <w:bCs/>
                <w:kern w:val="0"/>
                <w:sz w:val="20"/>
                <w:lang w:val="en-US" w:eastAsia="zh-CN"/>
              </w:rPr>
            </w:pPr>
            <w:r>
              <w:rPr>
                <w:rFonts w:hint="eastAsia" w:eastAsia="宋体"/>
                <w:b w:val="0"/>
                <w:bCs w:val="0"/>
                <w:kern w:val="0"/>
                <w:sz w:val="20"/>
                <w:lang w:val="en-US" w:eastAsia="zh-CN"/>
              </w:rPr>
              <w:t>305.73</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305.73</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33.70</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33.70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305.73</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305.73</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hint="default" w:eastAsia="宋体"/>
                <w:b w:val="0"/>
                <w:bCs w:val="0"/>
                <w:kern w:val="0"/>
                <w:sz w:val="20"/>
                <w:lang w:val="en-US" w:eastAsia="zh-CN"/>
              </w:rPr>
            </w:pPr>
            <w:r>
              <w:rPr>
                <w:rFonts w:hint="eastAsia" w:eastAsia="宋体"/>
                <w:b w:val="0"/>
                <w:bCs w:val="0"/>
                <w:kern w:val="0"/>
                <w:sz w:val="20"/>
                <w:lang w:val="en-US" w:eastAsia="zh-CN"/>
              </w:rPr>
              <w:t>305.73</w:t>
            </w: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305.73</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560"/>
        <w:gridCol w:w="770"/>
        <w:gridCol w:w="795"/>
        <w:gridCol w:w="900"/>
        <w:gridCol w:w="392"/>
        <w:gridCol w:w="404"/>
        <w:gridCol w:w="365"/>
        <w:gridCol w:w="339"/>
        <w:gridCol w:w="340"/>
        <w:gridCol w:w="273"/>
        <w:gridCol w:w="379"/>
        <w:gridCol w:w="925"/>
        <w:gridCol w:w="692"/>
        <w:gridCol w:w="339"/>
        <w:gridCol w:w="313"/>
        <w:gridCol w:w="379"/>
        <w:gridCol w:w="469"/>
        <w:gridCol w:w="854"/>
      </w:tblGrid>
      <w:tr>
        <w:tblPrEx>
          <w:tblCellMar>
            <w:top w:w="0" w:type="dxa"/>
            <w:left w:w="108" w:type="dxa"/>
            <w:bottom w:w="0" w:type="dxa"/>
            <w:right w:w="108" w:type="dxa"/>
          </w:tblCellMar>
        </w:tblPrEx>
        <w:trPr>
          <w:trHeight w:val="335" w:hRule="atLeast"/>
          <w:jc w:val="center"/>
        </w:trPr>
        <w:tc>
          <w:tcPr>
            <w:tcW w:w="1560" w:type="dxa"/>
            <w:tcBorders>
              <w:bottom w:val="single" w:color="000000" w:sz="4" w:space="0"/>
            </w:tcBorders>
            <w:noWrap w:val="0"/>
            <w:vAlign w:val="top"/>
          </w:tcPr>
          <w:p>
            <w:pPr>
              <w:autoSpaceDN w:val="0"/>
              <w:jc w:val="left"/>
              <w:textAlignment w:val="center"/>
              <w:rPr>
                <w:rFonts w:eastAsia="华文细黑"/>
                <w:color w:val="000000"/>
                <w:sz w:val="20"/>
              </w:rPr>
            </w:pPr>
          </w:p>
        </w:tc>
        <w:tc>
          <w:tcPr>
            <w:tcW w:w="4305"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577" w:type="dxa"/>
            <w:gridSpan w:val="3"/>
            <w:noWrap w:val="0"/>
            <w:vAlign w:val="center"/>
          </w:tcPr>
          <w:p>
            <w:pPr>
              <w:autoSpaceDN w:val="0"/>
              <w:jc w:val="left"/>
              <w:textAlignment w:val="center"/>
              <w:rPr>
                <w:rFonts w:eastAsia="华文细黑"/>
                <w:color w:val="000000"/>
                <w:sz w:val="20"/>
              </w:rPr>
            </w:pPr>
          </w:p>
        </w:tc>
        <w:tc>
          <w:tcPr>
            <w:tcW w:w="692" w:type="dxa"/>
            <w:noWrap w:val="0"/>
            <w:vAlign w:val="center"/>
          </w:tcPr>
          <w:p>
            <w:pPr>
              <w:autoSpaceDN w:val="0"/>
              <w:jc w:val="left"/>
              <w:textAlignment w:val="center"/>
              <w:rPr>
                <w:rFonts w:eastAsia="华文细黑"/>
                <w:color w:val="000000"/>
                <w:sz w:val="20"/>
              </w:rPr>
            </w:pPr>
          </w:p>
        </w:tc>
        <w:tc>
          <w:tcPr>
            <w:tcW w:w="339" w:type="dxa"/>
            <w:noWrap w:val="0"/>
            <w:vAlign w:val="center"/>
          </w:tcPr>
          <w:p>
            <w:pPr>
              <w:autoSpaceDN w:val="0"/>
              <w:jc w:val="left"/>
              <w:textAlignment w:val="center"/>
              <w:rPr>
                <w:rFonts w:eastAsia="华文细黑"/>
                <w:color w:val="000000"/>
                <w:sz w:val="20"/>
              </w:rPr>
            </w:pPr>
          </w:p>
        </w:tc>
        <w:tc>
          <w:tcPr>
            <w:tcW w:w="313" w:type="dxa"/>
            <w:noWrap w:val="0"/>
            <w:vAlign w:val="bottom"/>
          </w:tcPr>
          <w:p>
            <w:pPr>
              <w:autoSpaceDN w:val="0"/>
              <w:jc w:val="right"/>
              <w:textAlignment w:val="bottom"/>
              <w:rPr>
                <w:rFonts w:eastAsia="宋体"/>
                <w:color w:val="000000"/>
                <w:sz w:val="20"/>
              </w:rPr>
            </w:pPr>
          </w:p>
        </w:tc>
        <w:tc>
          <w:tcPr>
            <w:tcW w:w="1702"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560"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70"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12"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1560"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70"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795"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96"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65"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56"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92"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31"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323"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156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77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90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92"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27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37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6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8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1560"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集安市统计局</w:t>
            </w:r>
          </w:p>
        </w:tc>
        <w:tc>
          <w:tcPr>
            <w:tcW w:w="7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305.73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272.03</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179.53</w:t>
            </w:r>
          </w:p>
        </w:tc>
        <w:tc>
          <w:tcPr>
            <w:tcW w:w="39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2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92.50</w:t>
            </w:r>
          </w:p>
        </w:tc>
        <w:tc>
          <w:tcPr>
            <w:tcW w:w="6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33.70</w:t>
            </w: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33.70</w:t>
            </w:r>
          </w:p>
        </w:tc>
      </w:tr>
      <w:tr>
        <w:tblPrEx>
          <w:tblCellMar>
            <w:top w:w="0" w:type="dxa"/>
            <w:left w:w="108" w:type="dxa"/>
            <w:bottom w:w="0" w:type="dxa"/>
            <w:right w:w="108" w:type="dxa"/>
          </w:tblCellMar>
        </w:tblPrEx>
        <w:trPr>
          <w:trHeight w:val="517" w:hRule="atLeast"/>
          <w:jc w:val="center"/>
        </w:trPr>
        <w:tc>
          <w:tcPr>
            <w:tcW w:w="1560"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eastAsia="宋体"/>
                <w:color w:val="000000"/>
                <w:sz w:val="20"/>
                <w:shd w:val="clear" w:color="auto" w:fill="FFFFFF"/>
              </w:rPr>
            </w:pPr>
          </w:p>
        </w:tc>
        <w:tc>
          <w:tcPr>
            <w:tcW w:w="7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9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2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6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c>
          <w:tcPr>
            <w:tcW w:w="8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eastAsia="宋体"/>
                <w:color w:val="000000"/>
                <w:sz w:val="20"/>
                <w:shd w:val="clear" w:color="auto" w:fill="FFFFFF"/>
              </w:rPr>
            </w:pPr>
          </w:p>
        </w:tc>
      </w:tr>
      <w:tr>
        <w:tblPrEx>
          <w:tblCellMar>
            <w:top w:w="0" w:type="dxa"/>
            <w:left w:w="108" w:type="dxa"/>
            <w:bottom w:w="0" w:type="dxa"/>
            <w:right w:w="108" w:type="dxa"/>
          </w:tblCellMar>
        </w:tblPrEx>
        <w:trPr>
          <w:trHeight w:val="530" w:hRule="atLeast"/>
          <w:jc w:val="center"/>
        </w:trPr>
        <w:tc>
          <w:tcPr>
            <w:tcW w:w="1560"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305.73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272.03</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179.53</w:t>
            </w:r>
          </w:p>
        </w:tc>
        <w:tc>
          <w:tcPr>
            <w:tcW w:w="392"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0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65"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2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92.50</w:t>
            </w:r>
          </w:p>
        </w:tc>
        <w:tc>
          <w:tcPr>
            <w:tcW w:w="6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33.70</w:t>
            </w:r>
          </w:p>
        </w:tc>
        <w:tc>
          <w:tcPr>
            <w:tcW w:w="3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8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33.70</w:t>
            </w:r>
          </w:p>
        </w:tc>
      </w:tr>
    </w:tbl>
    <w:p>
      <w:pPr>
        <w:rPr>
          <w:rFonts w:hAnsi="楷体" w:eastAsia="楷体"/>
        </w:rPr>
      </w:pPr>
    </w:p>
    <w:p>
      <w:pPr>
        <w:rPr>
          <w:rFonts w:hAnsi="楷体" w:eastAsia="楷体"/>
        </w:rPr>
      </w:pPr>
    </w:p>
    <w:p>
      <w:pPr>
        <w:ind w:firstLine="640" w:firstLineChars="200"/>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10918" w:hRule="atLeast"/>
          <w:jc w:val="center"/>
        </w:trPr>
        <w:tc>
          <w:tcPr>
            <w:tcW w:w="10405" w:type="dxa"/>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968" w:type="dxa"/>
              <w:tblInd w:w="317" w:type="dxa"/>
              <w:tblLayout w:type="fixed"/>
              <w:tblCellMar>
                <w:top w:w="15" w:type="dxa"/>
                <w:left w:w="15" w:type="dxa"/>
                <w:bottom w:w="15" w:type="dxa"/>
                <w:right w:w="15" w:type="dxa"/>
              </w:tblCellMar>
            </w:tblPr>
            <w:tblGrid>
              <w:gridCol w:w="2277"/>
              <w:gridCol w:w="1267"/>
              <w:gridCol w:w="1306"/>
              <w:gridCol w:w="1090"/>
              <w:gridCol w:w="1297"/>
              <w:gridCol w:w="1266"/>
              <w:gridCol w:w="30"/>
              <w:gridCol w:w="1297"/>
              <w:gridCol w:w="138"/>
            </w:tblGrid>
            <w:tr>
              <w:tblPrEx>
                <w:tblCellMar>
                  <w:top w:w="15" w:type="dxa"/>
                  <w:left w:w="15" w:type="dxa"/>
                  <w:bottom w:w="15" w:type="dxa"/>
                  <w:right w:w="15" w:type="dxa"/>
                </w:tblCellMar>
              </w:tblPrEx>
              <w:trPr>
                <w:gridAfter w:val="1"/>
                <w:wAfter w:w="138" w:type="dxa"/>
                <w:trHeight w:val="636" w:hRule="atLeast"/>
              </w:trPr>
              <w:tc>
                <w:tcPr>
                  <w:tcW w:w="5940" w:type="dxa"/>
                  <w:gridSpan w:val="4"/>
                  <w:tcBorders>
                    <w:bottom w:val="single" w:color="000000" w:sz="4" w:space="0"/>
                  </w:tcBorders>
                  <w:noWrap w:val="0"/>
                  <w:vAlign w:val="center"/>
                </w:tcPr>
                <w:p>
                  <w:pPr>
                    <w:widowControl/>
                    <w:jc w:val="left"/>
                    <w:rPr>
                      <w:rFonts w:eastAsia="华文细黑"/>
                      <w:color w:val="000000"/>
                      <w:kern w:val="0"/>
                      <w:sz w:val="20"/>
                    </w:rPr>
                  </w:pPr>
                </w:p>
              </w:tc>
              <w:tc>
                <w:tcPr>
                  <w:tcW w:w="1297" w:type="dxa"/>
                  <w:tcBorders>
                    <w:bottom w:val="single" w:color="000000" w:sz="4" w:space="0"/>
                  </w:tcBorders>
                  <w:noWrap w:val="0"/>
                  <w:vAlign w:val="center"/>
                </w:tcPr>
                <w:p>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pPr>
                    <w:widowControl/>
                    <w:jc w:val="right"/>
                    <w:rPr>
                      <w:rFonts w:eastAsia="华文细黑"/>
                      <w:color w:val="000000"/>
                      <w:kern w:val="0"/>
                      <w:sz w:val="20"/>
                    </w:rPr>
                  </w:pPr>
                </w:p>
              </w:tc>
              <w:tc>
                <w:tcPr>
                  <w:tcW w:w="1297" w:type="dxa"/>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606" w:hRule="atLeast"/>
              </w:trPr>
              <w:tc>
                <w:tcPr>
                  <w:tcW w:w="227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467"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177.79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489"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267.04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89.25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177.79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91"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89"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12.57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12.57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1"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86.70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86.70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1"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78.52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18"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51"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8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33"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8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9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43"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9"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470" w:hRule="atLeast"/>
              </w:trPr>
              <w:tc>
                <w:tcPr>
                  <w:tcW w:w="2277" w:type="dxa"/>
                  <w:tcBorders>
                    <w:top w:val="single" w:color="000000" w:sz="4" w:space="0"/>
                    <w:left w:val="single" w:color="000000" w:sz="4" w:space="0"/>
                    <w:bottom w:val="single" w:color="000000" w:sz="4" w:space="0"/>
                  </w:tcBorders>
                  <w:shd w:val="clear" w:color="000000" w:fill="FFFFFF"/>
                  <w:noWrap w:val="0"/>
                  <w:vAlign w:val="center"/>
                </w:tcPr>
                <w:p>
                  <w:pPr>
                    <w:widowControl/>
                    <w:ind w:firstLine="800" w:firstLineChars="400"/>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127.94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177.79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640" w:firstLineChars="200"/>
      </w:pPr>
    </w:p>
    <w:p>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28"/>
              <w:gridCol w:w="994"/>
              <w:gridCol w:w="1148"/>
              <w:gridCol w:w="1150"/>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52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994"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179.53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179.53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0"/>
                      <w:sz w:val="20"/>
                    </w:rPr>
                  </w:pPr>
                  <w:r>
                    <w:rPr>
                      <w:rFonts w:hint="eastAsia" w:eastAsia="宋体"/>
                      <w:kern w:val="0"/>
                      <w:sz w:val="20"/>
                      <w:lang w:val="en-US" w:eastAsia="zh-CN"/>
                    </w:rPr>
                    <w:t>179.53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kern w:val="0"/>
                      <w:sz w:val="20"/>
                      <w:szCs w:val="22"/>
                      <w:lang w:val="en-US" w:eastAsia="zh-CN"/>
                    </w:rPr>
                  </w:pPr>
                  <w:r>
                    <w:rPr>
                      <w:rFonts w:hint="eastAsia" w:eastAsia="宋体"/>
                      <w:kern w:val="0"/>
                      <w:sz w:val="20"/>
                      <w:szCs w:val="22"/>
                      <w:lang w:val="en-US" w:eastAsia="zh-CN"/>
                    </w:rPr>
                    <w:t>179.53</w:t>
                  </w:r>
                </w:p>
              </w:tc>
              <w:tc>
                <w:tcPr>
                  <w:tcW w:w="11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eastAsia="宋体"/>
                      <w:kern w:val="0"/>
                      <w:sz w:val="20"/>
                      <w:szCs w:val="22"/>
                      <w:lang w:val="en-US" w:eastAsia="zh-CN"/>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179.53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0"/>
                      <w:sz w:val="20"/>
                      <w:lang w:val="en-US" w:eastAsia="zh-CN"/>
                    </w:rPr>
                  </w:pPr>
                  <w:r>
                    <w:rPr>
                      <w:rFonts w:hint="eastAsia" w:eastAsia="宋体"/>
                      <w:kern w:val="0"/>
                      <w:sz w:val="20"/>
                      <w:lang w:val="en-US" w:eastAsia="zh-CN"/>
                    </w:rPr>
                    <w:t>179.53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宋体"/>
                      <w:kern w:val="0"/>
                      <w:sz w:val="20"/>
                    </w:rPr>
                  </w:pPr>
                  <w:r>
                    <w:rPr>
                      <w:rFonts w:hint="eastAsia" w:eastAsia="宋体"/>
                      <w:kern w:val="0"/>
                      <w:sz w:val="20"/>
                      <w:lang w:val="en-US" w:eastAsia="zh-CN"/>
                    </w:rPr>
                    <w:t>140.84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kern w:val="0"/>
                      <w:sz w:val="20"/>
                      <w:szCs w:val="22"/>
                      <w:lang w:val="en-US" w:eastAsia="zh-CN"/>
                    </w:rPr>
                  </w:pPr>
                  <w:r>
                    <w:rPr>
                      <w:rFonts w:hint="eastAsia" w:eastAsia="宋体"/>
                      <w:kern w:val="0"/>
                      <w:sz w:val="20"/>
                      <w:szCs w:val="22"/>
                      <w:lang w:val="en-US" w:eastAsia="zh-CN"/>
                    </w:rPr>
                    <w:t>140.84</w:t>
                  </w:r>
                </w:p>
              </w:tc>
              <w:tc>
                <w:tcPr>
                  <w:tcW w:w="11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eastAsia" w:eastAsia="宋体"/>
                      <w:kern w:val="0"/>
                      <w:sz w:val="20"/>
                      <w:szCs w:val="22"/>
                      <w:lang w:val="en-US" w:eastAsia="zh-CN"/>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kern w:val="0"/>
                      <w:sz w:val="20"/>
                      <w:lang w:val="en-US" w:eastAsia="zh-CN"/>
                    </w:rPr>
                  </w:pPr>
                  <w:r>
                    <w:rPr>
                      <w:rFonts w:hint="eastAsia" w:eastAsia="宋体"/>
                      <w:kern w:val="0"/>
                      <w:sz w:val="20"/>
                      <w:lang w:val="en-US" w:eastAsia="zh-CN"/>
                    </w:rPr>
                    <w:t>26.16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kern w:val="0"/>
                      <w:sz w:val="20"/>
                      <w:lang w:val="en-US" w:eastAsia="zh-CN"/>
                    </w:rPr>
                  </w:pPr>
                  <w:r>
                    <w:rPr>
                      <w:rFonts w:hint="eastAsia" w:eastAsia="宋体"/>
                      <w:kern w:val="0"/>
                      <w:sz w:val="20"/>
                      <w:lang w:val="en-US" w:eastAsia="zh-CN"/>
                    </w:rPr>
                    <w:t>26.16</w:t>
                  </w:r>
                </w:p>
              </w:tc>
              <w:tc>
                <w:tcPr>
                  <w:tcW w:w="11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val="en-US" w:eastAsia="zh-CN"/>
                    </w:rPr>
                    <w:t>3.42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3.42</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eastAsia="宋体"/>
                      <w:color w:val="000000"/>
                      <w:kern w:val="0"/>
                      <w:sz w:val="20"/>
                    </w:rPr>
                  </w:pPr>
                  <w:r>
                    <w:rPr>
                      <w:rFonts w:hint="eastAsia" w:eastAsia="宋体"/>
                      <w:color w:val="000000"/>
                      <w:sz w:val="20"/>
                      <w:lang w:eastAsia="zh-CN"/>
                    </w:rPr>
                    <w:t>（四）住房保障</w:t>
                  </w:r>
                  <w:r>
                    <w:rPr>
                      <w:rFonts w:eastAsia="宋体"/>
                      <w:color w:val="000000"/>
                      <w:sz w:val="20"/>
                    </w:rPr>
                    <w:t>支出</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9.11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9.11</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994"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0"/>
                    </w:rPr>
                  </w:pPr>
                  <w:r>
                    <w:rPr>
                      <w:rFonts w:hint="eastAsia" w:eastAsia="黑体"/>
                      <w:kern w:val="0"/>
                      <w:sz w:val="20"/>
                      <w:lang w:val="en-US" w:eastAsia="zh-CN"/>
                    </w:rPr>
                    <w:t>179.53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黑体"/>
                      <w:kern w:val="0"/>
                      <w:sz w:val="20"/>
                      <w:lang w:val="en-US" w:eastAsia="zh-CN"/>
                    </w:rPr>
                  </w:pPr>
                  <w:r>
                    <w:rPr>
                      <w:rFonts w:hint="eastAsia" w:eastAsia="黑体"/>
                      <w:kern w:val="0"/>
                      <w:sz w:val="20"/>
                      <w:lang w:val="en-US" w:eastAsia="zh-CN"/>
                    </w:rPr>
                    <w:t>179.53</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5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9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lang w:val="en-US" w:eastAsia="zh-CN"/>
                    </w:rPr>
                    <w:t>179.53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179.53</w:t>
                  </w:r>
                </w:p>
              </w:tc>
              <w:tc>
                <w:tcPr>
                  <w:tcW w:w="1150"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bl>
          <w:p>
            <w:pPr>
              <w:widowControl/>
              <w:rPr>
                <w:rFonts w:eastAsia="方正小标宋简体"/>
                <w:kern w:val="0"/>
                <w:sz w:val="44"/>
                <w:szCs w:val="44"/>
              </w:rPr>
            </w:pPr>
          </w:p>
        </w:tc>
      </w:tr>
    </w:tbl>
    <w:p>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51.59</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51.59</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89.25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12.57</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5.50</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jc w:val="left"/>
                    <w:textAlignment w:val="center"/>
                    <w:rPr>
                      <w:rFonts w:eastAsia="宋体"/>
                      <w:color w:val="000000"/>
                      <w:kern w:val="0"/>
                      <w:sz w:val="20"/>
                    </w:rPr>
                  </w:pPr>
                  <w:r>
                    <w:rPr>
                      <w:rFonts w:hint="eastAsia" w:eastAsia="宋体"/>
                      <w:color w:val="000000"/>
                      <w:kern w:val="0"/>
                      <w:sz w:val="20"/>
                      <w:lang w:val="en-US"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33.52</w:t>
                  </w: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rPr>
                      <w:rFonts w:eastAsia="宋体"/>
                      <w:color w:val="000000"/>
                      <w:kern w:val="0"/>
                      <w:sz w:val="20"/>
                    </w:rPr>
                  </w:pPr>
                  <w:r>
                    <w:rPr>
                      <w:rFonts w:hint="eastAsia" w:ascii="宋体" w:hAnsi="宋体" w:eastAsia="宋体" w:cs="宋体"/>
                      <w:color w:val="000000"/>
                      <w:kern w:val="0"/>
                      <w:sz w:val="20"/>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ind w:firstLine="400" w:firstLineChars="200"/>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3.42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r>
                    <w:rPr>
                      <w:rFonts w:hint="eastAsia" w:eastAsia="宋体"/>
                      <w:color w:val="000000"/>
                      <w:kern w:val="0"/>
                      <w:sz w:val="20"/>
                      <w:lang w:val="en-US" w:eastAsia="zh-CN"/>
                    </w:rPr>
                    <w:t>9.11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179.53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127.94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108.71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51.59</w:t>
                  </w:r>
                </w:p>
              </w:tc>
            </w:tr>
          </w:tbl>
          <w:p>
            <w:pPr>
              <w:widowControl/>
              <w:jc w:val="center"/>
              <w:rPr>
                <w:rFonts w:eastAsia="方正小标宋简体"/>
                <w:kern w:val="0"/>
                <w:sz w:val="44"/>
                <w:szCs w:val="44"/>
              </w:rPr>
            </w:pPr>
          </w:p>
        </w:tc>
      </w:tr>
    </w:tbl>
    <w:p>
      <w:pPr>
        <w:ind w:firstLine="640" w:firstLineChars="200"/>
      </w:pPr>
    </w:p>
    <w:p>
      <w:pPr>
        <w:ind w:firstLine="640" w:firstLineChars="200"/>
        <w:rPr>
          <w:rFonts w:eastAsia="楷体"/>
        </w:rPr>
      </w:pPr>
    </w:p>
    <w:p>
      <w:pPr>
        <w:rPr>
          <w:rFonts w:eastAsia="楷体"/>
        </w:rPr>
      </w:pPr>
      <w:r>
        <w:rPr>
          <w:rFonts w:eastAsia="楷体"/>
        </w:rPr>
        <w:br w:type="page"/>
      </w:r>
    </w:p>
    <w:p>
      <w:pPr>
        <w:rPr>
          <w:sz w:val="16"/>
          <w:szCs w:val="16"/>
        </w:rPr>
      </w:pPr>
    </w:p>
    <w:tbl>
      <w:tblPr>
        <w:tblStyle w:val="9"/>
        <w:tblW w:w="0" w:type="auto"/>
        <w:jc w:val="center"/>
        <w:tblLayout w:type="fixed"/>
        <w:tblCellMar>
          <w:top w:w="0" w:type="dxa"/>
          <w:left w:w="108" w:type="dxa"/>
          <w:bottom w:w="0" w:type="dxa"/>
          <w:right w:w="108" w:type="dxa"/>
        </w:tblCellMar>
      </w:tblPr>
      <w:tblGrid>
        <w:gridCol w:w="3554"/>
        <w:gridCol w:w="1842"/>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554"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1842"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634" w:hRule="atLeast"/>
          <w:jc w:val="center"/>
        </w:trPr>
        <w:tc>
          <w:tcPr>
            <w:tcW w:w="3554"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42"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eastAsia="宋体"/>
                <w:color w:val="000000"/>
                <w:kern w:val="0"/>
                <w:sz w:val="20"/>
              </w:rPr>
            </w:pPr>
            <w:r>
              <w:rPr>
                <w:rFonts w:eastAsia="宋体"/>
                <w:color w:val="000000"/>
                <w:sz w:val="20"/>
              </w:rPr>
              <w:t>一、工资福利支出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97.95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97.95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30.97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30.97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21.28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21.28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16.16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16.16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10.48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职业年金缴费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5.24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sz w:val="20"/>
                <w:szCs w:val="20"/>
                <w:lang w:val="en-US" w:eastAsia="zh-CN"/>
              </w:rPr>
            </w:pPr>
            <w:r>
              <w:rPr>
                <w:rFonts w:hint="eastAsia"/>
                <w:sz w:val="20"/>
                <w:szCs w:val="20"/>
                <w:lang w:val="en-US" w:eastAsia="zh-CN"/>
              </w:rPr>
              <w:t>5.24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3.32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3.32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eastAsia="宋体"/>
                <w:kern w:val="0"/>
                <w:sz w:val="20"/>
              </w:rPr>
              <w:t>其他社会保障缴费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eastAsia="宋体"/>
                <w:color w:val="000000"/>
                <w:sz w:val="20"/>
              </w:rPr>
            </w:pPr>
            <w:r>
              <w:rPr>
                <w:rFonts w:hint="eastAsia" w:eastAsia="宋体"/>
                <w:kern w:val="0"/>
                <w:sz w:val="20"/>
              </w:rPr>
              <w:t>住房公积金</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9.11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9.11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kern w:val="0"/>
                <w:sz w:val="20"/>
              </w:rPr>
              <w:t>医疗费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其他工资福利支出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仿宋_GB2312"/>
                <w:sz w:val="20"/>
                <w:szCs w:val="20"/>
                <w:lang w:val="en-US" w:eastAsia="zh-CN"/>
              </w:rPr>
            </w:pPr>
            <w:r>
              <w:rPr>
                <w:rFonts w:hint="eastAsia"/>
                <w:sz w:val="20"/>
                <w:szCs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二、商品和服务支出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18.64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18.64</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5.81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5.81</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0.10</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1.00</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培训费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0.25</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公务接待费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0.15</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工会经费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1.04</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其他交通费用</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4.86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4.86</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其他商品和服务支出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5.43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5.43</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eastAsia="宋体"/>
                <w:kern w:val="0"/>
                <w:sz w:val="20"/>
                <w:lang w:val="en-US" w:eastAsia="zh-CN"/>
              </w:rPr>
            </w:pPr>
            <w:r>
              <w:rPr>
                <w:rFonts w:hint="eastAsia" w:eastAsia="宋体"/>
                <w:kern w:val="0"/>
                <w:sz w:val="20"/>
                <w:lang w:val="en-US" w:eastAsia="zh-CN"/>
              </w:rPr>
              <w:t>10.44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sz w:val="20"/>
                <w:szCs w:val="20"/>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rPr>
              <w:t>其他对个人和家庭的补助</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0.32</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hint="eastAsia"/>
                <w:sz w:val="20"/>
                <w:szCs w:val="20"/>
                <w:lang w:val="en-US" w:eastAsia="zh-CN"/>
              </w:rPr>
            </w:pP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0.59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0.59</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办公设备购置</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0.59</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0.59</w:t>
            </w:r>
          </w:p>
        </w:tc>
      </w:tr>
      <w:tr>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kern w:val="0"/>
                <w:sz w:val="20"/>
                <w:lang w:val="en-US" w:eastAsia="zh-CN"/>
              </w:rPr>
            </w:pPr>
            <w:r>
              <w:rPr>
                <w:rFonts w:hint="eastAsia" w:eastAsia="宋体"/>
                <w:kern w:val="0"/>
                <w:sz w:val="20"/>
                <w:lang w:val="en-US" w:eastAsia="zh-CN"/>
              </w:rPr>
              <w:t>127.94</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sz w:val="20"/>
                <w:szCs w:val="20"/>
                <w:lang w:val="en-US" w:eastAsia="zh-CN"/>
              </w:rPr>
            </w:pPr>
            <w:r>
              <w:rPr>
                <w:rFonts w:hint="eastAsia"/>
                <w:sz w:val="20"/>
                <w:szCs w:val="20"/>
                <w:lang w:val="en-US" w:eastAsia="zh-CN"/>
              </w:rPr>
              <w:t>108.71</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sz w:val="20"/>
                <w:szCs w:val="20"/>
                <w:lang w:val="en-US" w:eastAsia="zh-CN"/>
              </w:rPr>
            </w:pPr>
            <w:r>
              <w:rPr>
                <w:rFonts w:hint="eastAsia"/>
                <w:sz w:val="20"/>
                <w:szCs w:val="20"/>
                <w:lang w:val="en-US" w:eastAsia="zh-CN"/>
              </w:rPr>
              <w:t>19.23</w:t>
            </w:r>
          </w:p>
        </w:tc>
      </w:tr>
    </w:tbl>
    <w:p>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0.15</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0.15</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rPr>
          <w:rFonts w:hAnsi="楷体" w:eastAsia="楷体"/>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
          <w:kern w:val="0"/>
          <w:szCs w:val="32"/>
        </w:rPr>
      </w:pPr>
      <w:r>
        <w:rPr>
          <w:rFonts w:eastAsia="楷体_GB2312"/>
          <w:kern w:val="0"/>
          <w:szCs w:val="32"/>
        </w:rPr>
        <w:t xml:space="preserve">   </w:t>
      </w:r>
    </w:p>
    <w:p>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eastAsia="楷体"/>
          <w:kern w:val="0"/>
          <w:szCs w:val="32"/>
          <w:lang w:val="en-US" w:eastAsia="zh-CN"/>
        </w:rPr>
        <w:t>说明</w:t>
      </w:r>
      <w:r>
        <w:rPr>
          <w:rFonts w:eastAsia="楷体"/>
          <w:kern w:val="0"/>
          <w:szCs w:val="32"/>
        </w:rPr>
        <w:t>：</w:t>
      </w:r>
      <w:r>
        <w:rPr>
          <w:rFonts w:hint="eastAsia" w:eastAsia="楷体"/>
          <w:kern w:val="0"/>
          <w:szCs w:val="32"/>
          <w:lang w:val="en-US" w:eastAsia="zh-CN"/>
        </w:rPr>
        <w:t>本单位2026年度无政府性基金预算，故本表无数据</w:t>
      </w:r>
      <w:r>
        <w:rPr>
          <w:rFonts w:hint="eastAsia" w:eastAsia="楷体"/>
          <w:kern w:val="0"/>
          <w:szCs w:val="32"/>
          <w:lang w:eastAsia="zh-CN"/>
        </w:rPr>
        <w:t>。</w:t>
      </w: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rPr>
          <w:rFonts w:eastAsia="楷体"/>
          <w:kern w:val="0"/>
          <w:szCs w:val="32"/>
        </w:rPr>
      </w:pPr>
    </w:p>
    <w:p>
      <w:pPr>
        <w:spacing w:line="700" w:lineRule="exact"/>
        <w:ind w:firstLine="640" w:firstLineChars="200"/>
        <w:rPr>
          <w:rFonts w:hint="eastAsia" w:eastAsia="楷体"/>
          <w:kern w:val="0"/>
          <w:szCs w:val="32"/>
          <w:lang w:eastAsia="zh-CN"/>
        </w:rPr>
        <w:sectPr>
          <w:footerReference r:id="rId12" w:type="first"/>
          <w:footerReference r:id="rId11"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r>
        <w:rPr>
          <w:rFonts w:hint="eastAsia" w:eastAsia="楷体"/>
          <w:kern w:val="0"/>
          <w:szCs w:val="32"/>
          <w:lang w:val="en-US" w:eastAsia="zh-CN"/>
        </w:rPr>
        <w:t>说明</w:t>
      </w:r>
      <w:r>
        <w:rPr>
          <w:rFonts w:eastAsia="楷体"/>
          <w:kern w:val="0"/>
          <w:szCs w:val="32"/>
        </w:rPr>
        <w:t>：</w:t>
      </w:r>
      <w:r>
        <w:rPr>
          <w:rFonts w:hint="eastAsia" w:eastAsia="楷体"/>
          <w:kern w:val="0"/>
          <w:szCs w:val="32"/>
          <w:lang w:val="en-US" w:eastAsia="zh-CN"/>
        </w:rPr>
        <w:t>本单位2026年度无国有资本经营预算，故本表无数据。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953"/>
        <w:gridCol w:w="330"/>
        <w:gridCol w:w="479"/>
        <w:gridCol w:w="691"/>
        <w:gridCol w:w="821"/>
        <w:gridCol w:w="770"/>
        <w:gridCol w:w="391"/>
        <w:gridCol w:w="391"/>
        <w:gridCol w:w="392"/>
        <w:gridCol w:w="782"/>
        <w:gridCol w:w="405"/>
        <w:gridCol w:w="339"/>
        <w:gridCol w:w="365"/>
        <w:gridCol w:w="3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349"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2"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283"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691"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21"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726"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307"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42"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62"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91"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21"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26"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07"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42"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53"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09"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691"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21"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552"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2"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82"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09"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98"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1042"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953"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09"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91"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21"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7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1"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1"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2"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782"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40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39"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5"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8"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ascii="Calibri" w:hAnsi="Calibri" w:eastAsia="楷体"/>
                <w:kern w:val="0"/>
                <w:szCs w:val="32"/>
              </w:rPr>
            </w:pPr>
            <w:r>
              <w:rPr>
                <w:rFonts w:hint="eastAsia" w:ascii="宋体" w:hAnsi="宋体" w:eastAsia="宋体" w:cs="宋体"/>
                <w:kern w:val="0"/>
                <w:sz w:val="20"/>
                <w:szCs w:val="20"/>
                <w:lang w:val="en-US" w:eastAsia="zh-CN"/>
              </w:rPr>
              <w:t>31</w:t>
            </w:r>
            <w:r>
              <w:rPr>
                <w:rFonts w:hint="eastAsia" w:ascii="宋体" w:hAnsi="宋体" w:eastAsia="宋体" w:cs="宋体"/>
                <w:kern w:val="0"/>
                <w:sz w:val="20"/>
                <w:szCs w:val="20"/>
                <w:lang w:eastAsia="zh-CN"/>
              </w:rPr>
              <w:t>部门特定目标类项目</w:t>
            </w:r>
          </w:p>
        </w:tc>
        <w:tc>
          <w:tcPr>
            <w:tcW w:w="953" w:type="dxa"/>
            <w:noWrap w:val="0"/>
            <w:vAlign w:val="center"/>
          </w:tcPr>
          <w:p>
            <w:pPr>
              <w:spacing w:line="240" w:lineRule="auto"/>
              <w:jc w:val="center"/>
              <w:rPr>
                <w:rFonts w:hint="default" w:ascii="宋体" w:hAnsi="宋体" w:eastAsia="宋体" w:cs="宋体"/>
                <w:kern w:val="0"/>
                <w:sz w:val="20"/>
                <w:szCs w:val="20"/>
                <w:lang w:val="en-US" w:eastAsia="zh-CN"/>
              </w:rPr>
            </w:pPr>
          </w:p>
        </w:tc>
        <w:tc>
          <w:tcPr>
            <w:tcW w:w="809" w:type="dxa"/>
            <w:gridSpan w:val="2"/>
            <w:noWrap w:val="0"/>
            <w:vAlign w:val="center"/>
          </w:tcPr>
          <w:p>
            <w:pPr>
              <w:spacing w:line="240" w:lineRule="auto"/>
              <w:jc w:val="center"/>
              <w:rPr>
                <w:rFonts w:hint="eastAsia" w:ascii="宋体" w:hAnsi="宋体" w:eastAsia="宋体" w:cs="宋体"/>
                <w:kern w:val="0"/>
                <w:sz w:val="20"/>
                <w:szCs w:val="20"/>
                <w:lang w:val="en-US" w:eastAsia="zh-CN"/>
              </w:rPr>
            </w:pPr>
          </w:p>
        </w:tc>
        <w:tc>
          <w:tcPr>
            <w:tcW w:w="6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177.79</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51.59</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92.50</w:t>
            </w: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953" w:type="dxa"/>
            <w:noWrap w:val="0"/>
            <w:vAlign w:val="center"/>
          </w:tcPr>
          <w:p>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统计抽样调查</w:t>
            </w:r>
          </w:p>
        </w:tc>
        <w:tc>
          <w:tcPr>
            <w:tcW w:w="809" w:type="dxa"/>
            <w:gridSpan w:val="2"/>
            <w:noWrap w:val="0"/>
            <w:vAlign w:val="center"/>
          </w:tcPr>
          <w:p>
            <w:pPr>
              <w:spacing w:line="240" w:lineRule="auto"/>
              <w:jc w:val="center"/>
              <w:rPr>
                <w:rFonts w:hint="eastAsia" w:ascii="宋体" w:hAnsi="宋体" w:eastAsia="宋体" w:cs="宋体"/>
                <w:kern w:val="0"/>
                <w:sz w:val="20"/>
                <w:szCs w:val="20"/>
                <w:lang w:val="en-US" w:eastAsia="zh-CN"/>
              </w:rPr>
            </w:pPr>
          </w:p>
        </w:tc>
        <w:tc>
          <w:tcPr>
            <w:tcW w:w="6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78.52</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33.52</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20.50</w:t>
            </w: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953"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09" w:type="dxa"/>
            <w:gridSpan w:val="2"/>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统计调查综合补助</w:t>
            </w:r>
          </w:p>
        </w:tc>
        <w:tc>
          <w:tcPr>
            <w:tcW w:w="69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集安市统计局</w:t>
            </w: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78.52</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33.52</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20.50</w:t>
            </w: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953"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专项统计业务</w:t>
            </w:r>
          </w:p>
        </w:tc>
        <w:tc>
          <w:tcPr>
            <w:tcW w:w="809" w:type="dxa"/>
            <w:gridSpan w:val="2"/>
            <w:noWrap w:val="0"/>
            <w:vAlign w:val="center"/>
          </w:tcPr>
          <w:p>
            <w:pPr>
              <w:spacing w:line="240" w:lineRule="auto"/>
              <w:jc w:val="center"/>
              <w:rPr>
                <w:rFonts w:hint="eastAsia" w:ascii="宋体" w:hAnsi="宋体" w:eastAsia="宋体" w:cs="宋体"/>
                <w:kern w:val="0"/>
                <w:sz w:val="20"/>
                <w:szCs w:val="20"/>
                <w:lang w:val="en-US" w:eastAsia="zh-CN"/>
              </w:rPr>
            </w:pPr>
          </w:p>
        </w:tc>
        <w:tc>
          <w:tcPr>
            <w:tcW w:w="6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12.57</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12.57</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eastAsia" w:ascii="宋体" w:hAnsi="宋体" w:eastAsia="宋体" w:cs="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953"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09" w:type="dxa"/>
            <w:gridSpan w:val="2"/>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综合统计业务费</w:t>
            </w:r>
          </w:p>
        </w:tc>
        <w:tc>
          <w:tcPr>
            <w:tcW w:w="69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集安市统计局</w:t>
            </w: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12.57</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12.57</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eastAsia" w:ascii="宋体" w:hAnsi="宋体" w:eastAsia="宋体" w:cs="宋体"/>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953"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专项普查活动</w:t>
            </w:r>
          </w:p>
        </w:tc>
        <w:tc>
          <w:tcPr>
            <w:tcW w:w="809" w:type="dxa"/>
            <w:gridSpan w:val="2"/>
            <w:noWrap w:val="0"/>
            <w:vAlign w:val="center"/>
          </w:tcPr>
          <w:p>
            <w:pPr>
              <w:spacing w:line="240" w:lineRule="auto"/>
              <w:jc w:val="center"/>
              <w:rPr>
                <w:rFonts w:hint="eastAsia" w:ascii="宋体" w:hAnsi="宋体" w:eastAsia="宋体" w:cs="宋体"/>
                <w:kern w:val="0"/>
                <w:sz w:val="20"/>
                <w:szCs w:val="20"/>
                <w:lang w:val="en-US" w:eastAsia="zh-CN"/>
              </w:rPr>
            </w:pPr>
          </w:p>
        </w:tc>
        <w:tc>
          <w:tcPr>
            <w:tcW w:w="6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86.70</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72.0</w:t>
            </w: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953"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09" w:type="dxa"/>
            <w:gridSpan w:val="2"/>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大型普查综合业务费</w:t>
            </w:r>
          </w:p>
        </w:tc>
        <w:tc>
          <w:tcPr>
            <w:tcW w:w="69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集安市统计局</w:t>
            </w: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86.70</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5.50</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72.00</w:t>
            </w: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42"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53"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09" w:type="dxa"/>
            <w:gridSpan w:val="2"/>
            <w:noWrap w:val="0"/>
            <w:vAlign w:val="center"/>
          </w:tcPr>
          <w:p>
            <w:pPr>
              <w:spacing w:line="240" w:lineRule="auto"/>
              <w:jc w:val="center"/>
              <w:rPr>
                <w:rFonts w:hint="eastAsia" w:ascii="宋体" w:hAnsi="宋体" w:eastAsia="宋体" w:cs="宋体"/>
                <w:kern w:val="0"/>
                <w:sz w:val="20"/>
                <w:szCs w:val="20"/>
                <w:lang w:val="en-US" w:eastAsia="zh-CN"/>
              </w:rPr>
            </w:pPr>
          </w:p>
        </w:tc>
        <w:tc>
          <w:tcPr>
            <w:tcW w:w="6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1"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177.79</w:t>
            </w:r>
          </w:p>
        </w:tc>
        <w:tc>
          <w:tcPr>
            <w:tcW w:w="77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51.59</w:t>
            </w: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1"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92"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782"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92.50</w:t>
            </w:r>
          </w:p>
        </w:tc>
        <w:tc>
          <w:tcPr>
            <w:tcW w:w="40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39"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65"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378" w:type="dxa"/>
            <w:noWrap w:val="0"/>
            <w:vAlign w:val="center"/>
          </w:tcPr>
          <w:p>
            <w:pPr>
              <w:spacing w:line="240" w:lineRule="auto"/>
              <w:jc w:val="center"/>
              <w:rPr>
                <w:rFonts w:hint="eastAsia" w:ascii="宋体" w:hAnsi="宋体" w:eastAsia="宋体" w:cs="宋体"/>
                <w:kern w:val="0"/>
                <w:sz w:val="20"/>
                <w:szCs w:val="20"/>
                <w:lang w:val="en-US" w:eastAsia="zh-CN"/>
              </w:rPr>
            </w:pPr>
          </w:p>
        </w:tc>
        <w:tc>
          <w:tcPr>
            <w:tcW w:w="820" w:type="dxa"/>
            <w:noWrap w:val="0"/>
            <w:vAlign w:val="center"/>
          </w:tcPr>
          <w:p>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33.70</w:t>
            </w:r>
          </w:p>
        </w:tc>
      </w:tr>
    </w:tbl>
    <w:p>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10566" w:type="dxa"/>
        <w:tblInd w:w="-1026" w:type="dxa"/>
        <w:shd w:val="clear" w:color="auto" w:fill="auto"/>
        <w:tblLayout w:type="fixed"/>
        <w:tblCellMar>
          <w:top w:w="0" w:type="dxa"/>
          <w:left w:w="0" w:type="dxa"/>
          <w:bottom w:w="0" w:type="dxa"/>
          <w:right w:w="0" w:type="dxa"/>
        </w:tblCellMar>
      </w:tblPr>
      <w:tblGrid>
        <w:gridCol w:w="666"/>
        <w:gridCol w:w="848"/>
        <w:gridCol w:w="860"/>
        <w:gridCol w:w="1670"/>
        <w:gridCol w:w="939"/>
        <w:gridCol w:w="939"/>
        <w:gridCol w:w="1318"/>
        <w:gridCol w:w="1134"/>
        <w:gridCol w:w="1344"/>
        <w:gridCol w:w="848"/>
      </w:tblGrid>
      <w:tr>
        <w:tblPrEx>
          <w:shd w:val="clear" w:color="auto" w:fill="auto"/>
          <w:tblCellMar>
            <w:top w:w="0" w:type="dxa"/>
            <w:left w:w="0" w:type="dxa"/>
            <w:bottom w:w="0" w:type="dxa"/>
            <w:right w:w="0" w:type="dxa"/>
          </w:tblCellMar>
        </w:tblPrEx>
        <w:trPr>
          <w:trHeight w:val="612" w:hRule="atLeast"/>
        </w:trPr>
        <w:tc>
          <w:tcPr>
            <w:tcW w:w="10566"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Calibri" w:hAnsi="Calibri" w:eastAsia="方正小标宋简体" w:cs="Times New Roman"/>
                <w:kern w:val="0"/>
                <w:sz w:val="44"/>
                <w:szCs w:val="44"/>
                <w:lang w:val="en-US" w:eastAsia="zh-CN"/>
              </w:rPr>
              <w:t>项目支出绩效目标表</w:t>
            </w:r>
          </w:p>
        </w:tc>
      </w:tr>
      <w:tr>
        <w:tblPrEx>
          <w:shd w:val="clear" w:color="auto" w:fill="auto"/>
          <w:tblCellMar>
            <w:top w:w="0" w:type="dxa"/>
            <w:left w:w="0" w:type="dxa"/>
            <w:bottom w:w="0" w:type="dxa"/>
            <w:right w:w="0" w:type="dxa"/>
          </w:tblCellMar>
        </w:tblPrEx>
        <w:trPr>
          <w:trHeight w:val="1844"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单位名称</w:t>
            </w:r>
          </w:p>
        </w:tc>
        <w:tc>
          <w:tcPr>
            <w:tcW w:w="8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项目名称</w:t>
            </w:r>
          </w:p>
        </w:tc>
        <w:tc>
          <w:tcPr>
            <w:tcW w:w="8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年度资金</w:t>
            </w:r>
            <w:r>
              <w:rPr>
                <w:rFonts w:hint="default" w:ascii="Times New Roman" w:hAnsi="Times New Roman" w:eastAsia="华文细黑" w:cs="Times New Roman"/>
                <w:i w:val="0"/>
                <w:color w:val="000000"/>
                <w:kern w:val="0"/>
                <w:sz w:val="20"/>
                <w:szCs w:val="20"/>
                <w:u w:val="none"/>
                <w:lang w:val="en-US" w:eastAsia="zh-CN" w:bidi="ar"/>
              </w:rPr>
              <w:br w:type="textWrapping"/>
            </w:r>
            <w:r>
              <w:rPr>
                <w:rFonts w:hint="default" w:ascii="Times New Roman" w:hAnsi="Times New Roman" w:eastAsia="华文细黑" w:cs="Times New Roman"/>
                <w:i w:val="0"/>
                <w:color w:val="000000"/>
                <w:kern w:val="0"/>
                <w:sz w:val="20"/>
                <w:szCs w:val="20"/>
                <w:u w:val="none"/>
                <w:lang w:val="en-US" w:eastAsia="zh-CN" w:bidi="ar"/>
              </w:rPr>
              <w:t>总额</w:t>
            </w:r>
            <w:r>
              <w:rPr>
                <w:rFonts w:hint="default" w:ascii="Times New Roman" w:hAnsi="Times New Roman" w:eastAsia="华文细黑" w:cs="Times New Roman"/>
                <w:i w:val="0"/>
                <w:color w:val="000000"/>
                <w:kern w:val="0"/>
                <w:sz w:val="20"/>
                <w:szCs w:val="20"/>
                <w:u w:val="none"/>
                <w:lang w:val="en-US" w:eastAsia="zh-CN" w:bidi="ar"/>
              </w:rPr>
              <w:br w:type="textWrapping"/>
            </w:r>
            <w:r>
              <w:rPr>
                <w:rFonts w:hint="default" w:ascii="Times New Roman" w:hAnsi="Times New Roman" w:eastAsia="华文细黑" w:cs="Times New Roman"/>
                <w:i w:val="0"/>
                <w:color w:val="000000"/>
                <w:kern w:val="0"/>
                <w:sz w:val="20"/>
                <w:szCs w:val="20"/>
                <w:u w:val="none"/>
                <w:lang w:val="en-US" w:eastAsia="zh-CN" w:bidi="ar"/>
              </w:rPr>
              <w:t>(万元)</w:t>
            </w:r>
          </w:p>
        </w:tc>
        <w:tc>
          <w:tcPr>
            <w:tcW w:w="16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年度绩效目标</w:t>
            </w:r>
          </w:p>
        </w:tc>
        <w:tc>
          <w:tcPr>
            <w:tcW w:w="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一级指标</w:t>
            </w:r>
          </w:p>
        </w:tc>
        <w:tc>
          <w:tcPr>
            <w:tcW w:w="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二级指标</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三级指标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指标解释</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指标值</w:t>
            </w:r>
          </w:p>
        </w:tc>
        <w:tc>
          <w:tcPr>
            <w:tcW w:w="8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权重</w:t>
            </w:r>
          </w:p>
        </w:tc>
      </w:tr>
      <w:tr>
        <w:tblPrEx>
          <w:shd w:val="clear" w:color="auto" w:fill="auto"/>
          <w:tblCellMar>
            <w:top w:w="0" w:type="dxa"/>
            <w:left w:w="0" w:type="dxa"/>
            <w:bottom w:w="0" w:type="dxa"/>
            <w:right w:w="0" w:type="dxa"/>
          </w:tblCellMar>
        </w:tblPrEx>
        <w:trPr>
          <w:trHeight w:val="1859"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集安市统计局</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大型普查综合业务费</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86.70</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目标1：完成1%人口抽样调查收尾工作，查清我国人口在数量、素质、结构、分布以及居住等方面的变化情况。</w:t>
            </w:r>
            <w:r>
              <w:rPr>
                <w:rFonts w:hint="default" w:ascii="Times New Roman" w:hAnsi="Times New Roman" w:eastAsia="华文细黑" w:cs="Times New Roman"/>
                <w:i w:val="0"/>
                <w:color w:val="000000"/>
                <w:kern w:val="0"/>
                <w:sz w:val="20"/>
                <w:szCs w:val="20"/>
                <w:u w:val="none"/>
                <w:lang w:val="en-US" w:eastAsia="zh-CN" w:bidi="ar"/>
              </w:rPr>
              <w:br w:type="textWrapping"/>
            </w:r>
            <w:r>
              <w:rPr>
                <w:rFonts w:hint="default" w:ascii="Times New Roman" w:hAnsi="Times New Roman" w:eastAsia="华文细黑" w:cs="Times New Roman"/>
                <w:i w:val="0"/>
                <w:color w:val="000000"/>
                <w:kern w:val="0"/>
                <w:sz w:val="20"/>
                <w:szCs w:val="20"/>
                <w:u w:val="none"/>
                <w:lang w:val="en-US" w:eastAsia="zh-CN" w:bidi="ar"/>
              </w:rPr>
              <w:t>目标2：完成第四次全国农业普查工作，查清我国农业、农村、农民基本情况，深入揭示农村土地流转、新型农业经营主体、农业规模化和产业化等新特点。</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产出指标</w:t>
            </w:r>
          </w:p>
        </w:tc>
        <w:tc>
          <w:tcPr>
            <w:tcW w:w="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数量指标</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培训次数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反映第四次农业普查业务培训情况。</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≥2次</w:t>
            </w:r>
          </w:p>
        </w:tc>
        <w:tc>
          <w:tcPr>
            <w:tcW w:w="8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2054"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时效指标</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劳务费发放及时性</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反映1%人口抽样调查劳务费发放及时性情况</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3月底</w:t>
            </w:r>
          </w:p>
        </w:tc>
        <w:tc>
          <w:tcPr>
            <w:tcW w:w="8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996"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效益指标</w:t>
            </w:r>
          </w:p>
        </w:tc>
        <w:tc>
          <w:tcPr>
            <w:tcW w:w="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社会效益指标</w:t>
            </w:r>
          </w:p>
        </w:tc>
        <w:tc>
          <w:tcPr>
            <w:tcW w:w="13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普查员、普查指导员补贴发放覆盖率</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反映1%人口抽样调查普补贴发放覆盖率情况。</w:t>
            </w:r>
          </w:p>
        </w:tc>
        <w:tc>
          <w:tcPr>
            <w:tcW w:w="13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40</w:t>
            </w:r>
          </w:p>
        </w:tc>
      </w:tr>
    </w:tbl>
    <w:p>
      <w:pPr>
        <w:jc w:val="center"/>
        <w:rPr>
          <w:rFonts w:hAnsi="楷体" w:eastAsia="楷体"/>
        </w:rPr>
      </w:pPr>
      <w:r>
        <w:rPr>
          <w:rFonts w:hint="eastAsia" w:ascii="华文细黑" w:hAnsi="华文细黑" w:eastAsia="华文细黑" w:cs="华文细黑"/>
          <w:i w:val="0"/>
          <w:color w:val="000000"/>
          <w:kern w:val="0"/>
          <w:sz w:val="20"/>
          <w:szCs w:val="20"/>
          <w:u w:val="none"/>
          <w:lang w:val="en-US" w:eastAsia="zh-CN" w:bidi="ar"/>
        </w:rPr>
        <w:br w:type="page"/>
      </w:r>
    </w:p>
    <w:tbl>
      <w:tblPr>
        <w:tblStyle w:val="9"/>
        <w:tblW w:w="10631" w:type="dxa"/>
        <w:tblInd w:w="-1091" w:type="dxa"/>
        <w:shd w:val="clear" w:color="auto" w:fill="auto"/>
        <w:tblLayout w:type="fixed"/>
        <w:tblCellMar>
          <w:top w:w="0" w:type="dxa"/>
          <w:left w:w="0" w:type="dxa"/>
          <w:bottom w:w="0" w:type="dxa"/>
          <w:right w:w="0" w:type="dxa"/>
        </w:tblCellMar>
      </w:tblPr>
      <w:tblGrid>
        <w:gridCol w:w="626"/>
        <w:gridCol w:w="809"/>
        <w:gridCol w:w="1044"/>
        <w:gridCol w:w="1408"/>
        <w:gridCol w:w="2182"/>
        <w:gridCol w:w="861"/>
        <w:gridCol w:w="861"/>
        <w:gridCol w:w="953"/>
        <w:gridCol w:w="953"/>
        <w:gridCol w:w="934"/>
      </w:tblGrid>
      <w:tr>
        <w:tblPrEx>
          <w:shd w:val="clear" w:color="auto" w:fill="auto"/>
          <w:tblCellMar>
            <w:top w:w="0" w:type="dxa"/>
            <w:left w:w="0" w:type="dxa"/>
            <w:bottom w:w="0" w:type="dxa"/>
            <w:right w:w="0" w:type="dxa"/>
          </w:tblCellMar>
        </w:tblPrEx>
        <w:trPr>
          <w:trHeight w:val="659" w:hRule="atLeast"/>
        </w:trPr>
        <w:tc>
          <w:tcPr>
            <w:tcW w:w="10631"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Calibri" w:hAnsi="Calibri" w:eastAsia="方正小标宋简体" w:cs="Times New Roman"/>
                <w:kern w:val="0"/>
                <w:sz w:val="44"/>
                <w:szCs w:val="44"/>
                <w:lang w:val="en-US" w:eastAsia="zh-CN"/>
              </w:rPr>
              <w:t>项目支出绩效目标表</w:t>
            </w:r>
          </w:p>
        </w:tc>
      </w:tr>
      <w:tr>
        <w:tblPrEx>
          <w:tblCellMar>
            <w:top w:w="0" w:type="dxa"/>
            <w:left w:w="0" w:type="dxa"/>
            <w:bottom w:w="0" w:type="dxa"/>
            <w:right w:w="0" w:type="dxa"/>
          </w:tblCellMar>
        </w:tblPrEx>
        <w:trPr>
          <w:trHeight w:val="804"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单位名称</w:t>
            </w:r>
          </w:p>
        </w:tc>
        <w:tc>
          <w:tcPr>
            <w:tcW w:w="8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项目名称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年度资金</w:t>
            </w:r>
            <w:r>
              <w:rPr>
                <w:rFonts w:hint="default" w:ascii="Times New Roman" w:hAnsi="Times New Roman" w:eastAsia="华文细黑" w:cs="Times New Roman"/>
                <w:i w:val="0"/>
                <w:color w:val="000000"/>
                <w:kern w:val="0"/>
                <w:sz w:val="20"/>
                <w:szCs w:val="20"/>
                <w:u w:val="none"/>
                <w:lang w:val="en-US" w:eastAsia="zh-CN" w:bidi="ar"/>
              </w:rPr>
              <w:br w:type="textWrapping"/>
            </w:r>
            <w:r>
              <w:rPr>
                <w:rFonts w:hint="default" w:ascii="Times New Roman" w:hAnsi="Times New Roman" w:eastAsia="华文细黑" w:cs="Times New Roman"/>
                <w:i w:val="0"/>
                <w:color w:val="000000"/>
                <w:kern w:val="0"/>
                <w:sz w:val="20"/>
                <w:szCs w:val="20"/>
                <w:u w:val="none"/>
                <w:lang w:val="en-US" w:eastAsia="zh-CN" w:bidi="ar"/>
              </w:rPr>
              <w:t>总额</w:t>
            </w:r>
            <w:r>
              <w:rPr>
                <w:rFonts w:hint="default" w:ascii="Times New Roman" w:hAnsi="Times New Roman" w:eastAsia="华文细黑" w:cs="Times New Roman"/>
                <w:i w:val="0"/>
                <w:color w:val="000000"/>
                <w:kern w:val="0"/>
                <w:sz w:val="20"/>
                <w:szCs w:val="20"/>
                <w:u w:val="none"/>
                <w:lang w:val="en-US" w:eastAsia="zh-CN" w:bidi="ar"/>
              </w:rPr>
              <w:br w:type="textWrapping"/>
            </w:r>
            <w:r>
              <w:rPr>
                <w:rFonts w:hint="default" w:ascii="Times New Roman" w:hAnsi="Times New Roman" w:eastAsia="华文细黑" w:cs="Times New Roman"/>
                <w:i w:val="0"/>
                <w:color w:val="000000"/>
                <w:kern w:val="0"/>
                <w:sz w:val="20"/>
                <w:szCs w:val="20"/>
                <w:u w:val="none"/>
                <w:lang w:val="en-US" w:eastAsia="zh-CN" w:bidi="ar"/>
              </w:rPr>
              <w:t>(万元)</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年度绩效目标</w:t>
            </w:r>
          </w:p>
        </w:tc>
        <w:tc>
          <w:tcPr>
            <w:tcW w:w="2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一级指标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二级指标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三级指标</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指标解释</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指标值</w:t>
            </w:r>
          </w:p>
        </w:tc>
        <w:tc>
          <w:tcPr>
            <w:tcW w:w="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权重</w:t>
            </w:r>
          </w:p>
        </w:tc>
      </w:tr>
      <w:tr>
        <w:tblPrEx>
          <w:shd w:val="clear" w:color="auto" w:fill="auto"/>
          <w:tblCellMar>
            <w:top w:w="0" w:type="dxa"/>
            <w:left w:w="0" w:type="dxa"/>
            <w:bottom w:w="0" w:type="dxa"/>
            <w:right w:w="0" w:type="dxa"/>
          </w:tblCellMar>
        </w:tblPrEx>
        <w:trPr>
          <w:trHeight w:val="804"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集安市统计局</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统计调查综合补助</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78.52</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及时完成全市年统计抽样调查工作任务，对所有统计报表资料进行汇总、搜集、整理，确保了统计资料的完整性，大力宣传全市统计抽样调查工作，对地方点城乡居民住户调查工作进行监督指导，推广电子记账工作，保障记账质量。</w:t>
            </w:r>
          </w:p>
        </w:tc>
        <w:tc>
          <w:tcPr>
            <w:tcW w:w="2182"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产出指标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数量指标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城乡住户调查补助发放人数</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反映发放城乡住户调查补助的人数情况。</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≥160人</w:t>
            </w:r>
          </w:p>
        </w:tc>
        <w:tc>
          <w:tcPr>
            <w:tcW w:w="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80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华文细黑" w:cs="Times New Roman"/>
                <w:i w:val="0"/>
                <w:color w:val="000000"/>
                <w:kern w:val="0"/>
                <w:sz w:val="20"/>
                <w:szCs w:val="20"/>
                <w:u w:val="none"/>
                <w:lang w:val="en-US" w:eastAsia="zh-CN" w:bidi="ar"/>
              </w:rPr>
            </w:pPr>
          </w:p>
        </w:tc>
        <w:tc>
          <w:tcPr>
            <w:tcW w:w="2182"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数量指标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编制季报数</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反映城乡居民现金收入季报数量的情况。</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≥3次</w:t>
            </w:r>
          </w:p>
        </w:tc>
        <w:tc>
          <w:tcPr>
            <w:tcW w:w="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804"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华文细黑" w:cs="Times New Roman"/>
                <w:i w:val="0"/>
                <w:color w:val="000000"/>
                <w:kern w:val="0"/>
                <w:sz w:val="20"/>
                <w:szCs w:val="20"/>
                <w:u w:val="none"/>
                <w:lang w:val="en-US" w:eastAsia="zh-CN" w:bidi="ar"/>
              </w:rPr>
            </w:pPr>
          </w:p>
        </w:tc>
        <w:tc>
          <w:tcPr>
            <w:tcW w:w="2182"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时效指标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发放补助费时间</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反映发放记账户、辅助调查员补助费时间</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12月底</w:t>
            </w:r>
          </w:p>
        </w:tc>
        <w:tc>
          <w:tcPr>
            <w:tcW w:w="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1783"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华文细黑" w:cs="Times New Roman"/>
                <w:i w:val="0"/>
                <w:color w:val="000000"/>
                <w:kern w:val="0"/>
                <w:sz w:val="20"/>
                <w:szCs w:val="20"/>
                <w:u w:val="none"/>
                <w:lang w:val="en-US" w:eastAsia="zh-CN" w:bidi="ar"/>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Times New Roman" w:hAnsi="Times New Roman" w:eastAsia="华文细黑" w:cs="Times New Roman"/>
                <w:i w:val="0"/>
                <w:color w:val="000000"/>
                <w:kern w:val="0"/>
                <w:sz w:val="20"/>
                <w:szCs w:val="20"/>
                <w:u w:val="none"/>
                <w:lang w:val="en-US" w:eastAsia="zh-CN" w:bidi="ar"/>
              </w:rPr>
            </w:pPr>
          </w:p>
        </w:tc>
        <w:tc>
          <w:tcPr>
            <w:tcW w:w="2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效益指标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社会效益指标</w:t>
            </w:r>
          </w:p>
        </w:tc>
        <w:tc>
          <w:tcPr>
            <w:tcW w:w="8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城乡住户调查补助发放覆盖率</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反映城乡住户调查补助发放覆盖的情况</w:t>
            </w:r>
          </w:p>
        </w:tc>
        <w:tc>
          <w:tcPr>
            <w:tcW w:w="9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eastAsia" w:eastAsia="华文细黑" w:cs="Times New Roman"/>
                <w:i w:val="0"/>
                <w:color w:val="000000"/>
                <w:kern w:val="0"/>
                <w:sz w:val="20"/>
                <w:szCs w:val="20"/>
                <w:u w:val="none"/>
                <w:lang w:val="en-US" w:eastAsia="zh-CN" w:bidi="ar"/>
              </w:rPr>
              <w:t>=</w:t>
            </w:r>
            <w:r>
              <w:rPr>
                <w:rFonts w:hint="default" w:ascii="Times New Roman" w:hAnsi="Times New Roman" w:eastAsia="华文细黑" w:cs="Times New Roman"/>
                <w:i w:val="0"/>
                <w:color w:val="000000"/>
                <w:kern w:val="0"/>
                <w:sz w:val="20"/>
                <w:szCs w:val="20"/>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华文细黑" w:cs="Times New Roman"/>
                <w:i w:val="0"/>
                <w:color w:val="000000"/>
                <w:kern w:val="0"/>
                <w:sz w:val="20"/>
                <w:szCs w:val="20"/>
                <w:u w:val="none"/>
                <w:lang w:val="en-US" w:eastAsia="zh-CN" w:bidi="ar"/>
              </w:rPr>
            </w:pPr>
            <w:r>
              <w:rPr>
                <w:rFonts w:hint="default" w:ascii="Times New Roman" w:hAnsi="Times New Roman" w:eastAsia="华文细黑" w:cs="Times New Roman"/>
                <w:i w:val="0"/>
                <w:color w:val="000000"/>
                <w:kern w:val="0"/>
                <w:sz w:val="20"/>
                <w:szCs w:val="20"/>
                <w:u w:val="none"/>
                <w:lang w:val="en-US" w:eastAsia="zh-CN" w:bidi="ar"/>
              </w:rPr>
              <w:t>40</w:t>
            </w:r>
          </w:p>
        </w:tc>
      </w:tr>
    </w:tbl>
    <w:p>
      <w:pPr>
        <w:rPr>
          <w:rFonts w:hAnsi="楷体" w:eastAsia="楷体"/>
        </w:rPr>
      </w:pPr>
      <w:r>
        <w:rPr>
          <w:rFonts w:hAnsi="楷体" w:eastAsia="楷体"/>
        </w:rPr>
        <w:br w:type="page"/>
      </w:r>
    </w:p>
    <w:tbl>
      <w:tblPr>
        <w:tblStyle w:val="9"/>
        <w:tblW w:w="10644" w:type="dxa"/>
        <w:tblInd w:w="-1117" w:type="dxa"/>
        <w:shd w:val="clear" w:color="auto" w:fill="auto"/>
        <w:tblLayout w:type="fixed"/>
        <w:tblCellMar>
          <w:top w:w="0" w:type="dxa"/>
          <w:left w:w="0" w:type="dxa"/>
          <w:bottom w:w="0" w:type="dxa"/>
          <w:right w:w="0" w:type="dxa"/>
        </w:tblCellMar>
      </w:tblPr>
      <w:tblGrid>
        <w:gridCol w:w="587"/>
        <w:gridCol w:w="848"/>
        <w:gridCol w:w="835"/>
        <w:gridCol w:w="1539"/>
        <w:gridCol w:w="1030"/>
        <w:gridCol w:w="1148"/>
        <w:gridCol w:w="1044"/>
        <w:gridCol w:w="1368"/>
        <w:gridCol w:w="1358"/>
        <w:gridCol w:w="887"/>
      </w:tblGrid>
      <w:tr>
        <w:tblPrEx>
          <w:shd w:val="clear" w:color="auto" w:fill="auto"/>
          <w:tblCellMar>
            <w:top w:w="0" w:type="dxa"/>
            <w:left w:w="0" w:type="dxa"/>
            <w:bottom w:w="0" w:type="dxa"/>
            <w:right w:w="0" w:type="dxa"/>
          </w:tblCellMar>
        </w:tblPrEx>
        <w:trPr>
          <w:trHeight w:val="637" w:hRule="atLeast"/>
        </w:trPr>
        <w:tc>
          <w:tcPr>
            <w:tcW w:w="1064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Calibri" w:hAnsi="Calibri" w:eastAsia="方正小标宋简体" w:cs="Times New Roman"/>
                <w:kern w:val="0"/>
                <w:sz w:val="44"/>
                <w:szCs w:val="44"/>
                <w:lang w:val="en-US" w:eastAsia="zh-CN"/>
              </w:rPr>
              <w:t>项目支出绩效目标表</w:t>
            </w:r>
          </w:p>
        </w:tc>
      </w:tr>
      <w:tr>
        <w:tblPrEx>
          <w:shd w:val="clear" w:color="auto" w:fill="auto"/>
          <w:tblCellMar>
            <w:top w:w="0" w:type="dxa"/>
            <w:left w:w="0" w:type="dxa"/>
            <w:bottom w:w="0" w:type="dxa"/>
            <w:right w:w="0" w:type="dxa"/>
          </w:tblCellMar>
        </w:tblPrEx>
        <w:trPr>
          <w:trHeight w:val="77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细黑" w:hAnsi="华文细黑" w:eastAsia="华文细黑" w:cs="华文细黑"/>
                <w:i w:val="0"/>
                <w:color w:val="000000"/>
                <w:kern w:val="0"/>
                <w:sz w:val="20"/>
                <w:szCs w:val="20"/>
                <w:u w:val="none"/>
                <w:lang w:val="en-US" w:eastAsia="zh-CN" w:bidi="ar"/>
              </w:rPr>
            </w:pPr>
            <w:r>
              <w:rPr>
                <w:rFonts w:hint="eastAsia" w:ascii="华文细黑" w:hAnsi="华文细黑" w:eastAsia="华文细黑" w:cs="华文细黑"/>
                <w:i w:val="0"/>
                <w:color w:val="000000"/>
                <w:kern w:val="0"/>
                <w:sz w:val="20"/>
                <w:szCs w:val="20"/>
                <w:u w:val="none"/>
                <w:lang w:val="en-US" w:eastAsia="zh-CN" w:bidi="ar"/>
              </w:rPr>
              <w:t>单位名称</w:t>
            </w:r>
          </w:p>
        </w:tc>
        <w:tc>
          <w:tcPr>
            <w:tcW w:w="8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项目名称</w:t>
            </w:r>
          </w:p>
        </w:tc>
        <w:tc>
          <w:tcPr>
            <w:tcW w:w="8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年度资金</w:t>
            </w:r>
            <w:r>
              <w:rPr>
                <w:rFonts w:hint="default" w:ascii="华文细黑" w:hAnsi="华文细黑" w:eastAsia="华文细黑" w:cs="华文细黑"/>
                <w:i w:val="0"/>
                <w:color w:val="000000"/>
                <w:kern w:val="0"/>
                <w:sz w:val="20"/>
                <w:szCs w:val="20"/>
                <w:u w:val="none"/>
                <w:lang w:val="en-US" w:eastAsia="zh-CN" w:bidi="ar"/>
              </w:rPr>
              <w:br w:type="textWrapping"/>
            </w:r>
            <w:r>
              <w:rPr>
                <w:rFonts w:hint="default" w:ascii="华文细黑" w:hAnsi="华文细黑" w:eastAsia="华文细黑" w:cs="华文细黑"/>
                <w:i w:val="0"/>
                <w:color w:val="000000"/>
                <w:kern w:val="0"/>
                <w:sz w:val="20"/>
                <w:szCs w:val="20"/>
                <w:u w:val="none"/>
                <w:lang w:val="en-US" w:eastAsia="zh-CN" w:bidi="ar"/>
              </w:rPr>
              <w:t>总额</w:t>
            </w:r>
            <w:r>
              <w:rPr>
                <w:rFonts w:hint="default" w:ascii="华文细黑" w:hAnsi="华文细黑" w:eastAsia="华文细黑" w:cs="华文细黑"/>
                <w:i w:val="0"/>
                <w:color w:val="000000"/>
                <w:kern w:val="0"/>
                <w:sz w:val="20"/>
                <w:szCs w:val="20"/>
                <w:u w:val="none"/>
                <w:lang w:val="en-US" w:eastAsia="zh-CN" w:bidi="ar"/>
              </w:rPr>
              <w:br w:type="textWrapping"/>
            </w:r>
            <w:r>
              <w:rPr>
                <w:rFonts w:hint="default" w:ascii="华文细黑" w:hAnsi="华文细黑" w:eastAsia="华文细黑" w:cs="华文细黑"/>
                <w:i w:val="0"/>
                <w:color w:val="000000"/>
                <w:kern w:val="0"/>
                <w:sz w:val="20"/>
                <w:szCs w:val="20"/>
                <w:u w:val="none"/>
                <w:lang w:val="en-US" w:eastAsia="zh-CN" w:bidi="ar"/>
              </w:rPr>
              <w:t>(万元)</w:t>
            </w:r>
          </w:p>
        </w:tc>
        <w:tc>
          <w:tcPr>
            <w:tcW w:w="15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年度绩效目标</w:t>
            </w: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一级指标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二级指标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三级指标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指标解释</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指标值</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权重</w:t>
            </w:r>
          </w:p>
        </w:tc>
      </w:tr>
      <w:tr>
        <w:tblPrEx>
          <w:shd w:val="clear" w:color="auto" w:fill="auto"/>
          <w:tblCellMar>
            <w:top w:w="0" w:type="dxa"/>
            <w:left w:w="0" w:type="dxa"/>
            <w:bottom w:w="0" w:type="dxa"/>
            <w:right w:w="0" w:type="dxa"/>
          </w:tblCellMar>
        </w:tblPrEx>
        <w:trPr>
          <w:trHeight w:val="52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华文细黑" w:hAnsi="华文细黑" w:eastAsia="华文细黑" w:cs="华文细黑"/>
                <w:i w:val="0"/>
                <w:color w:val="000000"/>
                <w:kern w:val="0"/>
                <w:sz w:val="20"/>
                <w:szCs w:val="20"/>
                <w:u w:val="none"/>
                <w:lang w:val="en-US" w:eastAsia="zh-CN" w:bidi="ar"/>
              </w:rPr>
            </w:pPr>
            <w:r>
              <w:rPr>
                <w:rFonts w:hint="eastAsia" w:ascii="华文细黑" w:hAnsi="华文细黑" w:eastAsia="华文细黑" w:cs="华文细黑"/>
                <w:i w:val="0"/>
                <w:color w:val="000000"/>
                <w:kern w:val="0"/>
                <w:sz w:val="20"/>
                <w:szCs w:val="20"/>
                <w:u w:val="none"/>
                <w:lang w:val="en-US" w:eastAsia="zh-CN" w:bidi="ar"/>
              </w:rPr>
              <w:t>集安市统计局</w:t>
            </w:r>
          </w:p>
        </w:tc>
        <w:tc>
          <w:tcPr>
            <w:tcW w:w="848"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综合统计业务费</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12.57</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2026年，按照上级统计部门工作要求，统一组织协调统计调查工作，高质量完成2026年度各专业月报、季报及年报工作，开展统计法宣传，提高统计人员及调查员的业务能力，确保统计数据的真实性、准确性及完整性，及时编写统计经济信息及分析报。</w:t>
            </w:r>
          </w:p>
        </w:tc>
        <w:tc>
          <w:tcPr>
            <w:tcW w:w="103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产出指标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数量指标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统计分析报告篇数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反应统计分析报告篇数情况</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≥3篇</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777"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华文细黑" w:hAnsi="华文细黑" w:eastAsia="华文细黑" w:cs="华文细黑"/>
                <w:i w:val="0"/>
                <w:color w:val="000000"/>
                <w:kern w:val="0"/>
                <w:sz w:val="20"/>
                <w:szCs w:val="20"/>
                <w:u w:val="none"/>
                <w:lang w:val="en-US" w:eastAsia="zh-CN" w:bidi="ar"/>
              </w:rPr>
            </w:pPr>
          </w:p>
        </w:tc>
        <w:tc>
          <w:tcPr>
            <w:tcW w:w="84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kern w:val="0"/>
                <w:sz w:val="20"/>
                <w:szCs w:val="20"/>
                <w:u w:val="none"/>
                <w:lang w:val="en-US" w:eastAsia="zh-CN" w:bidi="ar"/>
              </w:rPr>
            </w:pPr>
          </w:p>
        </w:tc>
        <w:tc>
          <w:tcPr>
            <w:tcW w:w="103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时效指标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统计公报撰写完成时间</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撰写2025年度统计公报完成时间</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8月底</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683"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华文细黑" w:hAnsi="华文细黑" w:eastAsia="华文细黑" w:cs="华文细黑"/>
                <w:i w:val="0"/>
                <w:color w:val="000000"/>
                <w:kern w:val="0"/>
                <w:sz w:val="20"/>
                <w:szCs w:val="20"/>
                <w:u w:val="none"/>
                <w:lang w:val="en-US" w:eastAsia="zh-CN" w:bidi="ar"/>
              </w:rPr>
            </w:pPr>
          </w:p>
        </w:tc>
        <w:tc>
          <w:tcPr>
            <w:tcW w:w="84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kern w:val="0"/>
                <w:sz w:val="20"/>
                <w:szCs w:val="20"/>
                <w:u w:val="none"/>
                <w:lang w:val="en-US" w:eastAsia="zh-CN" w:bidi="ar"/>
              </w:rPr>
            </w:pPr>
          </w:p>
        </w:tc>
        <w:tc>
          <w:tcPr>
            <w:tcW w:w="103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质量指标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培训合格率</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反映培训人员考核合格情况。</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≥90%</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52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华文细黑" w:hAnsi="华文细黑" w:eastAsia="华文细黑" w:cs="华文细黑"/>
                <w:i w:val="0"/>
                <w:color w:val="000000"/>
                <w:kern w:val="0"/>
                <w:sz w:val="20"/>
                <w:szCs w:val="20"/>
                <w:u w:val="none"/>
                <w:lang w:val="en-US" w:eastAsia="zh-CN" w:bidi="ar"/>
              </w:rPr>
            </w:pPr>
          </w:p>
        </w:tc>
        <w:tc>
          <w:tcPr>
            <w:tcW w:w="84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成本指标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经济成本指标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培训人均成本</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反映培训成本控制情况</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≤400元/人/天</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777"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华文细黑" w:hAnsi="华文细黑" w:eastAsia="华文细黑" w:cs="华文细黑"/>
                <w:i w:val="0"/>
                <w:color w:val="000000"/>
                <w:kern w:val="0"/>
                <w:sz w:val="20"/>
                <w:szCs w:val="20"/>
                <w:u w:val="none"/>
                <w:lang w:val="en-US" w:eastAsia="zh-CN" w:bidi="ar"/>
              </w:rPr>
            </w:pPr>
          </w:p>
        </w:tc>
        <w:tc>
          <w:tcPr>
            <w:tcW w:w="84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效益指标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社会效益指标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向社会公众提供统计公报</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向社会公众提供统计公报篇数</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≥1篇</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20</w:t>
            </w:r>
          </w:p>
        </w:tc>
      </w:tr>
      <w:tr>
        <w:tblPrEx>
          <w:shd w:val="clear" w:color="auto" w:fill="auto"/>
          <w:tblCellMar>
            <w:top w:w="0" w:type="dxa"/>
            <w:left w:w="0" w:type="dxa"/>
            <w:bottom w:w="0" w:type="dxa"/>
            <w:right w:w="0" w:type="dxa"/>
          </w:tblCellMar>
        </w:tblPrEx>
        <w:trPr>
          <w:trHeight w:val="1269"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华文细黑" w:hAnsi="华文细黑" w:eastAsia="华文细黑" w:cs="华文细黑"/>
                <w:i w:val="0"/>
                <w:color w:val="000000"/>
                <w:kern w:val="0"/>
                <w:sz w:val="20"/>
                <w:szCs w:val="20"/>
                <w:u w:val="none"/>
                <w:lang w:val="en-US" w:eastAsia="zh-CN" w:bidi="ar"/>
              </w:rPr>
            </w:pPr>
          </w:p>
        </w:tc>
        <w:tc>
          <w:tcPr>
            <w:tcW w:w="848" w:type="dxa"/>
            <w:vMerge w:val="continue"/>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华文细黑" w:hAnsi="华文细黑" w:eastAsia="华文细黑" w:cs="华文细黑"/>
                <w:i w:val="0"/>
                <w:color w:val="000000"/>
                <w:kern w:val="0"/>
                <w:sz w:val="20"/>
                <w:szCs w:val="20"/>
                <w:u w:val="none"/>
                <w:lang w:val="en-US" w:eastAsia="zh-CN" w:bidi="ar"/>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华文细黑" w:hAnsi="华文细黑" w:eastAsia="华文细黑" w:cs="华文细黑"/>
                <w:i w:val="0"/>
                <w:color w:val="000000"/>
                <w:kern w:val="0"/>
                <w:sz w:val="20"/>
                <w:szCs w:val="20"/>
                <w:u w:val="none"/>
                <w:lang w:val="en-US" w:eastAsia="zh-CN" w:bidi="ar"/>
              </w:rPr>
            </w:pPr>
          </w:p>
        </w:tc>
        <w:tc>
          <w:tcPr>
            <w:tcW w:w="10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满意度指标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服务对象满意度指标</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培训人员满意度</w:t>
            </w:r>
          </w:p>
        </w:tc>
        <w:tc>
          <w:tcPr>
            <w:tcW w:w="13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反映参加培训人员的满意度情况。</w:t>
            </w:r>
          </w:p>
        </w:tc>
        <w:tc>
          <w:tcPr>
            <w:tcW w:w="13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≥90%</w:t>
            </w:r>
          </w:p>
        </w:tc>
        <w:tc>
          <w:tcPr>
            <w:tcW w:w="8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华文细黑" w:hAnsi="华文细黑" w:eastAsia="华文细黑" w:cs="华文细黑"/>
                <w:i w:val="0"/>
                <w:color w:val="000000"/>
                <w:kern w:val="0"/>
                <w:sz w:val="20"/>
                <w:szCs w:val="20"/>
                <w:u w:val="none"/>
                <w:lang w:val="en-US" w:eastAsia="zh-CN" w:bidi="ar"/>
              </w:rPr>
            </w:pPr>
            <w:r>
              <w:rPr>
                <w:rFonts w:hint="default" w:ascii="华文细黑" w:hAnsi="华文细黑" w:eastAsia="华文细黑" w:cs="华文细黑"/>
                <w:i w:val="0"/>
                <w:color w:val="000000"/>
                <w:kern w:val="0"/>
                <w:sz w:val="20"/>
                <w:szCs w:val="20"/>
                <w:u w:val="none"/>
                <w:lang w:val="en-US" w:eastAsia="zh-CN" w:bidi="ar"/>
              </w:rPr>
              <w:t>10</w:t>
            </w:r>
          </w:p>
        </w:tc>
      </w:tr>
    </w:tbl>
    <w:p>
      <w:pPr>
        <w:ind w:firstLine="640" w:firstLineChars="200"/>
        <w:rPr>
          <w:rFonts w:hAnsi="楷体" w:eastAsia="楷体"/>
        </w:rPr>
      </w:pPr>
    </w:p>
    <w:p>
      <w:pPr>
        <w:ind w:firstLine="640" w:firstLineChars="200"/>
        <w:rPr>
          <w:rFonts w:hAnsi="楷体" w:eastAsia="楷体"/>
        </w:rPr>
      </w:pPr>
    </w:p>
    <w:p>
      <w:pPr>
        <w:spacing w:line="700" w:lineRule="exact"/>
        <w:rPr>
          <w:rFonts w:hint="eastAsia" w:ascii="楷体" w:hAnsi="楷体" w:eastAsia="楷体" w:cs="楷体"/>
          <w:kern w:val="0"/>
          <w:szCs w:val="32"/>
        </w:rPr>
      </w:pPr>
    </w:p>
    <w:p>
      <w:pPr>
        <w:spacing w:line="700" w:lineRule="exact"/>
        <w:ind w:firstLine="640" w:firstLineChars="200"/>
        <w:rPr>
          <w:rFonts w:hint="eastAsia" w:eastAsia="楷体"/>
          <w:kern w:val="0"/>
          <w:szCs w:val="32"/>
        </w:rPr>
      </w:pPr>
      <w:r>
        <w:rPr>
          <w:rFonts w:hint="eastAsia" w:eastAsia="楷体"/>
          <w:kern w:val="0"/>
          <w:szCs w:val="32"/>
        </w:rPr>
        <w:br w:type="page"/>
      </w:r>
    </w:p>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w:t>
      </w:r>
      <w:r>
        <w:rPr>
          <w:rFonts w:hint="eastAsia"/>
          <w:szCs w:val="32"/>
          <w:lang w:eastAsia="zh-CN"/>
        </w:rPr>
        <w:t>、</w:t>
      </w:r>
      <w:r>
        <w:rPr>
          <w:szCs w:val="32"/>
        </w:rPr>
        <w:t>其他收入、上年结转</w:t>
      </w:r>
      <w:r>
        <w:rPr>
          <w:rFonts w:hint="eastAsia"/>
          <w:szCs w:val="32"/>
        </w:rPr>
        <w:t>结余</w:t>
      </w:r>
      <w:r>
        <w:rPr>
          <w:szCs w:val="32"/>
        </w:rPr>
        <w:t>等；支出包括：一般公共服务支出、社会保障和就业支出、</w:t>
      </w:r>
      <w:r>
        <w:rPr>
          <w:rFonts w:hint="eastAsia"/>
          <w:szCs w:val="32"/>
        </w:rPr>
        <w:t>卫生健康支出</w:t>
      </w:r>
      <w:r>
        <w:rPr>
          <w:rFonts w:hint="eastAsia"/>
          <w:szCs w:val="32"/>
          <w:lang w:eastAsia="zh-CN"/>
        </w:rPr>
        <w:t>、</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305.73</w:t>
      </w:r>
      <w:r>
        <w:rPr>
          <w:szCs w:val="32"/>
        </w:rPr>
        <w:t>万元</w:t>
      </w:r>
      <w:r>
        <w:rPr>
          <w:rFonts w:hint="eastAsia"/>
          <w:szCs w:val="32"/>
          <w:lang w:eastAsia="zh-CN"/>
        </w:rPr>
        <w:t>，其中：本年预算</w:t>
      </w:r>
      <w:r>
        <w:rPr>
          <w:rFonts w:hint="eastAsia"/>
          <w:szCs w:val="32"/>
          <w:lang w:val="en-US" w:eastAsia="zh-CN"/>
        </w:rPr>
        <w:t>272.03</w:t>
      </w:r>
      <w:r>
        <w:rPr>
          <w:rFonts w:hint="eastAsia"/>
          <w:szCs w:val="32"/>
          <w:lang w:eastAsia="zh-CN"/>
        </w:rPr>
        <w:t>万元；上年结转</w:t>
      </w:r>
      <w:r>
        <w:rPr>
          <w:rFonts w:hint="eastAsia"/>
          <w:szCs w:val="32"/>
          <w:lang w:val="en-US" w:eastAsia="zh-CN"/>
        </w:rPr>
        <w:t>33.70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93.98</w:t>
      </w:r>
      <w:r>
        <w:rPr>
          <w:szCs w:val="32"/>
        </w:rPr>
        <w:t>万元，主要原因是</w:t>
      </w:r>
      <w:r>
        <w:rPr>
          <w:rFonts w:hint="eastAsia"/>
          <w:szCs w:val="32"/>
          <w:lang w:val="en-US" w:eastAsia="zh-CN"/>
        </w:rPr>
        <w:t>其他收入列入全年预算，本年预算收入增加</w:t>
      </w:r>
      <w:r>
        <w:rPr>
          <w:szCs w:val="32"/>
        </w:rPr>
        <w:t>。</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305.73</w:t>
      </w:r>
      <w:r>
        <w:rPr>
          <w:szCs w:val="32"/>
        </w:rPr>
        <w:t>万元，其中：本年收入</w:t>
      </w:r>
      <w:r>
        <w:rPr>
          <w:rFonts w:hint="eastAsia"/>
          <w:szCs w:val="32"/>
          <w:lang w:val="en-US" w:eastAsia="zh-CN"/>
        </w:rPr>
        <w:t>272.03</w:t>
      </w:r>
      <w:r>
        <w:rPr>
          <w:szCs w:val="32"/>
        </w:rPr>
        <w:t>万元，占</w:t>
      </w:r>
      <w:r>
        <w:rPr>
          <w:rFonts w:hint="eastAsia"/>
          <w:szCs w:val="32"/>
          <w:lang w:val="en-US" w:eastAsia="zh-CN"/>
        </w:rPr>
        <w:t>89.0</w:t>
      </w:r>
      <w:r>
        <w:rPr>
          <w:szCs w:val="32"/>
        </w:rPr>
        <w:t>%；上年结转</w:t>
      </w:r>
      <w:r>
        <w:rPr>
          <w:rFonts w:hint="eastAsia"/>
          <w:szCs w:val="32"/>
          <w:lang w:eastAsia="zh-CN"/>
        </w:rPr>
        <w:t>结余</w:t>
      </w:r>
      <w:r>
        <w:rPr>
          <w:rFonts w:hint="eastAsia"/>
          <w:szCs w:val="32"/>
          <w:lang w:val="en-US" w:eastAsia="zh-CN"/>
        </w:rPr>
        <w:t>33.70</w:t>
      </w:r>
      <w:r>
        <w:rPr>
          <w:szCs w:val="32"/>
        </w:rPr>
        <w:t>万元，占</w:t>
      </w:r>
      <w:r>
        <w:rPr>
          <w:rFonts w:hint="eastAsia"/>
          <w:szCs w:val="32"/>
          <w:lang w:val="en-US" w:eastAsia="zh-CN"/>
        </w:rPr>
        <w:t>11.0</w:t>
      </w:r>
      <w:r>
        <w:rPr>
          <w:szCs w:val="32"/>
        </w:rPr>
        <w:t>%。本年收入中，一般公共预算拨款收入</w:t>
      </w:r>
      <w:r>
        <w:rPr>
          <w:rFonts w:hint="eastAsia"/>
          <w:szCs w:val="32"/>
          <w:lang w:val="en-US" w:eastAsia="zh-CN"/>
        </w:rPr>
        <w:t>179.53</w:t>
      </w:r>
      <w:r>
        <w:rPr>
          <w:szCs w:val="32"/>
        </w:rPr>
        <w:t>万元，占</w:t>
      </w:r>
      <w:r>
        <w:rPr>
          <w:rFonts w:hint="eastAsia"/>
          <w:szCs w:val="32"/>
          <w:lang w:val="en-US" w:eastAsia="zh-CN"/>
        </w:rPr>
        <w:t>66.0</w:t>
      </w:r>
      <w:r>
        <w:rPr>
          <w:szCs w:val="32"/>
        </w:rPr>
        <w:t>%；其他收入</w:t>
      </w:r>
      <w:r>
        <w:rPr>
          <w:rFonts w:hint="eastAsia"/>
          <w:szCs w:val="32"/>
          <w:lang w:val="en-US" w:eastAsia="zh-CN"/>
        </w:rPr>
        <w:t>92.50</w:t>
      </w:r>
      <w:r>
        <w:rPr>
          <w:szCs w:val="32"/>
        </w:rPr>
        <w:t>万元，占</w:t>
      </w:r>
      <w:r>
        <w:rPr>
          <w:rFonts w:hint="eastAsia"/>
          <w:szCs w:val="32"/>
          <w:lang w:val="en-US" w:eastAsia="zh-CN"/>
        </w:rPr>
        <w:t>34.0</w:t>
      </w:r>
      <w:r>
        <w:rPr>
          <w:szCs w:val="32"/>
        </w:rPr>
        <w:t>%</w:t>
      </w:r>
      <w:r>
        <w:rPr>
          <w:rFonts w:hint="eastAsia"/>
          <w:szCs w:val="32"/>
        </w:rPr>
        <w:t>。</w:t>
      </w:r>
      <w:r>
        <w:rPr>
          <w:szCs w:val="32"/>
        </w:rPr>
        <w:t>上年结转</w:t>
      </w:r>
      <w:r>
        <w:rPr>
          <w:rFonts w:hint="eastAsia"/>
          <w:szCs w:val="32"/>
          <w:lang w:eastAsia="zh-CN"/>
        </w:rPr>
        <w:t>结余</w:t>
      </w:r>
      <w:r>
        <w:rPr>
          <w:rFonts w:hint="eastAsia"/>
          <w:szCs w:val="32"/>
        </w:rPr>
        <w:t>中，一般公共预算拨款结转</w:t>
      </w:r>
      <w:r>
        <w:rPr>
          <w:rFonts w:hint="eastAsia"/>
          <w:szCs w:val="32"/>
          <w:lang w:val="en-US" w:eastAsia="zh-CN"/>
        </w:rPr>
        <w:t>0</w:t>
      </w:r>
      <w:r>
        <w:rPr>
          <w:szCs w:val="32"/>
        </w:rPr>
        <w:t>万元；</w:t>
      </w:r>
      <w:r>
        <w:rPr>
          <w:rFonts w:hint="eastAsia"/>
          <w:szCs w:val="32"/>
        </w:rPr>
        <w:t>单位资金结转</w:t>
      </w:r>
      <w:r>
        <w:rPr>
          <w:rFonts w:hint="eastAsia"/>
          <w:szCs w:val="32"/>
          <w:lang w:eastAsia="zh-CN"/>
        </w:rPr>
        <w:t>结余</w:t>
      </w:r>
      <w:r>
        <w:rPr>
          <w:rFonts w:hint="eastAsia"/>
          <w:szCs w:val="32"/>
          <w:lang w:val="en-US" w:eastAsia="zh-CN"/>
        </w:rPr>
        <w:t>33.70</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305.73</w:t>
      </w:r>
      <w:r>
        <w:rPr>
          <w:szCs w:val="32"/>
        </w:rPr>
        <w:t>万元，其中：基本支出</w:t>
      </w:r>
      <w:r>
        <w:rPr>
          <w:rFonts w:hint="eastAsia"/>
          <w:szCs w:val="32"/>
          <w:lang w:val="en-US" w:eastAsia="zh-CN"/>
        </w:rPr>
        <w:t>127.94</w:t>
      </w:r>
      <w:r>
        <w:rPr>
          <w:szCs w:val="32"/>
        </w:rPr>
        <w:t>万元，占</w:t>
      </w:r>
      <w:r>
        <w:rPr>
          <w:rFonts w:hint="eastAsia"/>
          <w:szCs w:val="32"/>
          <w:lang w:val="en-US" w:eastAsia="zh-CN"/>
        </w:rPr>
        <w:t>41.8</w:t>
      </w:r>
      <w:r>
        <w:rPr>
          <w:szCs w:val="32"/>
        </w:rPr>
        <w:t>%；项目支出</w:t>
      </w:r>
      <w:r>
        <w:rPr>
          <w:rFonts w:hint="eastAsia"/>
          <w:szCs w:val="32"/>
          <w:lang w:val="en-US" w:eastAsia="zh-CN"/>
        </w:rPr>
        <w:t>177.79</w:t>
      </w:r>
      <w:r>
        <w:rPr>
          <w:szCs w:val="32"/>
        </w:rPr>
        <w:t>万元，占</w:t>
      </w:r>
      <w:r>
        <w:rPr>
          <w:rFonts w:hint="eastAsia"/>
          <w:szCs w:val="32"/>
          <w:lang w:val="en-US" w:eastAsia="zh-CN"/>
        </w:rPr>
        <w:t>58.2</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179.53</w:t>
      </w:r>
      <w:r>
        <w:rPr>
          <w:szCs w:val="32"/>
        </w:rPr>
        <w:t>万元，其中：</w:t>
      </w:r>
      <w:r>
        <w:rPr>
          <w:rFonts w:hint="eastAsia"/>
          <w:szCs w:val="32"/>
        </w:rPr>
        <w:t>本年</w:t>
      </w:r>
      <w:r>
        <w:rPr>
          <w:rFonts w:hint="eastAsia"/>
          <w:szCs w:val="32"/>
          <w:lang w:eastAsia="zh-CN"/>
        </w:rPr>
        <w:t>预算</w:t>
      </w:r>
      <w:r>
        <w:rPr>
          <w:rFonts w:hint="eastAsia"/>
          <w:szCs w:val="32"/>
          <w:lang w:val="en-US" w:eastAsia="zh-CN"/>
        </w:rPr>
        <w:t>179.53</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140.84</w:t>
      </w:r>
      <w:r>
        <w:rPr>
          <w:szCs w:val="32"/>
        </w:rPr>
        <w:t>万元</w:t>
      </w:r>
      <w:r>
        <w:rPr>
          <w:rFonts w:hint="eastAsia"/>
          <w:szCs w:val="32"/>
          <w:lang w:eastAsia="zh-CN"/>
        </w:rPr>
        <w:t>，</w:t>
      </w:r>
      <w:r>
        <w:rPr>
          <w:kern w:val="0"/>
          <w:szCs w:val="32"/>
        </w:rPr>
        <w:t>社会保障和就业支出</w:t>
      </w:r>
      <w:r>
        <w:rPr>
          <w:rFonts w:hint="eastAsia"/>
          <w:szCs w:val="32"/>
          <w:lang w:val="en-US" w:eastAsia="zh-CN"/>
        </w:rPr>
        <w:t>26.16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3.42</w:t>
      </w:r>
      <w:r>
        <w:rPr>
          <w:szCs w:val="32"/>
        </w:rPr>
        <w:t>万元，</w:t>
      </w:r>
      <w:r>
        <w:rPr>
          <w:kern w:val="0"/>
          <w:szCs w:val="32"/>
        </w:rPr>
        <w:t>住房保障支出</w:t>
      </w:r>
      <w:r>
        <w:rPr>
          <w:rFonts w:hint="eastAsia"/>
          <w:szCs w:val="32"/>
          <w:lang w:val="en-US" w:eastAsia="zh-CN"/>
        </w:rPr>
        <w:t>9.11</w:t>
      </w:r>
      <w:r>
        <w:rPr>
          <w:szCs w:val="32"/>
        </w:rPr>
        <w:t>万元。</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179.53</w:t>
      </w:r>
      <w:r>
        <w:rPr>
          <w:szCs w:val="32"/>
        </w:rPr>
        <w:t>万元，其中：基本支出</w:t>
      </w:r>
      <w:r>
        <w:rPr>
          <w:rFonts w:hint="eastAsia"/>
          <w:szCs w:val="32"/>
          <w:lang w:val="en-US" w:eastAsia="zh-CN"/>
        </w:rPr>
        <w:t>127.94</w:t>
      </w:r>
      <w:r>
        <w:rPr>
          <w:szCs w:val="32"/>
        </w:rPr>
        <w:t>万元，占</w:t>
      </w:r>
      <w:r>
        <w:rPr>
          <w:rFonts w:hint="eastAsia"/>
          <w:szCs w:val="32"/>
          <w:lang w:val="en-US" w:eastAsia="zh-CN"/>
        </w:rPr>
        <w:t>71.3</w:t>
      </w:r>
      <w:r>
        <w:rPr>
          <w:szCs w:val="32"/>
        </w:rPr>
        <w:t>%；项目支出</w:t>
      </w:r>
      <w:r>
        <w:rPr>
          <w:rFonts w:hint="eastAsia"/>
          <w:szCs w:val="32"/>
          <w:lang w:val="en-US" w:eastAsia="zh-CN"/>
        </w:rPr>
        <w:t>51.59</w:t>
      </w:r>
      <w:r>
        <w:rPr>
          <w:szCs w:val="32"/>
        </w:rPr>
        <w:t>万元，占</w:t>
      </w:r>
      <w:r>
        <w:rPr>
          <w:rFonts w:hint="eastAsia"/>
          <w:szCs w:val="32"/>
          <w:lang w:val="en-US" w:eastAsia="zh-CN"/>
        </w:rPr>
        <w:t>28.7</w:t>
      </w:r>
      <w:r>
        <w:rPr>
          <w:szCs w:val="32"/>
        </w:rPr>
        <w:t>%。基本支出中，人员经费</w:t>
      </w:r>
      <w:r>
        <w:rPr>
          <w:rFonts w:hint="eastAsia"/>
          <w:szCs w:val="32"/>
          <w:lang w:val="en-US" w:eastAsia="zh-CN"/>
        </w:rPr>
        <w:t>108.71</w:t>
      </w:r>
      <w:r>
        <w:rPr>
          <w:szCs w:val="32"/>
        </w:rPr>
        <w:t>万元，占</w:t>
      </w:r>
      <w:r>
        <w:rPr>
          <w:rFonts w:hint="eastAsia"/>
          <w:szCs w:val="32"/>
          <w:lang w:val="en-US" w:eastAsia="zh-CN"/>
        </w:rPr>
        <w:t>85.0</w:t>
      </w:r>
      <w:r>
        <w:rPr>
          <w:szCs w:val="32"/>
        </w:rPr>
        <w:t>%；公用经费</w:t>
      </w:r>
      <w:r>
        <w:rPr>
          <w:rFonts w:hint="eastAsia"/>
          <w:szCs w:val="32"/>
          <w:lang w:val="en-US" w:eastAsia="zh-CN"/>
        </w:rPr>
        <w:t>19.23</w:t>
      </w:r>
      <w:r>
        <w:rPr>
          <w:szCs w:val="32"/>
        </w:rPr>
        <w:t>万元，占</w:t>
      </w:r>
      <w:r>
        <w:rPr>
          <w:rFonts w:hint="eastAsia"/>
          <w:szCs w:val="32"/>
          <w:lang w:val="en-US" w:eastAsia="zh-CN"/>
        </w:rPr>
        <w:t>15.0</w:t>
      </w:r>
      <w:r>
        <w:rPr>
          <w:szCs w:val="32"/>
        </w:rPr>
        <w:t>%。</w:t>
      </w:r>
    </w:p>
    <w:p>
      <w:pPr>
        <w:spacing w:line="520" w:lineRule="exact"/>
        <w:rPr>
          <w:szCs w:val="32"/>
        </w:rPr>
      </w:pPr>
      <w:r>
        <w:rPr>
          <w:szCs w:val="32"/>
        </w:rPr>
        <w:t>一般公共服务（类）支出</w:t>
      </w:r>
      <w:r>
        <w:rPr>
          <w:rFonts w:hint="eastAsia"/>
          <w:szCs w:val="32"/>
          <w:lang w:val="en-US" w:eastAsia="zh-CN"/>
        </w:rPr>
        <w:t>140.84</w:t>
      </w:r>
      <w:r>
        <w:rPr>
          <w:szCs w:val="32"/>
        </w:rPr>
        <w:t>万元，占</w:t>
      </w:r>
      <w:r>
        <w:rPr>
          <w:rFonts w:hint="eastAsia"/>
          <w:szCs w:val="32"/>
          <w:lang w:val="en-US" w:eastAsia="zh-CN"/>
        </w:rPr>
        <w:t>78.4</w:t>
      </w:r>
      <w:r>
        <w:rPr>
          <w:szCs w:val="32"/>
        </w:rPr>
        <w:t>%，主要用于</w:t>
      </w:r>
      <w:r>
        <w:rPr>
          <w:rFonts w:hint="eastAsia"/>
          <w:szCs w:val="32"/>
        </w:rPr>
        <w:t>于保障职工工资，维持机关正常运转，完成年度统计工作任务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26.16</w:t>
      </w:r>
      <w:r>
        <w:rPr>
          <w:szCs w:val="32"/>
        </w:rPr>
        <w:t>万元，占</w:t>
      </w:r>
      <w:r>
        <w:rPr>
          <w:rFonts w:hint="eastAsia"/>
          <w:szCs w:val="32"/>
          <w:lang w:val="en-US" w:eastAsia="zh-CN"/>
        </w:rPr>
        <w:t>14.6</w:t>
      </w:r>
      <w:r>
        <w:rPr>
          <w:szCs w:val="32"/>
        </w:rPr>
        <w:t>%，主要用于</w:t>
      </w:r>
      <w:r>
        <w:rPr>
          <w:rFonts w:hint="eastAsia"/>
          <w:szCs w:val="32"/>
          <w:lang w:eastAsia="zh-CN"/>
        </w:rPr>
        <w:t>保障退休职工</w:t>
      </w:r>
      <w:r>
        <w:rPr>
          <w:szCs w:val="32"/>
        </w:rPr>
        <w:t>取暖费、</w:t>
      </w:r>
      <w:r>
        <w:rPr>
          <w:rFonts w:hint="eastAsia"/>
          <w:szCs w:val="32"/>
          <w:lang w:val="en-US" w:eastAsia="zh-CN"/>
        </w:rPr>
        <w:t>增加补贴、</w:t>
      </w:r>
      <w:r>
        <w:rPr>
          <w:rFonts w:hint="eastAsia"/>
          <w:szCs w:val="32"/>
        </w:rPr>
        <w:t>机关事业单位基本养老保险缴费</w:t>
      </w:r>
      <w:r>
        <w:rPr>
          <w:rFonts w:hint="eastAsia"/>
          <w:szCs w:val="32"/>
          <w:lang w:eastAsia="zh-CN"/>
        </w:rPr>
        <w:t>支出</w:t>
      </w:r>
      <w:r>
        <w:rPr>
          <w:rFonts w:hint="eastAsia"/>
          <w:szCs w:val="32"/>
          <w:lang w:val="en-US" w:eastAsia="zh-CN"/>
        </w:rPr>
        <w:t>及机关事业单位职业年金缴费支出</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3.42</w:t>
      </w:r>
      <w:r>
        <w:rPr>
          <w:szCs w:val="32"/>
        </w:rPr>
        <w:t>万元，占</w:t>
      </w:r>
      <w:r>
        <w:rPr>
          <w:rFonts w:hint="eastAsia"/>
          <w:szCs w:val="32"/>
          <w:lang w:val="en-US" w:eastAsia="zh-CN"/>
        </w:rPr>
        <w:t>1.9</w:t>
      </w:r>
      <w:r>
        <w:rPr>
          <w:szCs w:val="32"/>
        </w:rPr>
        <w:t>%，主要用于</w:t>
      </w:r>
      <w:r>
        <w:rPr>
          <w:rFonts w:hint="eastAsia"/>
          <w:szCs w:val="32"/>
        </w:rPr>
        <w:t>缴纳职工的医疗保险</w:t>
      </w:r>
      <w:r>
        <w:rPr>
          <w:szCs w:val="32"/>
        </w:rPr>
        <w:t>。</w:t>
      </w:r>
    </w:p>
    <w:p>
      <w:pPr>
        <w:spacing w:line="520" w:lineRule="exact"/>
        <w:ind w:firstLine="640" w:firstLineChars="200"/>
        <w:rPr>
          <w:szCs w:val="32"/>
        </w:rPr>
      </w:pPr>
      <w:r>
        <w:rPr>
          <w:szCs w:val="32"/>
        </w:rPr>
        <w:t>住房保障（类）支出</w:t>
      </w:r>
      <w:r>
        <w:rPr>
          <w:rFonts w:hint="eastAsia"/>
          <w:szCs w:val="32"/>
          <w:lang w:val="en-US" w:eastAsia="zh-CN"/>
        </w:rPr>
        <w:t>9.11</w:t>
      </w:r>
      <w:r>
        <w:rPr>
          <w:szCs w:val="32"/>
        </w:rPr>
        <w:t>万元，占</w:t>
      </w:r>
      <w:r>
        <w:rPr>
          <w:rFonts w:hint="eastAsia"/>
          <w:szCs w:val="32"/>
          <w:lang w:val="en-US" w:eastAsia="zh-CN"/>
        </w:rPr>
        <w:t>5.1</w:t>
      </w:r>
      <w:r>
        <w:rPr>
          <w:szCs w:val="32"/>
        </w:rPr>
        <w:t>%，主要用于</w:t>
      </w:r>
      <w:r>
        <w:rPr>
          <w:rFonts w:hint="eastAsia"/>
          <w:szCs w:val="32"/>
        </w:rPr>
        <w:t>缴纳职工的住房公积金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127.94</w:t>
      </w:r>
      <w:r>
        <w:rPr>
          <w:szCs w:val="32"/>
        </w:rPr>
        <w:t>万元，其中：</w:t>
      </w:r>
    </w:p>
    <w:p>
      <w:pPr>
        <w:ind w:firstLine="640" w:firstLineChars="200"/>
        <w:rPr>
          <w:kern w:val="0"/>
          <w:szCs w:val="32"/>
        </w:rPr>
      </w:pPr>
      <w:r>
        <w:rPr>
          <w:szCs w:val="32"/>
        </w:rPr>
        <w:t>人员经费</w:t>
      </w:r>
      <w:r>
        <w:rPr>
          <w:rFonts w:hint="eastAsia"/>
          <w:szCs w:val="32"/>
          <w:lang w:val="en-US" w:eastAsia="zh-CN"/>
        </w:rPr>
        <w:t>108.71</w:t>
      </w:r>
      <w:r>
        <w:rPr>
          <w:szCs w:val="32"/>
        </w:rPr>
        <w:t>万元，主要包括：</w:t>
      </w:r>
      <w:r>
        <w:rPr>
          <w:rFonts w:hint="eastAsia"/>
          <w:kern w:val="0"/>
          <w:szCs w:val="32"/>
        </w:rPr>
        <w:t>基本工资、津贴补贴、奖金、机关事业单位基本养老保险缴费、</w:t>
      </w:r>
      <w:r>
        <w:rPr>
          <w:rFonts w:hint="eastAsia"/>
          <w:kern w:val="0"/>
          <w:szCs w:val="32"/>
          <w:lang w:val="en-US" w:eastAsia="zh-CN"/>
        </w:rPr>
        <w:t>职业年金缴费、</w:t>
      </w:r>
      <w:r>
        <w:rPr>
          <w:rFonts w:hint="eastAsia"/>
          <w:kern w:val="0"/>
          <w:szCs w:val="32"/>
        </w:rPr>
        <w:t>职工基本医疗保险缴费、其他社会保障缴费、住房公积金、医疗费、其他工资福利支出；退休费、其他对个人和家庭的补助支出</w:t>
      </w:r>
      <w:r>
        <w:rPr>
          <w:kern w:val="0"/>
          <w:szCs w:val="32"/>
        </w:rPr>
        <w:t>。</w:t>
      </w:r>
    </w:p>
    <w:p>
      <w:pPr>
        <w:ind w:firstLine="640" w:firstLineChars="200"/>
        <w:rPr>
          <w:szCs w:val="32"/>
        </w:rPr>
      </w:pPr>
      <w:r>
        <w:rPr>
          <w:kern w:val="0"/>
          <w:szCs w:val="32"/>
        </w:rPr>
        <w:t>公用经费</w:t>
      </w:r>
      <w:r>
        <w:rPr>
          <w:rFonts w:hint="eastAsia"/>
          <w:szCs w:val="32"/>
          <w:lang w:val="en-US" w:eastAsia="zh-CN"/>
        </w:rPr>
        <w:t>19.23</w:t>
      </w:r>
      <w:r>
        <w:rPr>
          <w:szCs w:val="32"/>
        </w:rPr>
        <w:t>万元，主要包括：</w:t>
      </w:r>
      <w:r>
        <w:rPr>
          <w:rFonts w:hint="eastAsia"/>
          <w:kern w:val="0"/>
          <w:szCs w:val="32"/>
        </w:rPr>
        <w:t>办公费、邮电费、差旅费、培训费、</w:t>
      </w:r>
      <w:r>
        <w:rPr>
          <w:rFonts w:hint="eastAsia"/>
          <w:kern w:val="0"/>
          <w:szCs w:val="32"/>
          <w:lang w:val="en-US" w:eastAsia="zh-CN"/>
        </w:rPr>
        <w:t>公务接待费、</w:t>
      </w:r>
      <w:r>
        <w:rPr>
          <w:rFonts w:hint="eastAsia"/>
          <w:kern w:val="0"/>
          <w:szCs w:val="32"/>
        </w:rPr>
        <w:t>工会经费、其他交通</w:t>
      </w:r>
      <w:r>
        <w:rPr>
          <w:rFonts w:hint="eastAsia"/>
          <w:kern w:val="0"/>
          <w:szCs w:val="32"/>
          <w:lang w:val="en-US" w:eastAsia="zh-CN"/>
        </w:rPr>
        <w:t>费用</w:t>
      </w:r>
      <w:r>
        <w:rPr>
          <w:rFonts w:hint="eastAsia"/>
          <w:kern w:val="0"/>
          <w:szCs w:val="32"/>
        </w:rPr>
        <w:t>、其他商品和服务支出；办公设备购置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万元。其中：</w:t>
      </w:r>
    </w:p>
    <w:p>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，主要原因是</w:t>
      </w:r>
      <w:r>
        <w:rPr>
          <w:rFonts w:hint="eastAsia"/>
          <w:szCs w:val="32"/>
        </w:rPr>
        <w:t>本年度无因公出国（境）费预算</w:t>
      </w:r>
      <w:r>
        <w:rPr>
          <w:rFonts w:hint="eastAsia"/>
          <w:szCs w:val="32"/>
          <w:lang w:eastAsia="zh-CN"/>
        </w:rPr>
        <w:t>。</w:t>
      </w:r>
    </w:p>
    <w:p>
      <w:pPr>
        <w:ind w:firstLine="640" w:firstLineChars="200"/>
        <w:rPr>
          <w:rFonts w:hint="eastAsia" w:eastAsia="仿宋_GB2312"/>
          <w:szCs w:val="32"/>
          <w:lang w:eastAsia="zh-CN"/>
        </w:rPr>
      </w:pPr>
      <w:r>
        <w:rPr>
          <w:szCs w:val="32"/>
        </w:rPr>
        <w:t>2.公务接待费</w:t>
      </w:r>
      <w:r>
        <w:rPr>
          <w:rFonts w:hint="eastAsia"/>
          <w:szCs w:val="32"/>
          <w:lang w:val="en-US" w:eastAsia="zh-CN"/>
        </w:rPr>
        <w:t>0.15</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0.15</w:t>
      </w:r>
      <w:r>
        <w:rPr>
          <w:szCs w:val="32"/>
        </w:rPr>
        <w:t>万元，主要原因是</w:t>
      </w:r>
      <w:r>
        <w:rPr>
          <w:rFonts w:hint="eastAsia"/>
          <w:szCs w:val="32"/>
          <w:lang w:val="en-US" w:eastAsia="zh-CN"/>
        </w:rPr>
        <w:t>本年增加公务接待费</w:t>
      </w:r>
      <w:r>
        <w:rPr>
          <w:rFonts w:hint="eastAsia"/>
          <w:szCs w:val="32"/>
          <w:lang w:eastAsia="zh-CN"/>
        </w:rPr>
        <w:t>。</w:t>
      </w:r>
    </w:p>
    <w:p>
      <w:pPr>
        <w:ind w:firstLine="640" w:firstLineChars="200"/>
        <w:jc w:val="both"/>
        <w:rPr>
          <w:rFonts w:hint="eastAsia"/>
          <w:szCs w:val="32"/>
          <w:lang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，主要原因是</w:t>
      </w:r>
      <w:r>
        <w:rPr>
          <w:rFonts w:hint="eastAsia"/>
          <w:szCs w:val="32"/>
        </w:rPr>
        <w:t>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万元，主要原因是</w:t>
      </w:r>
      <w:r>
        <w:rPr>
          <w:rFonts w:hint="eastAsia"/>
          <w:szCs w:val="32"/>
        </w:rPr>
        <w:t>本单位无公务用车购置预算</w:t>
      </w:r>
      <w:r>
        <w:rPr>
          <w:rFonts w:hint="eastAsia"/>
          <w:szCs w:val="32"/>
          <w:lang w:eastAsia="zh-CN"/>
        </w:rPr>
        <w:t>。</w:t>
      </w:r>
    </w:p>
    <w:p>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eastAsia="楷体"/>
          <w:szCs w:val="32"/>
        </w:rPr>
      </w:pPr>
      <w:r>
        <w:rPr>
          <w:rFonts w:hint="eastAsia"/>
          <w:szCs w:val="32"/>
        </w:rPr>
        <w:t>本单位无政府性基金预算拨款。</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eastAsia="楷体"/>
          <w:szCs w:val="32"/>
        </w:rPr>
      </w:pPr>
      <w:r>
        <w:rPr>
          <w:rFonts w:hint="eastAsia"/>
          <w:szCs w:val="32"/>
        </w:rPr>
        <w:t>本单位无国有资本经营预算拨款。</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集安市统计局1</w:t>
      </w:r>
      <w:r>
        <w:rPr>
          <w:szCs w:val="32"/>
        </w:rPr>
        <w:t>家行政单位</w:t>
      </w:r>
      <w:r>
        <w:rPr>
          <w:rFonts w:hint="eastAsia"/>
          <w:szCs w:val="32"/>
          <w:lang w:eastAsia="zh-CN"/>
        </w:rPr>
        <w:t>，</w:t>
      </w:r>
      <w:r>
        <w:rPr>
          <w:szCs w:val="32"/>
        </w:rPr>
        <w:t>机关运行经费财政拨款预算</w:t>
      </w:r>
      <w:r>
        <w:rPr>
          <w:rFonts w:hint="eastAsia"/>
          <w:szCs w:val="32"/>
          <w:lang w:val="en-US" w:eastAsia="zh-CN"/>
        </w:rPr>
        <w:t>19.23</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减少2.38</w:t>
      </w:r>
      <w:r>
        <w:rPr>
          <w:szCs w:val="32"/>
        </w:rPr>
        <w:t>万元，</w:t>
      </w:r>
      <w:r>
        <w:rPr>
          <w:rFonts w:hint="eastAsia"/>
          <w:szCs w:val="32"/>
          <w:lang w:val="en-US" w:eastAsia="zh-CN"/>
        </w:rPr>
        <w:t>下降11.0</w:t>
      </w:r>
      <w:r>
        <w:rPr>
          <w:szCs w:val="32"/>
        </w:rPr>
        <w:t>%</w:t>
      </w:r>
      <w:r>
        <w:rPr>
          <w:rFonts w:hint="eastAsia"/>
          <w:szCs w:val="32"/>
        </w:rPr>
        <w:t>，主要原因是</w:t>
      </w:r>
      <w:r>
        <w:rPr>
          <w:rFonts w:hint="eastAsia"/>
          <w:szCs w:val="32"/>
          <w:lang w:val="en-US" w:eastAsia="zh-CN"/>
        </w:rPr>
        <w:t>压减机关运行经费预算</w:t>
      </w:r>
      <w:r>
        <w:rPr>
          <w:szCs w:val="32"/>
        </w:rPr>
        <w:t>。</w:t>
      </w:r>
    </w:p>
    <w:p>
      <w:pPr>
        <w:spacing w:line="540" w:lineRule="exact"/>
        <w:ind w:firstLine="640" w:firstLineChars="200"/>
        <w:rPr>
          <w:rFonts w:eastAsia="楷体"/>
          <w:szCs w:val="32"/>
        </w:rPr>
      </w:pPr>
      <w:r>
        <w:rPr>
          <w:rFonts w:eastAsia="楷体"/>
          <w:szCs w:val="32"/>
        </w:rPr>
        <w:t>（二）政府采购情况</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年本单位无政府采购预算</w:t>
      </w:r>
      <w:r>
        <w:rPr>
          <w:szCs w:val="32"/>
        </w:rPr>
        <w:t>。</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pPr>
      <w:r>
        <w:t>202</w:t>
      </w:r>
      <w:r>
        <w:rPr>
          <w:rFonts w:hint="eastAsia"/>
          <w:lang w:val="en-US" w:eastAsia="zh-CN"/>
        </w:rPr>
        <w:t>6</w:t>
      </w:r>
      <w:r>
        <w:t>年部门项目支出</w:t>
      </w:r>
      <w:r>
        <w:rPr>
          <w:rFonts w:hint="eastAsia"/>
          <w:szCs w:val="32"/>
          <w:lang w:val="en-US" w:eastAsia="zh-CN"/>
        </w:rPr>
        <w:t>177.79</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51.59</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使用单位资金92.50万元，非财政拨款结转33.70万元</w:t>
      </w:r>
      <w:r>
        <w:rPr>
          <w:szCs w:val="32"/>
        </w:rPr>
        <w:t>。</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177.79</w:t>
      </w:r>
      <w:r>
        <w:rPr>
          <w:rFonts w:hint="eastAsia" w:ascii="宋体" w:hAnsi="宋体"/>
        </w:rPr>
        <w:t>万元。</w:t>
      </w:r>
    </w:p>
    <w:p>
      <w:pPr>
        <w:rPr>
          <w:szCs w:val="32"/>
        </w:rPr>
      </w:pPr>
    </w:p>
    <w:p>
      <w:pPr>
        <w:ind w:firstLine="640" w:firstLineChars="200"/>
        <w:rPr>
          <w:szCs w:val="32"/>
        </w:rPr>
      </w:pPr>
    </w:p>
    <w:p>
      <w:pPr>
        <w:rPr>
          <w:rFonts w:eastAsia="黑体"/>
        </w:rPr>
      </w:pPr>
      <w:r>
        <w:rPr>
          <w:rFonts w:eastAsia="黑体"/>
        </w:rPr>
        <w:br w:type="page"/>
      </w:r>
    </w:p>
    <w:p>
      <w:pPr>
        <w:jc w:val="center"/>
        <w:rPr>
          <w:rFonts w:eastAsia="黑体"/>
        </w:rPr>
      </w:pPr>
      <w:bookmarkStart w:id="0" w:name="_GoBack"/>
      <w:bookmarkEnd w:id="0"/>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5bwaP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4Ci0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51sfJwwEAAHEDAAAOAAAAAAAAAAEAIAAAAB4BAABkcnMvZTJvRG9jLnhtbFBL&#10;BQYAAAAABgAGAFkBAABT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aTeV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8F549B"/>
    <w:rsid w:val="059B3770"/>
    <w:rsid w:val="063949A0"/>
    <w:rsid w:val="06723D20"/>
    <w:rsid w:val="06BD5BC7"/>
    <w:rsid w:val="06F008FF"/>
    <w:rsid w:val="07713F80"/>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56869"/>
    <w:rsid w:val="11A6707B"/>
    <w:rsid w:val="11B35B2F"/>
    <w:rsid w:val="12E711B7"/>
    <w:rsid w:val="130A5D99"/>
    <w:rsid w:val="136D62BD"/>
    <w:rsid w:val="136E4388"/>
    <w:rsid w:val="13F21722"/>
    <w:rsid w:val="1441443C"/>
    <w:rsid w:val="14C12787"/>
    <w:rsid w:val="15593E10"/>
    <w:rsid w:val="159F7E25"/>
    <w:rsid w:val="15F848D0"/>
    <w:rsid w:val="160E1FA5"/>
    <w:rsid w:val="160F2600"/>
    <w:rsid w:val="16C829AB"/>
    <w:rsid w:val="16DD34F5"/>
    <w:rsid w:val="174F3A04"/>
    <w:rsid w:val="17765BCA"/>
    <w:rsid w:val="17775522"/>
    <w:rsid w:val="17A027D8"/>
    <w:rsid w:val="17CC2625"/>
    <w:rsid w:val="19132BE0"/>
    <w:rsid w:val="191F4716"/>
    <w:rsid w:val="1954649C"/>
    <w:rsid w:val="1A401193"/>
    <w:rsid w:val="1A817DF8"/>
    <w:rsid w:val="1A8A6135"/>
    <w:rsid w:val="1A8F455C"/>
    <w:rsid w:val="1ADC594E"/>
    <w:rsid w:val="1ADD0AA9"/>
    <w:rsid w:val="1AEB5252"/>
    <w:rsid w:val="1B633B7D"/>
    <w:rsid w:val="1B8A03E4"/>
    <w:rsid w:val="1B9C1459"/>
    <w:rsid w:val="1C852172"/>
    <w:rsid w:val="1CA40C0C"/>
    <w:rsid w:val="1CFF4A32"/>
    <w:rsid w:val="1D003925"/>
    <w:rsid w:val="1D833200"/>
    <w:rsid w:val="1DBA106D"/>
    <w:rsid w:val="1E3A3FD0"/>
    <w:rsid w:val="1EA9445B"/>
    <w:rsid w:val="1EB55C07"/>
    <w:rsid w:val="1F351A10"/>
    <w:rsid w:val="1F857EA5"/>
    <w:rsid w:val="1FED47E9"/>
    <w:rsid w:val="20445F27"/>
    <w:rsid w:val="206816AC"/>
    <w:rsid w:val="20D564EE"/>
    <w:rsid w:val="21134335"/>
    <w:rsid w:val="226E581D"/>
    <w:rsid w:val="22A4003E"/>
    <w:rsid w:val="22D01AE8"/>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A06172"/>
    <w:rsid w:val="30B91A70"/>
    <w:rsid w:val="30F84C22"/>
    <w:rsid w:val="310C6AA2"/>
    <w:rsid w:val="31793674"/>
    <w:rsid w:val="31894469"/>
    <w:rsid w:val="31AD199C"/>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6F1D26"/>
    <w:rsid w:val="3887374F"/>
    <w:rsid w:val="3892119A"/>
    <w:rsid w:val="38CB0ABC"/>
    <w:rsid w:val="39041A07"/>
    <w:rsid w:val="39043B77"/>
    <w:rsid w:val="392012D0"/>
    <w:rsid w:val="39670895"/>
    <w:rsid w:val="3A387943"/>
    <w:rsid w:val="3A41278D"/>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A7143F"/>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3059A2"/>
    <w:rsid w:val="479D2523"/>
    <w:rsid w:val="47A371D3"/>
    <w:rsid w:val="47CF49E6"/>
    <w:rsid w:val="4866767E"/>
    <w:rsid w:val="48674ED2"/>
    <w:rsid w:val="487708E6"/>
    <w:rsid w:val="48B540F2"/>
    <w:rsid w:val="493F6F72"/>
    <w:rsid w:val="49645F71"/>
    <w:rsid w:val="499F5C68"/>
    <w:rsid w:val="4A2056EC"/>
    <w:rsid w:val="4A52465C"/>
    <w:rsid w:val="4A5C4AC6"/>
    <w:rsid w:val="4A662FBF"/>
    <w:rsid w:val="4AF16062"/>
    <w:rsid w:val="4B0A57E5"/>
    <w:rsid w:val="4B646DDD"/>
    <w:rsid w:val="4B7F44F8"/>
    <w:rsid w:val="4BAC24C5"/>
    <w:rsid w:val="4BD012CD"/>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1C91B3F"/>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5A0DAB"/>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3B1ADB"/>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8F409B0"/>
    <w:rsid w:val="69157114"/>
    <w:rsid w:val="691A443E"/>
    <w:rsid w:val="69E203A0"/>
    <w:rsid w:val="6A5B6D7D"/>
    <w:rsid w:val="6A641076"/>
    <w:rsid w:val="6A765FBC"/>
    <w:rsid w:val="6A776035"/>
    <w:rsid w:val="6A80735F"/>
    <w:rsid w:val="6AC17181"/>
    <w:rsid w:val="6ACC5E47"/>
    <w:rsid w:val="6AD43ED1"/>
    <w:rsid w:val="6B11024D"/>
    <w:rsid w:val="6B7D5B36"/>
    <w:rsid w:val="6C834DAA"/>
    <w:rsid w:val="6C993CCE"/>
    <w:rsid w:val="6CF120A8"/>
    <w:rsid w:val="6D72413D"/>
    <w:rsid w:val="6E9E608C"/>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6F70507"/>
    <w:rsid w:val="770021AC"/>
    <w:rsid w:val="774E6400"/>
    <w:rsid w:val="775B0046"/>
    <w:rsid w:val="77DE24BD"/>
    <w:rsid w:val="78E7539B"/>
    <w:rsid w:val="79700BEF"/>
    <w:rsid w:val="798D552B"/>
    <w:rsid w:val="7A090695"/>
    <w:rsid w:val="7A1D5951"/>
    <w:rsid w:val="7AE175F4"/>
    <w:rsid w:val="7B417685"/>
    <w:rsid w:val="7B5220F0"/>
    <w:rsid w:val="7BA169C0"/>
    <w:rsid w:val="7BC55243"/>
    <w:rsid w:val="7C2F4A9A"/>
    <w:rsid w:val="7C9203B3"/>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uiPriority w:val="0"/>
    <w:rPr>
      <w:rFonts w:hint="default" w:ascii="Times New Roman" w:hAnsi="Times New Roman" w:cs="Times New Roman"/>
      <w:color w:val="000000"/>
      <w:sz w:val="24"/>
      <w:szCs w:val="24"/>
      <w:u w:val="none"/>
    </w:rPr>
  </w:style>
  <w:style w:type="character" w:customStyle="1" w:styleId="19">
    <w:name w:val="font11"/>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uiPriority w:val="0"/>
    <w:rPr>
      <w:rFonts w:eastAsia="宋体"/>
      <w:sz w:val="21"/>
      <w:szCs w:val="21"/>
    </w:rPr>
  </w:style>
  <w:style w:type="paragraph" w:customStyle="1" w:styleId="72">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character" w:customStyle="1" w:styleId="83">
    <w:name w:val="font31"/>
    <w:basedOn w:val="11"/>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6776</Words>
  <Characters>8113</Characters>
  <Lines>71</Lines>
  <Paragraphs>20</Paragraphs>
  <TotalTime>70</TotalTime>
  <ScaleCrop>false</ScaleCrop>
  <LinksUpToDate>false</LinksUpToDate>
  <CharactersWithSpaces>8650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2026-02-01T19:04:24Z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