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lang w:val="en-US" w:eastAsia="zh-CN"/>
        </w:rPr>
        <w:t>四平市统计局（本级）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四平市统计局主要职能：</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(一)贯彻执行国家统计方针、政策以及法律、法规，制定全市统计工作规划及统计调查计划;监督检查统计法律、法规的实施。组织领导全市统计工作，承担确保统计数据真实、准确、及时的责任。</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(四)统一核定、管理、公布全市基本统计资料，定期向社会公布全市国民经济和社会发展情况的统计信息。</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(五)建立、完善和管理全市统计信息化系统和统计数据体系;组织指导各县(市、区)统计信息化网络和数据库系统建设。</w:t>
      </w:r>
      <w:bookmarkStart w:id="0" w:name="_GoBack"/>
      <w:bookmarkEnd w:id="0"/>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(六)依法管理全市统计调查项目和统计标准，指导专业统计基础工作、统计基层业务基础建设;建立健全统计数据质量审核、监控和评估制度，负责重要统计数据的审核、监控和评估，依法监督管理涉外调查活动。</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(七)负责全市统计系统的干部人事、劳动工资、机构编制和财务经费、审计监督及资产设施管理。</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(八)领导局属事业单位。</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(九)承办省统计局和市政府交办的其他事项。</w:t>
      </w:r>
    </w:p>
    <w:p>
      <w:pPr>
        <w:ind w:firstLine="640" w:firstLineChars="200"/>
      </w:pPr>
      <w:r>
        <w:rPr>
          <w:rFonts w:eastAsia="楷体_GB2312"/>
        </w:rPr>
        <w:t>二、机构设置</w:t>
      </w:r>
    </w:p>
    <w:p>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根据上述职责，四平市统计局本级下设</w:t>
      </w:r>
      <w:r>
        <w:rPr>
          <w:rFonts w:hint="eastAsia" w:ascii="仿宋_GB2312" w:hAnsi="仿宋_GB2312" w:eastAsia="仿宋_GB2312" w:cs="仿宋_GB2312"/>
        </w:rPr>
        <w:t>8</w:t>
      </w:r>
      <w:r>
        <w:rPr>
          <w:rFonts w:hint="eastAsia" w:ascii="仿宋_GB2312" w:hAnsi="仿宋_GB2312" w:eastAsia="仿宋_GB2312" w:cs="仿宋_GB2312"/>
        </w:rPr>
        <w:t>个内设机构，分别为办公室、国民经济综合核算与法规科、工业交通与能源统计科、农业贸易与服务业统计科、固定资产投资统计科、人口就业与社会科技统计科</w:t>
      </w:r>
      <w:r>
        <w:rPr>
          <w:rFonts w:hint="eastAsia" w:ascii="仿宋_GB2312" w:hAnsi="仿宋_GB2312" w:eastAsia="仿宋_GB2312" w:cs="仿宋_GB2312"/>
        </w:rPr>
        <w:t>、</w:t>
      </w:r>
      <w:r>
        <w:rPr>
          <w:rFonts w:hint="eastAsia" w:ascii="仿宋_GB2312" w:hAnsi="仿宋_GB2312" w:eastAsia="仿宋_GB2312" w:cs="仿宋_GB2312"/>
        </w:rPr>
        <w:t>人事监察科、机关党总支。</w:t>
      </w:r>
    </w:p>
    <w:p>
      <w:pPr>
        <w:pStyle w:val="27"/>
        <w:ind w:firstLine="640" w:firstLineChars="200"/>
        <w:rPr>
          <w:rFonts w:hint="eastAsia" w:eastAsia="仿宋_GB2312"/>
        </w:rPr>
      </w:pPr>
      <w:r>
        <w:rPr>
          <w:rFonts w:hint="eastAsia" w:eastAsia="仿宋_GB2312"/>
        </w:rPr>
        <w:t>本单位无下设预算单位。</w:t>
      </w:r>
    </w:p>
    <w:p>
      <w:pPr>
        <w:pStyle w:val="27"/>
        <w:ind w:firstLine="640" w:firstLineChars="200"/>
        <w:rPr>
          <w:rFonts w:hint="eastAsia" w:eastAsia="仿宋_GB2312"/>
        </w:rPr>
      </w:pPr>
    </w:p>
    <w:p>
      <w:pPr>
        <w:pStyle w:val="27"/>
        <w:ind w:firstLine="640" w:firstLineChars="200"/>
        <w:rPr>
          <w:rFonts w:hint="eastAsia" w:eastAsia="仿宋_GB2312"/>
        </w:rPr>
      </w:pPr>
    </w:p>
    <w:p>
      <w:pPr>
        <w:pStyle w:val="27"/>
        <w:ind w:firstLine="640" w:firstLineChars="200"/>
        <w:rPr>
          <w:rFonts w:hint="eastAsia" w:eastAsia="仿宋_GB2312"/>
        </w:rPr>
      </w:pPr>
    </w:p>
    <w:p>
      <w:pPr>
        <w:pStyle w:val="27"/>
        <w:ind w:firstLine="640" w:firstLineChars="200"/>
        <w:rPr>
          <w:rFonts w:hint="eastAsia" w:eastAsia="仿宋_GB2312"/>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483.47</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483.47</w:t>
            </w:r>
          </w:p>
        </w:tc>
        <w:tc>
          <w:tcPr>
            <w:tcW w:w="1134"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val="en-US" w:eastAsia="zh-CN" w:bidi="ar"/>
              </w:rPr>
              <w:t>一、一般公共服务支出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558.08</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558.08</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483.47</w:t>
            </w: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r>
              <w:rPr>
                <w:rFonts w:hint="eastAsia" w:ascii="宋体" w:hAnsi="宋体" w:eastAsia="宋体" w:cs="宋体"/>
                <w:kern w:val="0"/>
                <w:sz w:val="20"/>
                <w:lang w:val="en-US" w:eastAsia="zh-CN"/>
              </w:rPr>
              <w:t>483.47</w:t>
            </w: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eastAsia="zh-CN" w:bidi="ar"/>
              </w:rPr>
              <w:t>二</w:t>
            </w:r>
            <w:r>
              <w:rPr>
                <w:rFonts w:hint="eastAsia" w:ascii="宋体" w:hAnsi="宋体" w:eastAsia="宋体" w:cs="宋体"/>
                <w:i w:val="0"/>
                <w:color w:val="000000"/>
                <w:kern w:val="0"/>
                <w:sz w:val="20"/>
                <w:szCs w:val="20"/>
                <w:u w:val="none"/>
                <w:lang w:val="en-US" w:eastAsia="zh-CN" w:bidi="ar"/>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89.13</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89.13</w:t>
            </w: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eastAsia="zh-CN" w:bidi="ar"/>
              </w:rPr>
              <w:t>三</w:t>
            </w:r>
            <w:r>
              <w:rPr>
                <w:rFonts w:hint="eastAsia" w:ascii="宋体" w:hAnsi="宋体" w:eastAsia="宋体" w:cs="宋体"/>
                <w:i w:val="0"/>
                <w:color w:val="000000"/>
                <w:kern w:val="0"/>
                <w:sz w:val="20"/>
                <w:szCs w:val="20"/>
                <w:u w:val="none"/>
                <w:lang w:val="en-US" w:eastAsia="zh-CN" w:bidi="ar"/>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13.65</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13.65</w:t>
            </w: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rPr>
            </w:pPr>
            <w:r>
              <w:rPr>
                <w:rFonts w:hint="eastAsia" w:ascii="宋体" w:hAnsi="宋体" w:eastAsia="宋体" w:cs="宋体"/>
                <w:i w:val="0"/>
                <w:color w:val="000000"/>
                <w:kern w:val="0"/>
                <w:sz w:val="20"/>
                <w:szCs w:val="20"/>
                <w:u w:val="none"/>
                <w:lang w:eastAsia="zh-CN" w:bidi="ar"/>
              </w:rPr>
              <w:t>四</w:t>
            </w:r>
            <w:r>
              <w:rPr>
                <w:rFonts w:hint="eastAsia" w:ascii="宋体" w:hAnsi="宋体" w:eastAsia="宋体" w:cs="宋体"/>
                <w:i w:val="0"/>
                <w:color w:val="000000"/>
                <w:kern w:val="0"/>
                <w:sz w:val="20"/>
                <w:szCs w:val="20"/>
                <w:u w:val="none"/>
                <w:lang w:val="en-US" w:eastAsia="zh-CN" w:bidi="ar"/>
              </w:rPr>
              <w:t>、住房保障支出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28.84</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28.84</w:t>
            </w: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186.23</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186.23</w:t>
            </w:r>
          </w:p>
        </w:tc>
        <w:tc>
          <w:tcPr>
            <w:tcW w:w="1134"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186.23</w:t>
            </w: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186.23</w:t>
            </w: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669.7</w:t>
            </w:r>
            <w:r>
              <w:rPr>
                <w:rFonts w:hint="eastAsia" w:ascii="宋体" w:hAnsi="宋体" w:eastAsia="宋体" w:cs="宋体"/>
                <w:kern w:val="0"/>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669.7</w:t>
            </w:r>
            <w:r>
              <w:rPr>
                <w:rFonts w:hint="eastAsia" w:ascii="宋体" w:hAnsi="宋体" w:eastAsia="宋体" w:cs="宋体"/>
                <w:kern w:val="0"/>
                <w:sz w:val="20"/>
                <w:lang w:val="en-US" w:eastAsia="zh-CN"/>
              </w:rPr>
              <w:t>0</w:t>
            </w:r>
          </w:p>
        </w:tc>
        <w:tc>
          <w:tcPr>
            <w:tcW w:w="1134"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lang w:val="en-US" w:eastAsia="zh-CN"/>
              </w:rPr>
            </w:pPr>
            <w:r>
              <w:rPr>
                <w:rFonts w:hint="eastAsia" w:ascii="宋体" w:hAnsi="宋体" w:eastAsia="宋体" w:cs="宋体"/>
                <w:b w:val="0"/>
                <w:bCs w:val="0"/>
                <w:kern w:val="0"/>
                <w:sz w:val="20"/>
              </w:rPr>
              <w:t>689.7</w:t>
            </w:r>
            <w:r>
              <w:rPr>
                <w:rFonts w:hint="eastAsia" w:ascii="宋体" w:hAnsi="宋体" w:eastAsia="宋体" w:cs="宋体"/>
                <w:b w:val="0"/>
                <w:bCs w:val="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689.7</w:t>
            </w:r>
            <w:r>
              <w:rPr>
                <w:rFonts w:hint="eastAsia" w:ascii="宋体" w:hAnsi="宋体" w:eastAsia="宋体" w:cs="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lang w:val="en-US" w:eastAsia="zh-CN"/>
              </w:rPr>
            </w:pPr>
            <w:r>
              <w:rPr>
                <w:rFonts w:hint="eastAsia" w:ascii="宋体" w:hAnsi="宋体" w:eastAsia="宋体" w:cs="宋体"/>
                <w:kern w:val="0"/>
                <w:sz w:val="20"/>
              </w:rPr>
              <w:t>20</w:t>
            </w:r>
            <w:r>
              <w:rPr>
                <w:rFonts w:hint="eastAsia" w:ascii="宋体" w:hAnsi="宋体" w:eastAsia="宋体" w:cs="宋体"/>
                <w:kern w:val="0"/>
                <w:sz w:val="20"/>
                <w:lang w:val="en-US" w:eastAsia="zh-CN"/>
              </w:rPr>
              <w:t>.00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lang w:val="en-US" w:eastAsia="zh-CN"/>
              </w:rPr>
            </w:pPr>
            <w:r>
              <w:rPr>
                <w:rFonts w:hint="eastAsia" w:ascii="宋体" w:hAnsi="宋体" w:eastAsia="宋体" w:cs="宋体"/>
                <w:kern w:val="0"/>
                <w:sz w:val="20"/>
              </w:rPr>
              <w:t>20</w:t>
            </w:r>
            <w:r>
              <w:rPr>
                <w:rFonts w:hint="eastAsia" w:ascii="宋体" w:hAnsi="宋体" w:eastAsia="宋体" w:cs="宋体"/>
                <w:kern w:val="0"/>
                <w:sz w:val="20"/>
                <w:lang w:val="en-US" w:eastAsia="zh-CN"/>
              </w:rPr>
              <w:t>.00</w:t>
            </w:r>
          </w:p>
        </w:tc>
        <w:tc>
          <w:tcPr>
            <w:tcW w:w="1134"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689.7</w:t>
            </w:r>
            <w:r>
              <w:rPr>
                <w:rFonts w:hint="eastAsia" w:ascii="宋体" w:hAnsi="宋体" w:eastAsia="宋体" w:cs="宋体"/>
                <w:kern w:val="0"/>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689.7</w:t>
            </w:r>
            <w:r>
              <w:rPr>
                <w:rFonts w:hint="eastAsia" w:ascii="宋体" w:hAnsi="宋体" w:eastAsia="宋体" w:cs="宋体"/>
                <w:kern w:val="0"/>
                <w:sz w:val="20"/>
                <w:lang w:val="en-US" w:eastAsia="zh-CN"/>
              </w:rPr>
              <w:t>0</w:t>
            </w:r>
          </w:p>
        </w:tc>
        <w:tc>
          <w:tcPr>
            <w:tcW w:w="1134" w:type="dxa"/>
            <w:tcBorders>
              <w:top w:val="nil"/>
              <w:left w:val="single" w:color="auto" w:sz="4" w:space="0"/>
              <w:bottom w:val="single" w:color="auto" w:sz="4" w:space="0"/>
              <w:right w:val="nil"/>
            </w:tcBorders>
            <w:noWrap w:val="0"/>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689.7</w:t>
            </w:r>
            <w:r>
              <w:rPr>
                <w:rFonts w:hint="eastAsia" w:ascii="宋体" w:hAnsi="宋体" w:eastAsia="宋体" w:cs="宋体"/>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689.7</w:t>
            </w:r>
            <w:r>
              <w:rPr>
                <w:rFonts w:hint="eastAsia" w:ascii="宋体" w:hAnsi="宋体" w:eastAsia="宋体" w:cs="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640" w:type="dxa"/>
        <w:jc w:val="center"/>
        <w:tblLayout w:type="fixed"/>
        <w:tblCellMar>
          <w:top w:w="0" w:type="dxa"/>
          <w:left w:w="108" w:type="dxa"/>
          <w:bottom w:w="0" w:type="dxa"/>
          <w:right w:w="108" w:type="dxa"/>
        </w:tblCellMar>
      </w:tblPr>
      <w:tblGrid>
        <w:gridCol w:w="858"/>
        <w:gridCol w:w="795"/>
        <w:gridCol w:w="765"/>
        <w:gridCol w:w="780"/>
        <w:gridCol w:w="420"/>
        <w:gridCol w:w="405"/>
        <w:gridCol w:w="465"/>
        <w:gridCol w:w="420"/>
        <w:gridCol w:w="510"/>
        <w:gridCol w:w="480"/>
        <w:gridCol w:w="450"/>
        <w:gridCol w:w="795"/>
        <w:gridCol w:w="690"/>
        <w:gridCol w:w="450"/>
        <w:gridCol w:w="495"/>
        <w:gridCol w:w="465"/>
        <w:gridCol w:w="525"/>
        <w:gridCol w:w="872"/>
      </w:tblGrid>
      <w:tr>
        <w:tblPrEx>
          <w:tblCellMar>
            <w:top w:w="0" w:type="dxa"/>
            <w:left w:w="108" w:type="dxa"/>
            <w:bottom w:w="0" w:type="dxa"/>
            <w:right w:w="108" w:type="dxa"/>
          </w:tblCellMar>
        </w:tblPrEx>
        <w:trPr>
          <w:trHeight w:val="90" w:hRule="atLeast"/>
          <w:jc w:val="center"/>
        </w:trPr>
        <w:tc>
          <w:tcPr>
            <w:tcW w:w="858" w:type="dxa"/>
            <w:tcBorders>
              <w:bottom w:val="single" w:color="000000" w:sz="4" w:space="0"/>
            </w:tcBorders>
            <w:noWrap w:val="0"/>
            <w:vAlign w:val="top"/>
          </w:tcPr>
          <w:p>
            <w:pPr>
              <w:autoSpaceDN w:val="0"/>
              <w:jc w:val="left"/>
              <w:textAlignment w:val="center"/>
              <w:rPr>
                <w:rFonts w:eastAsia="华文细黑"/>
                <w:color w:val="000000"/>
                <w:sz w:val="20"/>
              </w:rPr>
            </w:pPr>
          </w:p>
        </w:tc>
        <w:tc>
          <w:tcPr>
            <w:tcW w:w="5490" w:type="dxa"/>
            <w:gridSpan w:val="10"/>
            <w:tcBorders>
              <w:bottom w:val="single" w:color="000000" w:sz="4" w:space="0"/>
            </w:tcBorders>
            <w:noWrap w:val="0"/>
            <w:vAlign w:val="center"/>
          </w:tcPr>
          <w:p>
            <w:pPr>
              <w:autoSpaceDN w:val="0"/>
              <w:jc w:val="left"/>
              <w:textAlignment w:val="center"/>
              <w:rPr>
                <w:rFonts w:eastAsia="华文细黑"/>
                <w:color w:val="000000"/>
                <w:sz w:val="20"/>
              </w:rPr>
            </w:pPr>
          </w:p>
        </w:tc>
        <w:tc>
          <w:tcPr>
            <w:tcW w:w="795" w:type="dxa"/>
            <w:noWrap w:val="0"/>
            <w:vAlign w:val="center"/>
          </w:tcPr>
          <w:p>
            <w:pPr>
              <w:autoSpaceDN w:val="0"/>
              <w:jc w:val="left"/>
              <w:textAlignment w:val="center"/>
              <w:rPr>
                <w:rFonts w:eastAsia="华文细黑"/>
                <w:color w:val="000000"/>
                <w:sz w:val="20"/>
              </w:rPr>
            </w:pPr>
          </w:p>
        </w:tc>
        <w:tc>
          <w:tcPr>
            <w:tcW w:w="690" w:type="dxa"/>
            <w:noWrap w:val="0"/>
            <w:vAlign w:val="center"/>
          </w:tcPr>
          <w:p>
            <w:pPr>
              <w:autoSpaceDN w:val="0"/>
              <w:jc w:val="left"/>
              <w:textAlignment w:val="center"/>
              <w:rPr>
                <w:rFonts w:eastAsia="华文细黑"/>
                <w:color w:val="000000"/>
                <w:sz w:val="20"/>
              </w:rPr>
            </w:pPr>
          </w:p>
        </w:tc>
        <w:tc>
          <w:tcPr>
            <w:tcW w:w="450" w:type="dxa"/>
            <w:noWrap w:val="0"/>
            <w:vAlign w:val="center"/>
          </w:tcPr>
          <w:p>
            <w:pPr>
              <w:autoSpaceDN w:val="0"/>
              <w:jc w:val="left"/>
              <w:textAlignment w:val="center"/>
              <w:rPr>
                <w:rFonts w:eastAsia="华文细黑"/>
                <w:color w:val="000000"/>
                <w:sz w:val="20"/>
              </w:rPr>
            </w:pPr>
          </w:p>
        </w:tc>
        <w:tc>
          <w:tcPr>
            <w:tcW w:w="495" w:type="dxa"/>
            <w:noWrap w:val="0"/>
            <w:vAlign w:val="bottom"/>
          </w:tcPr>
          <w:p>
            <w:pPr>
              <w:autoSpaceDN w:val="0"/>
              <w:jc w:val="right"/>
              <w:textAlignment w:val="bottom"/>
              <w:rPr>
                <w:rFonts w:eastAsia="宋体"/>
                <w:color w:val="000000"/>
                <w:sz w:val="20"/>
              </w:rPr>
            </w:pPr>
          </w:p>
        </w:tc>
        <w:tc>
          <w:tcPr>
            <w:tcW w:w="1862"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858"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w:t>
            </w:r>
          </w:p>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名称</w:t>
            </w:r>
          </w:p>
        </w:tc>
        <w:tc>
          <w:tcPr>
            <w:tcW w:w="795"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总计</w:t>
            </w:r>
          </w:p>
        </w:tc>
        <w:tc>
          <w:tcPr>
            <w:tcW w:w="5490"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本年收入</w:t>
            </w:r>
          </w:p>
        </w:tc>
        <w:tc>
          <w:tcPr>
            <w:tcW w:w="3497"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858"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p>
        </w:tc>
        <w:tc>
          <w:tcPr>
            <w:tcW w:w="795"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p>
        </w:tc>
        <w:tc>
          <w:tcPr>
            <w:tcW w:w="765"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605"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收入</w:t>
            </w:r>
          </w:p>
        </w:tc>
        <w:tc>
          <w:tcPr>
            <w:tcW w:w="465"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655"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单位资金收入</w:t>
            </w:r>
          </w:p>
        </w:tc>
        <w:tc>
          <w:tcPr>
            <w:tcW w:w="690"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410"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财政拨款结转</w:t>
            </w:r>
          </w:p>
        </w:tc>
        <w:tc>
          <w:tcPr>
            <w:tcW w:w="1397"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8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rPr>
            </w:pPr>
          </w:p>
        </w:tc>
        <w:tc>
          <w:tcPr>
            <w:tcW w:w="79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76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0"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6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9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46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5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87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1005" w:hRule="atLeast"/>
          <w:jc w:val="center"/>
        </w:trPr>
        <w:tc>
          <w:tcPr>
            <w:tcW w:w="858" w:type="dxa"/>
            <w:tcBorders>
              <w:top w:val="single" w:color="000000" w:sz="4" w:space="0"/>
              <w:left w:val="single" w:color="000000" w:sz="4" w:space="0"/>
              <w:bottom w:val="single" w:color="000000" w:sz="4" w:space="0"/>
            </w:tcBorders>
            <w:shd w:val="solid" w:color="FFFFFF" w:fill="auto"/>
            <w:noWrap w:val="0"/>
            <w:vAlign w:val="center"/>
          </w:tcPr>
          <w:p>
            <w:pPr>
              <w:widowControl/>
              <w:jc w:val="center"/>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四平市统计局（本级）</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val="en-US" w:eastAsia="zh-CN"/>
              </w:rPr>
              <w:t>689.70</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val="en-US" w:eastAsia="zh-CN"/>
              </w:rPr>
              <w:t>669.70</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val="en-US" w:eastAsia="zh-CN"/>
              </w:rPr>
              <w:t>483.47</w:t>
            </w:r>
          </w:p>
        </w:tc>
        <w:tc>
          <w:tcPr>
            <w:tcW w:w="42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val="en-US" w:eastAsia="zh-CN"/>
              </w:rPr>
              <w:t>186.23</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val="en-US" w:eastAsia="zh-CN"/>
              </w:rPr>
              <w:t>20.00</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p>
        </w:tc>
        <w:tc>
          <w:tcPr>
            <w:tcW w:w="8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val="en-US" w:eastAsia="zh-CN"/>
              </w:rPr>
              <w:t>20.00</w:t>
            </w:r>
          </w:p>
        </w:tc>
      </w:tr>
      <w:tr>
        <w:tblPrEx>
          <w:tblCellMar>
            <w:top w:w="0" w:type="dxa"/>
            <w:left w:w="108" w:type="dxa"/>
            <w:bottom w:w="0" w:type="dxa"/>
            <w:right w:w="108" w:type="dxa"/>
          </w:tblCellMar>
        </w:tblPrEx>
        <w:trPr>
          <w:trHeight w:val="980" w:hRule="atLeast"/>
          <w:jc w:val="center"/>
        </w:trPr>
        <w:tc>
          <w:tcPr>
            <w:tcW w:w="858"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sz w:val="18"/>
                <w:szCs w:val="18"/>
                <w:shd w:val="clear" w:color="auto" w:fill="FFFFFF"/>
              </w:rPr>
            </w:pPr>
            <w:r>
              <w:rPr>
                <w:rFonts w:hint="eastAsia" w:ascii="宋体" w:hAnsi="宋体" w:eastAsia="宋体" w:cs="宋体"/>
                <w:kern w:val="0"/>
                <w:sz w:val="18"/>
                <w:szCs w:val="18"/>
              </w:rPr>
              <w:t>合计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sz w:val="18"/>
                <w:szCs w:val="18"/>
                <w:shd w:val="clear" w:color="auto" w:fill="FFFFFF"/>
                <w:lang w:val="en-US" w:eastAsia="zh-CN"/>
              </w:rPr>
              <w:t>689.70</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sz w:val="18"/>
                <w:szCs w:val="18"/>
                <w:shd w:val="clear" w:color="auto" w:fill="FFFFFF"/>
                <w:lang w:val="en-US" w:eastAsia="zh-CN"/>
              </w:rPr>
              <w:t>669.70</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sz w:val="18"/>
                <w:szCs w:val="18"/>
                <w:shd w:val="clear" w:color="auto" w:fill="FFFFFF"/>
                <w:lang w:val="en-US" w:eastAsia="zh-CN"/>
              </w:rPr>
              <w:t>483.47</w:t>
            </w:r>
          </w:p>
        </w:tc>
        <w:tc>
          <w:tcPr>
            <w:tcW w:w="42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4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sz w:val="18"/>
                <w:szCs w:val="18"/>
                <w:shd w:val="clear" w:color="auto" w:fill="FFFFFF"/>
                <w:lang w:val="en-US" w:eastAsia="zh-CN"/>
              </w:rPr>
              <w:t>186.23</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sz w:val="18"/>
                <w:szCs w:val="18"/>
                <w:shd w:val="clear" w:color="auto" w:fill="FFFFFF"/>
                <w:lang w:val="en-US" w:eastAsia="zh-CN"/>
              </w:rPr>
              <w:t>20.00</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eastAsia" w:ascii="宋体" w:hAnsi="宋体" w:eastAsia="宋体" w:cs="宋体"/>
                <w:color w:val="000000"/>
                <w:kern w:val="2"/>
                <w:sz w:val="18"/>
                <w:szCs w:val="18"/>
                <w:shd w:val="clear" w:color="auto" w:fill="FFFFFF"/>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hint="default" w:ascii="宋体" w:hAnsi="宋体" w:eastAsia="宋体" w:cs="宋体"/>
                <w:color w:val="000000"/>
                <w:kern w:val="2"/>
                <w:sz w:val="18"/>
                <w:szCs w:val="18"/>
                <w:shd w:val="clear" w:color="auto" w:fill="FFFFFF"/>
                <w:lang w:val="en-US" w:eastAsia="zh-CN" w:bidi="ar-SA"/>
              </w:rPr>
            </w:pPr>
            <w:r>
              <w:rPr>
                <w:rFonts w:hint="eastAsia" w:ascii="宋体" w:hAnsi="宋体" w:eastAsia="宋体" w:cs="宋体"/>
                <w:color w:val="000000"/>
                <w:sz w:val="18"/>
                <w:szCs w:val="18"/>
                <w:shd w:val="clear" w:color="auto" w:fill="FFFFFF"/>
                <w:lang w:val="en-US" w:eastAsia="zh-CN"/>
              </w:rPr>
              <w:t>20.00</w:t>
            </w:r>
          </w:p>
        </w:tc>
      </w:tr>
    </w:tbl>
    <w:p>
      <w:pPr>
        <w:rPr>
          <w:rFonts w:hAnsi="楷体" w:eastAsia="楷体"/>
        </w:rPr>
      </w:pPr>
    </w:p>
    <w:p>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0005" w:type="dxa"/>
              <w:tblInd w:w="145" w:type="dxa"/>
              <w:tblLayout w:type="fixed"/>
              <w:tblCellMar>
                <w:top w:w="15" w:type="dxa"/>
                <w:left w:w="15" w:type="dxa"/>
                <w:bottom w:w="15" w:type="dxa"/>
                <w:right w:w="15" w:type="dxa"/>
              </w:tblCellMar>
            </w:tblPr>
            <w:tblGrid>
              <w:gridCol w:w="3690"/>
              <w:gridCol w:w="1065"/>
              <w:gridCol w:w="1170"/>
              <w:gridCol w:w="1020"/>
              <w:gridCol w:w="1065"/>
              <w:gridCol w:w="915"/>
              <w:gridCol w:w="1080"/>
            </w:tblGrid>
            <w:tr>
              <w:tblPrEx>
                <w:tblCellMar>
                  <w:top w:w="15" w:type="dxa"/>
                  <w:left w:w="15" w:type="dxa"/>
                  <w:bottom w:w="15" w:type="dxa"/>
                  <w:right w:w="15" w:type="dxa"/>
                </w:tblCellMar>
              </w:tblPrEx>
              <w:trPr>
                <w:trHeight w:val="636" w:hRule="atLeast"/>
              </w:trPr>
              <w:tc>
                <w:tcPr>
                  <w:tcW w:w="6945" w:type="dxa"/>
                  <w:gridSpan w:val="4"/>
                  <w:tcBorders>
                    <w:bottom w:val="single" w:color="000000" w:sz="4" w:space="0"/>
                  </w:tcBorders>
                  <w:noWrap w:val="0"/>
                  <w:vAlign w:val="center"/>
                </w:tcPr>
                <w:p>
                  <w:pPr>
                    <w:widowControl/>
                    <w:jc w:val="left"/>
                    <w:rPr>
                      <w:rFonts w:hint="eastAsia" w:ascii="宋体" w:hAnsi="宋体" w:eastAsia="宋体" w:cs="宋体"/>
                      <w:color w:val="000000"/>
                      <w:kern w:val="0"/>
                      <w:sz w:val="20"/>
                    </w:rPr>
                  </w:pPr>
                </w:p>
              </w:tc>
              <w:tc>
                <w:tcPr>
                  <w:tcW w:w="1065" w:type="dxa"/>
                  <w:tcBorders>
                    <w:bottom w:val="single" w:color="000000" w:sz="4" w:space="0"/>
                  </w:tcBorders>
                  <w:noWrap w:val="0"/>
                  <w:vAlign w:val="center"/>
                </w:tcPr>
                <w:p>
                  <w:pPr>
                    <w:widowControl/>
                    <w:jc w:val="right"/>
                    <w:rPr>
                      <w:rFonts w:hint="eastAsia" w:ascii="宋体" w:hAnsi="宋体" w:eastAsia="宋体" w:cs="宋体"/>
                      <w:color w:val="000000"/>
                      <w:kern w:val="0"/>
                      <w:sz w:val="20"/>
                    </w:rPr>
                  </w:pPr>
                </w:p>
              </w:tc>
              <w:tc>
                <w:tcPr>
                  <w:tcW w:w="915" w:type="dxa"/>
                  <w:tcBorders>
                    <w:bottom w:val="single" w:color="000000" w:sz="4" w:space="0"/>
                  </w:tcBorders>
                  <w:noWrap w:val="0"/>
                  <w:vAlign w:val="center"/>
                </w:tcPr>
                <w:p>
                  <w:pPr>
                    <w:widowControl/>
                    <w:jc w:val="right"/>
                    <w:rPr>
                      <w:rFonts w:hint="eastAsia" w:ascii="宋体" w:hAnsi="宋体" w:eastAsia="宋体" w:cs="宋体"/>
                      <w:color w:val="000000"/>
                      <w:kern w:val="0"/>
                      <w:sz w:val="20"/>
                    </w:rPr>
                  </w:pPr>
                </w:p>
              </w:tc>
              <w:tc>
                <w:tcPr>
                  <w:tcW w:w="1080" w:type="dxa"/>
                  <w:tcBorders>
                    <w:bottom w:val="single" w:color="000000" w:sz="4" w:space="0"/>
                  </w:tcBorders>
                  <w:noWrap w:val="0"/>
                  <w:vAlign w:val="bottom"/>
                </w:tcPr>
                <w:p>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tblPrEx>
                <w:tblCellMar>
                  <w:top w:w="15" w:type="dxa"/>
                  <w:left w:w="15" w:type="dxa"/>
                  <w:bottom w:w="15" w:type="dxa"/>
                  <w:right w:w="15" w:type="dxa"/>
                </w:tblCellMar>
              </w:tblPrEx>
              <w:trPr>
                <w:trHeight w:val="996" w:hRule="atLeast"/>
              </w:trPr>
              <w:tc>
                <w:tcPr>
                  <w:tcW w:w="3690"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065" w:type="dxa"/>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合</w:t>
                  </w:r>
                  <w:r>
                    <w:rPr>
                      <w:rFonts w:hint="eastAsia" w:ascii="宋体" w:hAnsi="宋体" w:eastAsia="宋体" w:cs="宋体"/>
                      <w:color w:val="000000"/>
                      <w:kern w:val="0"/>
                      <w:sz w:val="20"/>
                    </w:rPr>
                    <w:t>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p>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pPr>
                    <w:widowControl/>
                    <w:jc w:val="center"/>
                    <w:rPr>
                      <w:rFonts w:hint="eastAsia" w:ascii="宋体" w:hAnsi="宋体" w:eastAsia="宋体" w:cs="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                                            上级                                                         支出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                                           单位补                                      助支出</w:t>
                  </w: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558.08</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270.94</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统计信息事务</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558.08</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270.94</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行政运行</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64.71</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64.71</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专项普查活动</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206.23</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206.23</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行政单位离退休</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38.83</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38.83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33.53</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33.53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行政单位医疗</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住房改革支出</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住房公积金</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cantSplit/>
                <w:trHeight w:val="567" w:hRule="atLeast"/>
              </w:trPr>
              <w:tc>
                <w:tcPr>
                  <w:tcW w:w="3690"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689.70</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418.76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270.94</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9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bl>
          <w:p>
            <w:pPr>
              <w:widowControl/>
              <w:jc w:val="center"/>
              <w:rPr>
                <w:rFonts w:eastAsia="方正小标宋简体"/>
                <w:kern w:val="0"/>
                <w:sz w:val="44"/>
                <w:szCs w:val="44"/>
              </w:rPr>
            </w:pPr>
          </w:p>
        </w:tc>
      </w:tr>
      <w:tr>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color w:val="000000"/>
                      <w:kern w:val="0"/>
                      <w:sz w:val="20"/>
                    </w:rPr>
                  </w:pPr>
                  <w:r>
                    <w:rPr>
                      <w:rFonts w:hint="eastAsia" w:ascii="宋体" w:hAnsi="宋体" w:eastAsia="宋体" w:cs="宋体"/>
                      <w:color w:val="000000"/>
                      <w:kern w:val="0"/>
                      <w:sz w:val="20"/>
                      <w:szCs w:val="20"/>
                      <w:lang w:eastAsia="zh-CN"/>
                    </w:rPr>
                    <w:t>（一）</w:t>
                  </w:r>
                  <w:r>
                    <w:rPr>
                      <w:rFonts w:hint="eastAsia" w:ascii="宋体" w:hAnsi="宋体" w:eastAsia="宋体" w:cs="宋体"/>
                      <w:color w:val="000000"/>
                      <w:kern w:val="0"/>
                      <w:sz w:val="20"/>
                      <w:szCs w:val="20"/>
                    </w:rPr>
                    <w:t>一般公共服务</w:t>
                  </w:r>
                  <w:r>
                    <w:rPr>
                      <w:rFonts w:hint="eastAsia" w:ascii="宋体" w:hAnsi="宋体" w:eastAsia="宋体" w:cs="宋体"/>
                      <w:color w:val="000000"/>
                      <w:kern w:val="0"/>
                      <w:sz w:val="20"/>
                      <w:szCs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351.85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351.85</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二</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三</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hint="eastAsia" w:ascii="宋体" w:hAnsi="宋体" w:eastAsia="宋体" w:cs="宋体"/>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hint="eastAsia" w:ascii="宋体" w:hAnsi="宋体" w:eastAsia="宋体" w:cs="宋体"/>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hint="eastAsia" w:ascii="宋体" w:hAnsi="宋体" w:eastAsia="宋体" w:cs="宋体"/>
                      <w:sz w:val="20"/>
                      <w:szCs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hint="eastAsia" w:ascii="宋体" w:hAnsi="宋体" w:eastAsia="宋体" w:cs="宋体"/>
                      <w:kern w:val="0"/>
                      <w:sz w:val="20"/>
                      <w:szCs w:val="20"/>
                    </w:rPr>
                  </w:pPr>
                </w:p>
              </w:tc>
            </w:tr>
          </w:tbl>
          <w:p>
            <w:pPr>
              <w:widowControl/>
              <w:rPr>
                <w:rFonts w:eastAsia="方正小标宋简体"/>
                <w:kern w:val="0"/>
                <w:sz w:val="44"/>
                <w:szCs w:val="44"/>
              </w:rPr>
            </w:pPr>
          </w:p>
        </w:tc>
      </w:tr>
    </w:tbl>
    <w:p>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587" w:type="dxa"/>
              <w:tblLayout w:type="fixed"/>
              <w:tblCellMar>
                <w:top w:w="15" w:type="dxa"/>
                <w:left w:w="15" w:type="dxa"/>
                <w:bottom w:w="15" w:type="dxa"/>
                <w:right w:w="15" w:type="dxa"/>
              </w:tblCellMar>
            </w:tblPr>
            <w:tblGrid>
              <w:gridCol w:w="2838"/>
              <w:gridCol w:w="1134"/>
              <w:gridCol w:w="1134"/>
              <w:gridCol w:w="1134"/>
              <w:gridCol w:w="1134"/>
              <w:gridCol w:w="1701"/>
            </w:tblGrid>
            <w:tr>
              <w:tblPrEx>
                <w:tblCellMar>
                  <w:top w:w="15" w:type="dxa"/>
                  <w:left w:w="15" w:type="dxa"/>
                  <w:bottom w:w="15" w:type="dxa"/>
                  <w:right w:w="15" w:type="dxa"/>
                </w:tblCellMar>
              </w:tblPrEx>
              <w:trPr>
                <w:trHeight w:val="390" w:hRule="atLeast"/>
              </w:trPr>
              <w:tc>
                <w:tcPr>
                  <w:tcW w:w="9075"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tblPrEx>
                <w:tblCellMar>
                  <w:top w:w="15" w:type="dxa"/>
                  <w:left w:w="15" w:type="dxa"/>
                  <w:bottom w:w="15" w:type="dxa"/>
                  <w:right w:w="15" w:type="dxa"/>
                </w:tblCellMar>
              </w:tblPrEx>
              <w:trPr>
                <w:trHeight w:val="390" w:hRule="atLeast"/>
              </w:trPr>
              <w:tc>
                <w:tcPr>
                  <w:tcW w:w="2838"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tblPrEx>
                <w:tblCellMar>
                  <w:top w:w="15" w:type="dxa"/>
                  <w:left w:w="15" w:type="dxa"/>
                  <w:bottom w:w="15" w:type="dxa"/>
                  <w:right w:w="15" w:type="dxa"/>
                </w:tblCellMar>
              </w:tblPrEx>
              <w:trPr>
                <w:trHeight w:val="281" w:hRule="atLeast"/>
              </w:trPr>
              <w:tc>
                <w:tcPr>
                  <w:tcW w:w="2838"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630" w:hRule="atLeast"/>
              </w:trPr>
              <w:tc>
                <w:tcPr>
                  <w:tcW w:w="2838"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rPr>
                      <w:rFonts w:hint="eastAsia" w:ascii="宋体" w:hAnsi="宋体" w:eastAsia="宋体" w:cs="宋体"/>
                      <w:color w:val="000000"/>
                      <w:kern w:val="0"/>
                      <w:sz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351.85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61.47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64.71</w:t>
                  </w: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351.85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61.47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64.71</w:t>
                  </w: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61.47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64.71</w:t>
                  </w: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600" w:firstLineChars="300"/>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CellMar>
                  <w:top w:w="15" w:type="dxa"/>
                  <w:left w:w="15" w:type="dxa"/>
                  <w:bottom w:w="15" w:type="dxa"/>
                  <w:right w:w="15" w:type="dxa"/>
                </w:tblCellMar>
              </w:tblPrEx>
              <w:trPr>
                <w:trHeight w:val="567" w:hRule="exact"/>
              </w:trPr>
              <w:tc>
                <w:tcPr>
                  <w:tcW w:w="2838"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483.47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418.76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357.29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61.47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64.71</w:t>
                  </w:r>
                </w:p>
              </w:tc>
            </w:tr>
          </w:tbl>
          <w:p>
            <w:pPr>
              <w:widowControl/>
              <w:jc w:val="center"/>
              <w:rPr>
                <w:rFonts w:eastAsia="方正小标宋简体"/>
                <w:kern w:val="0"/>
                <w:sz w:val="44"/>
                <w:szCs w:val="44"/>
              </w:rPr>
            </w:pPr>
          </w:p>
        </w:tc>
      </w:tr>
    </w:tbl>
    <w:p>
      <w:pPr>
        <w:ind w:firstLine="640" w:firstLineChars="200"/>
      </w:pPr>
    </w:p>
    <w:tbl>
      <w:tblPr>
        <w:tblStyle w:val="9"/>
        <w:tblW w:w="0" w:type="auto"/>
        <w:jc w:val="center"/>
        <w:tblLayout w:type="fixed"/>
        <w:tblCellMar>
          <w:top w:w="0" w:type="dxa"/>
          <w:left w:w="108" w:type="dxa"/>
          <w:bottom w:w="0" w:type="dxa"/>
          <w:right w:w="108" w:type="dxa"/>
        </w:tblCellMar>
      </w:tblPr>
      <w:tblGrid>
        <w:gridCol w:w="3356"/>
        <w:gridCol w:w="2040"/>
        <w:gridCol w:w="373"/>
        <w:gridCol w:w="1331"/>
        <w:gridCol w:w="1831"/>
        <w:gridCol w:w="209"/>
      </w:tblGrid>
      <w:tr>
        <w:tblPrEx>
          <w:tblCellMar>
            <w:top w:w="0" w:type="dxa"/>
            <w:left w:w="108" w:type="dxa"/>
            <w:bottom w:w="0" w:type="dxa"/>
            <w:right w:w="108" w:type="dxa"/>
          </w:tblCellMar>
        </w:tblPrEx>
        <w:trPr>
          <w:gridAfter w:val="1"/>
          <w:wAfter w:w="209" w:type="dxa"/>
          <w:trHeight w:val="767" w:hRule="atLeast"/>
          <w:jc w:val="center"/>
        </w:trPr>
        <w:tc>
          <w:tcPr>
            <w:tcW w:w="8931" w:type="dxa"/>
            <w:gridSpan w:val="5"/>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gridAfter w:val="1"/>
          <w:wAfter w:w="209" w:type="dxa"/>
          <w:trHeight w:val="390" w:hRule="atLeast"/>
          <w:jc w:val="center"/>
        </w:trPr>
        <w:tc>
          <w:tcPr>
            <w:tcW w:w="3356" w:type="dxa"/>
            <w:tcBorders>
              <w:top w:val="nil"/>
              <w:left w:val="nil"/>
              <w:bottom w:val="single" w:color="auto" w:sz="4"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040" w:type="dxa"/>
            <w:tcBorders>
              <w:top w:val="nil"/>
              <w:left w:val="nil"/>
              <w:bottom w:val="single" w:color="auto" w:sz="4" w:space="0"/>
              <w:right w:val="nil"/>
            </w:tcBorders>
            <w:noWrap w:val="0"/>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35" w:type="dxa"/>
            <w:gridSpan w:val="3"/>
            <w:tcBorders>
              <w:top w:val="nil"/>
              <w:left w:val="nil"/>
              <w:bottom w:val="single" w:color="auto" w:sz="4" w:space="0"/>
              <w:right w:val="nil"/>
            </w:tcBorders>
            <w:noWrap w:val="0"/>
            <w:vAlign w:val="bottom"/>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单位：万元</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204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04" w:type="dxa"/>
            <w:gridSpan w:val="2"/>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一、工资福利支出</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317.53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317.53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106.63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59.67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51.39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33.53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10.66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20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0.33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0.33</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3.76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3.76</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其他工资福利支出</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二、商品和服务支出</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59.92</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59.92</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印刷费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3.30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3.30</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邮电费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差旅费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3.03</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租赁费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0.43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0.43</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0.35</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0.82</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0.82</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劳务费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工会经费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3.33</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3.06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3.06</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其他交通费用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16.48</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16.48</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21.28</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21.28</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39.76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39.76</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退休费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38.83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38.83</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0.93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0.93</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四、资本性支出</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办公设备购置</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w:t>
            </w:r>
          </w:p>
        </w:tc>
      </w:tr>
      <w:tr>
        <w:tblPrEx>
          <w:tblCellMar>
            <w:top w:w="0" w:type="dxa"/>
            <w:left w:w="108" w:type="dxa"/>
            <w:bottom w:w="0" w:type="dxa"/>
            <w:right w:w="108" w:type="dxa"/>
          </w:tblCellMar>
        </w:tblPrEx>
        <w:trPr>
          <w:gridAfter w:val="1"/>
          <w:wAfter w:w="209" w:type="dxa"/>
          <w:trHeight w:val="346" w:hRule="exact"/>
          <w:jc w:val="center"/>
        </w:trPr>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00" w:firstLineChars="1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418.76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357.29</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61.47</w:t>
            </w:r>
          </w:p>
        </w:tc>
      </w:tr>
      <w:tr>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0"/>
            <w:vAlign w:val="bottom"/>
          </w:tcPr>
          <w:p>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3.06</w:t>
            </w:r>
          </w:p>
        </w:tc>
      </w:tr>
      <w:tr>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3.06</w:t>
            </w:r>
          </w:p>
        </w:tc>
      </w:tr>
      <w:tr>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3.06</w:t>
            </w:r>
          </w:p>
        </w:tc>
      </w:tr>
      <w:tr>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bl>
    <w:p>
      <w:pPr>
        <w:spacing w:line="700" w:lineRule="exact"/>
        <w:rPr>
          <w:rFonts w:hint="eastAsia" w:ascii="仿宋" w:hAnsi="仿宋" w:eastAsia="仿宋" w:cs="仿宋"/>
          <w:kern w:val="0"/>
          <w:sz w:val="20"/>
          <w:szCs w:val="20"/>
        </w:rPr>
      </w:pPr>
      <w:r>
        <w:rPr>
          <w:rFonts w:hint="eastAsia" w:ascii="仿宋_GB2312" w:hAnsi="仿宋_GB2312" w:eastAsia="仿宋_GB2312" w:cs="仿宋_GB2312"/>
          <w:kern w:val="0"/>
          <w:sz w:val="20"/>
          <w:szCs w:val="20"/>
        </w:rPr>
        <w:t>说明：本单位202</w:t>
      </w:r>
      <w:r>
        <w:rPr>
          <w:rFonts w:hint="eastAsia" w:ascii="仿宋_GB2312" w:hAnsi="仿宋_GB2312" w:cs="仿宋_GB2312"/>
          <w:kern w:val="0"/>
          <w:sz w:val="20"/>
          <w:szCs w:val="20"/>
          <w:lang w:val="en-US" w:eastAsia="zh-CN"/>
        </w:rPr>
        <w:t>6</w:t>
      </w:r>
      <w:r>
        <w:rPr>
          <w:rFonts w:hint="eastAsia" w:ascii="仿宋_GB2312" w:hAnsi="仿宋_GB2312" w:eastAsia="仿宋_GB2312" w:cs="仿宋_GB2312"/>
          <w:kern w:val="0"/>
          <w:sz w:val="20"/>
          <w:szCs w:val="20"/>
        </w:rPr>
        <w:t>年无政府性基金预算支出预算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宋体" w:hAnsi="宋体" w:eastAsia="宋体" w:cs="宋体"/>
                <w:color w:val="000000"/>
                <w:kern w:val="0"/>
                <w:sz w:val="20"/>
              </w:rPr>
            </w:pPr>
          </w:p>
        </w:tc>
      </w:tr>
    </w:tbl>
    <w:p>
      <w:pPr>
        <w:spacing w:line="700" w:lineRule="exact"/>
        <w:rPr>
          <w:rFonts w:eastAsia="楷体"/>
          <w:kern w:val="0"/>
          <w:szCs w:val="32"/>
        </w:rPr>
      </w:pPr>
    </w:p>
    <w:p>
      <w:pPr>
        <w:spacing w:line="7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说明：本单位202</w:t>
      </w:r>
      <w:r>
        <w:rPr>
          <w:rFonts w:hint="eastAsia" w:ascii="仿宋_GB2312" w:hAnsi="仿宋_GB2312" w:cs="仿宋_GB2312"/>
          <w:kern w:val="0"/>
          <w:sz w:val="20"/>
          <w:szCs w:val="20"/>
          <w:lang w:val="en-US" w:eastAsia="zh-CN"/>
        </w:rPr>
        <w:t>6</w:t>
      </w:r>
      <w:r>
        <w:rPr>
          <w:rFonts w:hint="eastAsia" w:ascii="仿宋_GB2312" w:hAnsi="仿宋_GB2312" w:eastAsia="仿宋_GB2312" w:cs="仿宋_GB2312"/>
          <w:kern w:val="0"/>
          <w:sz w:val="20"/>
          <w:szCs w:val="20"/>
        </w:rPr>
        <w:t>年无国有资本经营预算支出预算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773"/>
        <w:gridCol w:w="982"/>
        <w:gridCol w:w="975"/>
        <w:gridCol w:w="885"/>
        <w:gridCol w:w="720"/>
        <w:gridCol w:w="480"/>
        <w:gridCol w:w="495"/>
        <w:gridCol w:w="420"/>
        <w:gridCol w:w="855"/>
        <w:gridCol w:w="495"/>
        <w:gridCol w:w="420"/>
        <w:gridCol w:w="435"/>
        <w:gridCol w:w="435"/>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231" w:type="dxa"/>
            <w:gridSpan w:val="15"/>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3" w:type="dxa"/>
            <w:tcBorders>
              <w:top w:val="nil"/>
              <w:left w:val="nil"/>
              <w:right w:val="nil"/>
            </w:tcBorders>
            <w:noWrap w:val="0"/>
            <w:vAlign w:val="center"/>
          </w:tcPr>
          <w:p>
            <w:pPr>
              <w:autoSpaceDN w:val="0"/>
              <w:jc w:val="center"/>
              <w:textAlignment w:val="center"/>
              <w:rPr>
                <w:rFonts w:hint="eastAsia" w:ascii="宋体" w:hAnsi="宋体" w:eastAsia="宋体" w:cs="宋体"/>
                <w:color w:val="000000"/>
                <w:sz w:val="20"/>
                <w:szCs w:val="20"/>
              </w:rPr>
            </w:pPr>
          </w:p>
          <w:p>
            <w:pPr>
              <w:autoSpaceDN w:val="0"/>
              <w:jc w:val="center"/>
              <w:textAlignment w:val="center"/>
              <w:rPr>
                <w:rFonts w:hint="eastAsia" w:ascii="宋体" w:hAnsi="宋体" w:eastAsia="宋体" w:cs="宋体"/>
                <w:color w:val="000000"/>
                <w:sz w:val="20"/>
                <w:szCs w:val="20"/>
              </w:rPr>
            </w:pPr>
          </w:p>
        </w:tc>
        <w:tc>
          <w:tcPr>
            <w:tcW w:w="773" w:type="dxa"/>
            <w:tcBorders>
              <w:top w:val="nil"/>
              <w:left w:val="nil"/>
              <w:right w:val="nil"/>
            </w:tcBorders>
            <w:noWrap w:val="0"/>
            <w:vAlign w:val="center"/>
          </w:tcPr>
          <w:p>
            <w:pPr>
              <w:autoSpaceDN w:val="0"/>
              <w:jc w:val="center"/>
              <w:textAlignment w:val="center"/>
              <w:rPr>
                <w:rFonts w:hint="eastAsia" w:ascii="宋体" w:hAnsi="宋体" w:eastAsia="宋体" w:cs="宋体"/>
                <w:color w:val="000000"/>
                <w:sz w:val="20"/>
                <w:szCs w:val="20"/>
              </w:rPr>
            </w:pPr>
          </w:p>
        </w:tc>
        <w:tc>
          <w:tcPr>
            <w:tcW w:w="982" w:type="dxa"/>
            <w:tcBorders>
              <w:top w:val="nil"/>
              <w:left w:val="nil"/>
              <w:right w:val="nil"/>
            </w:tcBorders>
            <w:noWrap w:val="0"/>
            <w:vAlign w:val="center"/>
          </w:tcPr>
          <w:p>
            <w:pPr>
              <w:autoSpaceDN w:val="0"/>
              <w:jc w:val="center"/>
              <w:textAlignment w:val="center"/>
              <w:rPr>
                <w:rFonts w:hint="eastAsia" w:ascii="宋体" w:hAnsi="宋体" w:eastAsia="宋体" w:cs="宋体"/>
                <w:color w:val="000000"/>
                <w:sz w:val="20"/>
                <w:szCs w:val="20"/>
              </w:rPr>
            </w:pPr>
          </w:p>
        </w:tc>
        <w:tc>
          <w:tcPr>
            <w:tcW w:w="975" w:type="dxa"/>
            <w:tcBorders>
              <w:top w:val="nil"/>
              <w:left w:val="nil"/>
              <w:right w:val="nil"/>
            </w:tcBorders>
            <w:noWrap w:val="0"/>
            <w:vAlign w:val="center"/>
          </w:tcPr>
          <w:p>
            <w:pPr>
              <w:autoSpaceDN w:val="0"/>
              <w:jc w:val="center"/>
              <w:textAlignment w:val="center"/>
              <w:rPr>
                <w:rFonts w:hint="eastAsia" w:ascii="宋体" w:hAnsi="宋体" w:eastAsia="宋体" w:cs="宋体"/>
                <w:color w:val="000000"/>
                <w:sz w:val="20"/>
                <w:szCs w:val="20"/>
              </w:rPr>
            </w:pPr>
          </w:p>
        </w:tc>
        <w:tc>
          <w:tcPr>
            <w:tcW w:w="885" w:type="dxa"/>
            <w:tcBorders>
              <w:top w:val="nil"/>
              <w:left w:val="nil"/>
              <w:right w:val="nil"/>
            </w:tcBorders>
            <w:noWrap w:val="0"/>
            <w:vAlign w:val="center"/>
          </w:tcPr>
          <w:p>
            <w:pPr>
              <w:autoSpaceDN w:val="0"/>
              <w:jc w:val="center"/>
              <w:textAlignment w:val="center"/>
              <w:rPr>
                <w:rFonts w:hint="eastAsia" w:ascii="宋体" w:hAnsi="宋体" w:eastAsia="宋体" w:cs="宋体"/>
                <w:color w:val="000000"/>
                <w:sz w:val="20"/>
                <w:szCs w:val="20"/>
              </w:rPr>
            </w:pPr>
          </w:p>
        </w:tc>
        <w:tc>
          <w:tcPr>
            <w:tcW w:w="2970" w:type="dxa"/>
            <w:gridSpan w:val="5"/>
            <w:tcBorders>
              <w:top w:val="nil"/>
              <w:left w:val="nil"/>
              <w:right w:val="nil"/>
            </w:tcBorders>
            <w:noWrap w:val="0"/>
            <w:vAlign w:val="center"/>
          </w:tcPr>
          <w:p>
            <w:pPr>
              <w:autoSpaceDN w:val="0"/>
              <w:jc w:val="center"/>
              <w:textAlignment w:val="center"/>
              <w:rPr>
                <w:rFonts w:hint="eastAsia" w:ascii="宋体" w:hAnsi="宋体" w:eastAsia="宋体" w:cs="宋体"/>
                <w:color w:val="000000"/>
                <w:sz w:val="20"/>
                <w:szCs w:val="20"/>
              </w:rPr>
            </w:pPr>
          </w:p>
        </w:tc>
        <w:tc>
          <w:tcPr>
            <w:tcW w:w="2603" w:type="dxa"/>
            <w:gridSpan w:val="5"/>
            <w:tcBorders>
              <w:top w:val="nil"/>
              <w:left w:val="nil"/>
              <w:right w:val="nil"/>
            </w:tcBorders>
            <w:noWrap w:val="0"/>
            <w:vAlign w:val="bottom"/>
          </w:tcPr>
          <w:p>
            <w:pPr>
              <w:autoSpaceDN w:val="0"/>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3" w:type="dxa"/>
            <w:vMerge w:val="restart"/>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类型</w:t>
            </w:r>
          </w:p>
        </w:tc>
        <w:tc>
          <w:tcPr>
            <w:tcW w:w="1755" w:type="dxa"/>
            <w:gridSpan w:val="2"/>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975"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单位名称</w:t>
            </w:r>
          </w:p>
        </w:tc>
        <w:tc>
          <w:tcPr>
            <w:tcW w:w="885" w:type="dxa"/>
            <w:vMerge w:val="restart"/>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2970" w:type="dxa"/>
            <w:gridSpan w:val="5"/>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本年预算</w:t>
            </w:r>
          </w:p>
        </w:tc>
        <w:tc>
          <w:tcPr>
            <w:tcW w:w="2603" w:type="dxa"/>
            <w:gridSpan w:val="5"/>
            <w:noWrap w:val="0"/>
            <w:vAlign w:val="center"/>
          </w:tcPr>
          <w:p>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3" w:type="dxa"/>
            <w:vMerge w:val="continue"/>
            <w:noWrap w:val="0"/>
            <w:vAlign w:val="center"/>
          </w:tcPr>
          <w:p>
            <w:pPr>
              <w:autoSpaceDN w:val="0"/>
              <w:jc w:val="center"/>
              <w:textAlignment w:val="center"/>
              <w:rPr>
                <w:rFonts w:hint="eastAsia" w:ascii="宋体" w:hAnsi="宋体" w:eastAsia="宋体" w:cs="宋体"/>
                <w:color w:val="000000"/>
                <w:sz w:val="20"/>
                <w:szCs w:val="20"/>
              </w:rPr>
            </w:pPr>
          </w:p>
        </w:tc>
        <w:tc>
          <w:tcPr>
            <w:tcW w:w="773" w:type="dxa"/>
            <w:vMerge w:val="restart"/>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一级项目</w:t>
            </w:r>
          </w:p>
        </w:tc>
        <w:tc>
          <w:tcPr>
            <w:tcW w:w="982" w:type="dxa"/>
            <w:vMerge w:val="restart"/>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二级项目</w:t>
            </w:r>
          </w:p>
        </w:tc>
        <w:tc>
          <w:tcPr>
            <w:tcW w:w="97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0"/>
                <w:lang w:eastAsia="zh-CN"/>
              </w:rPr>
            </w:pPr>
          </w:p>
        </w:tc>
        <w:tc>
          <w:tcPr>
            <w:tcW w:w="885" w:type="dxa"/>
            <w:vMerge w:val="continue"/>
            <w:noWrap w:val="0"/>
            <w:vAlign w:val="center"/>
          </w:tcPr>
          <w:p>
            <w:pPr>
              <w:autoSpaceDN w:val="0"/>
              <w:jc w:val="center"/>
              <w:textAlignment w:val="center"/>
              <w:rPr>
                <w:rFonts w:hint="eastAsia" w:ascii="宋体" w:hAnsi="宋体" w:eastAsia="宋体" w:cs="宋体"/>
                <w:color w:val="000000"/>
                <w:sz w:val="20"/>
                <w:szCs w:val="20"/>
              </w:rPr>
            </w:pPr>
          </w:p>
        </w:tc>
        <w:tc>
          <w:tcPr>
            <w:tcW w:w="1695" w:type="dxa"/>
            <w:gridSpan w:val="3"/>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w:t>
            </w:r>
          </w:p>
        </w:tc>
        <w:tc>
          <w:tcPr>
            <w:tcW w:w="420"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855" w:type="dxa"/>
            <w:vMerge w:val="restart"/>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单位资金</w:t>
            </w:r>
          </w:p>
        </w:tc>
        <w:tc>
          <w:tcPr>
            <w:tcW w:w="1350" w:type="dxa"/>
            <w:gridSpan w:val="3"/>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财政拨款结转</w:t>
            </w:r>
          </w:p>
        </w:tc>
        <w:tc>
          <w:tcPr>
            <w:tcW w:w="1253"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043" w:type="dxa"/>
            <w:vMerge w:val="continue"/>
            <w:noWrap w:val="0"/>
            <w:vAlign w:val="center"/>
          </w:tcPr>
          <w:p>
            <w:pPr>
              <w:autoSpaceDN w:val="0"/>
              <w:jc w:val="center"/>
              <w:textAlignment w:val="center"/>
              <w:rPr>
                <w:rFonts w:hint="eastAsia" w:ascii="宋体" w:hAnsi="宋体" w:eastAsia="宋体" w:cs="宋体"/>
                <w:color w:val="000000"/>
                <w:sz w:val="20"/>
                <w:szCs w:val="20"/>
              </w:rPr>
            </w:pPr>
          </w:p>
        </w:tc>
        <w:tc>
          <w:tcPr>
            <w:tcW w:w="773" w:type="dxa"/>
            <w:vMerge w:val="continue"/>
            <w:noWrap w:val="0"/>
            <w:vAlign w:val="center"/>
          </w:tcPr>
          <w:p>
            <w:pPr>
              <w:autoSpaceDN w:val="0"/>
              <w:jc w:val="center"/>
              <w:textAlignment w:val="center"/>
              <w:rPr>
                <w:rFonts w:hint="eastAsia" w:ascii="宋体" w:hAnsi="宋体" w:eastAsia="宋体" w:cs="宋体"/>
                <w:color w:val="000000"/>
                <w:sz w:val="20"/>
                <w:szCs w:val="20"/>
              </w:rPr>
            </w:pPr>
          </w:p>
        </w:tc>
        <w:tc>
          <w:tcPr>
            <w:tcW w:w="982" w:type="dxa"/>
            <w:vMerge w:val="continue"/>
            <w:noWrap w:val="0"/>
            <w:vAlign w:val="center"/>
          </w:tcPr>
          <w:p>
            <w:pPr>
              <w:autoSpaceDN w:val="0"/>
              <w:jc w:val="center"/>
              <w:textAlignment w:val="center"/>
              <w:rPr>
                <w:rFonts w:hint="eastAsia" w:ascii="宋体" w:hAnsi="宋体" w:eastAsia="宋体" w:cs="宋体"/>
                <w:color w:val="000000"/>
                <w:sz w:val="20"/>
                <w:szCs w:val="20"/>
              </w:rPr>
            </w:pPr>
          </w:p>
        </w:tc>
        <w:tc>
          <w:tcPr>
            <w:tcW w:w="975" w:type="dxa"/>
            <w:vMerge w:val="continue"/>
            <w:noWrap w:val="0"/>
            <w:vAlign w:val="center"/>
          </w:tcPr>
          <w:p>
            <w:pPr>
              <w:autoSpaceDN w:val="0"/>
              <w:jc w:val="center"/>
              <w:textAlignment w:val="center"/>
              <w:rPr>
                <w:rFonts w:hint="eastAsia" w:ascii="宋体" w:hAnsi="宋体" w:eastAsia="宋体" w:cs="宋体"/>
                <w:color w:val="000000"/>
                <w:sz w:val="20"/>
                <w:szCs w:val="20"/>
              </w:rPr>
            </w:pPr>
          </w:p>
        </w:tc>
        <w:tc>
          <w:tcPr>
            <w:tcW w:w="885" w:type="dxa"/>
            <w:vMerge w:val="continue"/>
            <w:noWrap w:val="0"/>
            <w:vAlign w:val="center"/>
          </w:tcPr>
          <w:p>
            <w:pPr>
              <w:autoSpaceDN w:val="0"/>
              <w:jc w:val="center"/>
              <w:textAlignment w:val="center"/>
              <w:rPr>
                <w:rFonts w:hint="eastAsia" w:ascii="宋体" w:hAnsi="宋体" w:eastAsia="宋体" w:cs="宋体"/>
                <w:color w:val="000000"/>
                <w:sz w:val="20"/>
                <w:szCs w:val="20"/>
              </w:rPr>
            </w:pPr>
          </w:p>
        </w:tc>
        <w:tc>
          <w:tcPr>
            <w:tcW w:w="720" w:type="dxa"/>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一般公共预算</w:t>
            </w:r>
          </w:p>
        </w:tc>
        <w:tc>
          <w:tcPr>
            <w:tcW w:w="480" w:type="dxa"/>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p>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基金</w:t>
            </w:r>
          </w:p>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预算</w:t>
            </w:r>
          </w:p>
        </w:tc>
        <w:tc>
          <w:tcPr>
            <w:tcW w:w="495" w:type="dxa"/>
            <w:noWrap w:val="0"/>
            <w:vAlign w:val="center"/>
          </w:tcPr>
          <w:p>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国有资本经营预算</w:t>
            </w:r>
          </w:p>
        </w:tc>
        <w:tc>
          <w:tcPr>
            <w:tcW w:w="420"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0"/>
                <w:lang w:eastAsia="zh-CN"/>
              </w:rPr>
            </w:pPr>
          </w:p>
        </w:tc>
        <w:tc>
          <w:tcPr>
            <w:tcW w:w="85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0"/>
              </w:rPr>
            </w:pPr>
          </w:p>
        </w:tc>
        <w:tc>
          <w:tcPr>
            <w:tcW w:w="495" w:type="dxa"/>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公共</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420" w:type="dxa"/>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基金</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435" w:type="dxa"/>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国有资本经营预算</w:t>
            </w:r>
          </w:p>
        </w:tc>
        <w:tc>
          <w:tcPr>
            <w:tcW w:w="435" w:type="dxa"/>
            <w:noWrap w:val="0"/>
            <w:vAlign w:val="center"/>
          </w:tcPr>
          <w:p>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818" w:type="dxa"/>
            <w:noWrap w:val="0"/>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31部门特定目标类项目</w:t>
            </w:r>
          </w:p>
        </w:tc>
        <w:tc>
          <w:tcPr>
            <w:tcW w:w="773" w:type="dxa"/>
            <w:noWrap w:val="0"/>
            <w:vAlign w:val="center"/>
          </w:tcPr>
          <w:p>
            <w:pPr>
              <w:spacing w:line="240" w:lineRule="auto"/>
              <w:jc w:val="center"/>
              <w:rPr>
                <w:rFonts w:hint="eastAsia" w:ascii="宋体" w:hAnsi="宋体" w:eastAsia="宋体" w:cs="宋体"/>
                <w:kern w:val="0"/>
                <w:sz w:val="20"/>
                <w:szCs w:val="20"/>
              </w:rPr>
            </w:pPr>
          </w:p>
        </w:tc>
        <w:tc>
          <w:tcPr>
            <w:tcW w:w="982" w:type="dxa"/>
            <w:noWrap w:val="0"/>
            <w:vAlign w:val="center"/>
          </w:tcPr>
          <w:p>
            <w:pPr>
              <w:spacing w:line="240" w:lineRule="auto"/>
              <w:jc w:val="center"/>
              <w:rPr>
                <w:rFonts w:hint="eastAsia" w:ascii="宋体" w:hAnsi="宋体" w:eastAsia="宋体" w:cs="宋体"/>
                <w:kern w:val="0"/>
                <w:sz w:val="20"/>
                <w:szCs w:val="20"/>
              </w:rPr>
            </w:pPr>
          </w:p>
        </w:tc>
        <w:tc>
          <w:tcPr>
            <w:tcW w:w="975" w:type="dxa"/>
            <w:noWrap w:val="0"/>
            <w:vAlign w:val="center"/>
          </w:tcPr>
          <w:p>
            <w:pPr>
              <w:spacing w:line="240" w:lineRule="auto"/>
              <w:jc w:val="center"/>
              <w:rPr>
                <w:rFonts w:hint="eastAsia" w:ascii="宋体" w:hAnsi="宋体" w:eastAsia="宋体" w:cs="宋体"/>
                <w:kern w:val="0"/>
                <w:sz w:val="20"/>
                <w:szCs w:val="20"/>
              </w:rPr>
            </w:pPr>
          </w:p>
        </w:tc>
        <w:tc>
          <w:tcPr>
            <w:tcW w:w="885"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270.94</w:t>
            </w:r>
          </w:p>
        </w:tc>
        <w:tc>
          <w:tcPr>
            <w:tcW w:w="720"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64.71</w:t>
            </w:r>
          </w:p>
        </w:tc>
        <w:tc>
          <w:tcPr>
            <w:tcW w:w="480"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495"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420"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855"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186.23</w:t>
            </w:r>
          </w:p>
        </w:tc>
        <w:tc>
          <w:tcPr>
            <w:tcW w:w="495"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420"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435"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435"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p>
        </w:tc>
        <w:tc>
          <w:tcPr>
            <w:tcW w:w="818"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43" w:type="dxa"/>
            <w:noWrap w:val="0"/>
            <w:vAlign w:val="center"/>
          </w:tcPr>
          <w:p>
            <w:pPr>
              <w:spacing w:line="240" w:lineRule="auto"/>
              <w:jc w:val="center"/>
              <w:rPr>
                <w:rFonts w:hint="eastAsia" w:ascii="宋体" w:hAnsi="宋体" w:eastAsia="宋体" w:cs="宋体"/>
                <w:kern w:val="0"/>
                <w:sz w:val="20"/>
                <w:szCs w:val="20"/>
              </w:rPr>
            </w:pPr>
          </w:p>
        </w:tc>
        <w:tc>
          <w:tcPr>
            <w:tcW w:w="773"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专项统计业务</w:t>
            </w:r>
          </w:p>
        </w:tc>
        <w:tc>
          <w:tcPr>
            <w:tcW w:w="982" w:type="dxa"/>
            <w:noWrap w:val="0"/>
            <w:vAlign w:val="center"/>
          </w:tcPr>
          <w:p>
            <w:pPr>
              <w:spacing w:line="240" w:lineRule="auto"/>
              <w:jc w:val="center"/>
              <w:rPr>
                <w:rFonts w:hint="eastAsia" w:ascii="宋体" w:hAnsi="宋体" w:eastAsia="宋体" w:cs="宋体"/>
                <w:kern w:val="0"/>
                <w:sz w:val="20"/>
                <w:szCs w:val="20"/>
              </w:rPr>
            </w:pPr>
          </w:p>
        </w:tc>
        <w:tc>
          <w:tcPr>
            <w:tcW w:w="975" w:type="dxa"/>
            <w:noWrap w:val="0"/>
            <w:vAlign w:val="center"/>
          </w:tcPr>
          <w:p>
            <w:pPr>
              <w:spacing w:line="240" w:lineRule="auto"/>
              <w:jc w:val="center"/>
              <w:rPr>
                <w:rFonts w:hint="eastAsia" w:ascii="宋体" w:hAnsi="宋体" w:eastAsia="宋体" w:cs="宋体"/>
                <w:kern w:val="0"/>
                <w:sz w:val="20"/>
                <w:szCs w:val="20"/>
              </w:rPr>
            </w:pPr>
          </w:p>
        </w:tc>
        <w:tc>
          <w:tcPr>
            <w:tcW w:w="885"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64.71</w:t>
            </w:r>
          </w:p>
        </w:tc>
        <w:tc>
          <w:tcPr>
            <w:tcW w:w="72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64.71</w:t>
            </w:r>
          </w:p>
        </w:tc>
        <w:tc>
          <w:tcPr>
            <w:tcW w:w="480" w:type="dxa"/>
            <w:noWrap w:val="0"/>
            <w:vAlign w:val="center"/>
          </w:tcPr>
          <w:p>
            <w:pPr>
              <w:spacing w:line="240" w:lineRule="auto"/>
              <w:jc w:val="center"/>
              <w:rPr>
                <w:rFonts w:hint="eastAsia" w:ascii="宋体" w:hAnsi="宋体" w:eastAsia="宋体" w:cs="宋体"/>
                <w:kern w:val="0"/>
                <w:sz w:val="20"/>
                <w:szCs w:val="20"/>
              </w:rPr>
            </w:pP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855" w:type="dxa"/>
            <w:noWrap w:val="0"/>
            <w:vAlign w:val="center"/>
          </w:tcPr>
          <w:p>
            <w:pPr>
              <w:spacing w:line="240" w:lineRule="auto"/>
              <w:jc w:val="center"/>
              <w:rPr>
                <w:rFonts w:hint="eastAsia" w:ascii="宋体" w:hAnsi="宋体" w:eastAsia="宋体" w:cs="宋体"/>
                <w:kern w:val="0"/>
                <w:sz w:val="20"/>
                <w:szCs w:val="20"/>
              </w:rPr>
            </w:pP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818" w:type="dxa"/>
            <w:noWrap w:val="0"/>
            <w:vAlign w:val="center"/>
          </w:tcPr>
          <w:p>
            <w:pPr>
              <w:spacing w:line="240" w:lineRule="auto"/>
              <w:jc w:val="center"/>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43" w:type="dxa"/>
            <w:noWrap w:val="0"/>
            <w:vAlign w:val="center"/>
          </w:tcPr>
          <w:p>
            <w:pPr>
              <w:spacing w:line="240" w:lineRule="auto"/>
              <w:jc w:val="center"/>
              <w:rPr>
                <w:rFonts w:hint="eastAsia" w:ascii="宋体" w:hAnsi="宋体" w:eastAsia="宋体" w:cs="宋体"/>
                <w:kern w:val="0"/>
                <w:sz w:val="20"/>
                <w:szCs w:val="20"/>
              </w:rPr>
            </w:pPr>
          </w:p>
        </w:tc>
        <w:tc>
          <w:tcPr>
            <w:tcW w:w="773" w:type="dxa"/>
            <w:noWrap w:val="0"/>
            <w:vAlign w:val="center"/>
          </w:tcPr>
          <w:p>
            <w:pPr>
              <w:spacing w:line="240" w:lineRule="auto"/>
              <w:jc w:val="center"/>
              <w:rPr>
                <w:rFonts w:hint="eastAsia" w:ascii="宋体" w:hAnsi="宋体" w:eastAsia="宋体" w:cs="宋体"/>
                <w:kern w:val="0"/>
                <w:sz w:val="20"/>
                <w:szCs w:val="20"/>
              </w:rPr>
            </w:pPr>
          </w:p>
        </w:tc>
        <w:tc>
          <w:tcPr>
            <w:tcW w:w="982"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综合统计业务费</w:t>
            </w:r>
          </w:p>
        </w:tc>
        <w:tc>
          <w:tcPr>
            <w:tcW w:w="975"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四平市统计局（本级）</w:t>
            </w:r>
          </w:p>
        </w:tc>
        <w:tc>
          <w:tcPr>
            <w:tcW w:w="885"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64.71</w:t>
            </w:r>
          </w:p>
        </w:tc>
        <w:tc>
          <w:tcPr>
            <w:tcW w:w="720" w:type="dxa"/>
            <w:shd w:val="clear" w:color="auto" w:fill="auto"/>
            <w:noWrap w:val="0"/>
            <w:vAlign w:val="center"/>
          </w:tcPr>
          <w:p>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64.71</w:t>
            </w:r>
          </w:p>
        </w:tc>
        <w:tc>
          <w:tcPr>
            <w:tcW w:w="480" w:type="dxa"/>
            <w:noWrap w:val="0"/>
            <w:vAlign w:val="center"/>
          </w:tcPr>
          <w:p>
            <w:pPr>
              <w:spacing w:line="240" w:lineRule="auto"/>
              <w:jc w:val="center"/>
              <w:rPr>
                <w:rFonts w:hint="eastAsia" w:ascii="宋体" w:hAnsi="宋体" w:eastAsia="宋体" w:cs="宋体"/>
                <w:kern w:val="0"/>
                <w:sz w:val="20"/>
                <w:szCs w:val="20"/>
              </w:rPr>
            </w:pP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855" w:type="dxa"/>
            <w:noWrap w:val="0"/>
            <w:vAlign w:val="center"/>
          </w:tcPr>
          <w:p>
            <w:pPr>
              <w:spacing w:line="240" w:lineRule="auto"/>
              <w:jc w:val="center"/>
              <w:rPr>
                <w:rFonts w:hint="eastAsia" w:ascii="宋体" w:hAnsi="宋体" w:eastAsia="宋体" w:cs="宋体"/>
                <w:kern w:val="0"/>
                <w:sz w:val="20"/>
                <w:szCs w:val="20"/>
              </w:rPr>
            </w:pP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818" w:type="dxa"/>
            <w:noWrap w:val="0"/>
            <w:vAlign w:val="center"/>
          </w:tcPr>
          <w:p>
            <w:pPr>
              <w:spacing w:line="240" w:lineRule="auto"/>
              <w:jc w:val="center"/>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pPr>
              <w:spacing w:line="240" w:lineRule="auto"/>
              <w:jc w:val="center"/>
              <w:rPr>
                <w:rFonts w:hint="eastAsia" w:ascii="宋体" w:hAnsi="宋体" w:eastAsia="宋体" w:cs="宋体"/>
                <w:kern w:val="0"/>
                <w:sz w:val="20"/>
                <w:szCs w:val="20"/>
              </w:rPr>
            </w:pPr>
          </w:p>
        </w:tc>
        <w:tc>
          <w:tcPr>
            <w:tcW w:w="773"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专项普查活动</w:t>
            </w:r>
          </w:p>
        </w:tc>
        <w:tc>
          <w:tcPr>
            <w:tcW w:w="982" w:type="dxa"/>
            <w:noWrap w:val="0"/>
            <w:vAlign w:val="center"/>
          </w:tcPr>
          <w:p>
            <w:pPr>
              <w:spacing w:line="240" w:lineRule="auto"/>
              <w:jc w:val="center"/>
              <w:rPr>
                <w:rFonts w:hint="eastAsia" w:ascii="宋体" w:hAnsi="宋体" w:eastAsia="宋体" w:cs="宋体"/>
                <w:kern w:val="0"/>
                <w:sz w:val="20"/>
                <w:szCs w:val="20"/>
              </w:rPr>
            </w:pPr>
          </w:p>
        </w:tc>
        <w:tc>
          <w:tcPr>
            <w:tcW w:w="975" w:type="dxa"/>
            <w:noWrap w:val="0"/>
            <w:vAlign w:val="center"/>
          </w:tcPr>
          <w:p>
            <w:pPr>
              <w:spacing w:line="240" w:lineRule="auto"/>
              <w:jc w:val="center"/>
              <w:rPr>
                <w:rFonts w:hint="eastAsia" w:ascii="宋体" w:hAnsi="宋体" w:eastAsia="宋体" w:cs="宋体"/>
                <w:kern w:val="0"/>
                <w:sz w:val="20"/>
                <w:szCs w:val="20"/>
              </w:rPr>
            </w:pPr>
          </w:p>
        </w:tc>
        <w:tc>
          <w:tcPr>
            <w:tcW w:w="885"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206.23</w:t>
            </w:r>
          </w:p>
        </w:tc>
        <w:tc>
          <w:tcPr>
            <w:tcW w:w="720" w:type="dxa"/>
            <w:noWrap w:val="0"/>
            <w:vAlign w:val="center"/>
          </w:tcPr>
          <w:p>
            <w:pPr>
              <w:spacing w:line="240" w:lineRule="auto"/>
              <w:jc w:val="center"/>
              <w:rPr>
                <w:rFonts w:hint="eastAsia" w:ascii="宋体" w:hAnsi="宋体" w:eastAsia="宋体" w:cs="宋体"/>
                <w:kern w:val="0"/>
                <w:sz w:val="20"/>
                <w:szCs w:val="20"/>
              </w:rPr>
            </w:pPr>
          </w:p>
        </w:tc>
        <w:tc>
          <w:tcPr>
            <w:tcW w:w="480" w:type="dxa"/>
            <w:noWrap w:val="0"/>
            <w:vAlign w:val="center"/>
          </w:tcPr>
          <w:p>
            <w:pPr>
              <w:spacing w:line="240" w:lineRule="auto"/>
              <w:jc w:val="center"/>
              <w:rPr>
                <w:rFonts w:hint="eastAsia" w:ascii="宋体" w:hAnsi="宋体" w:eastAsia="宋体" w:cs="宋体"/>
                <w:kern w:val="0"/>
                <w:sz w:val="20"/>
                <w:szCs w:val="20"/>
              </w:rPr>
            </w:pP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855"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186.23</w:t>
            </w: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818"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pPr>
              <w:autoSpaceDN w:val="0"/>
              <w:spacing w:line="240" w:lineRule="auto"/>
              <w:jc w:val="center"/>
              <w:textAlignment w:val="center"/>
              <w:rPr>
                <w:rFonts w:hint="eastAsia" w:ascii="宋体" w:hAnsi="宋体" w:eastAsia="宋体" w:cs="宋体"/>
                <w:color w:val="000000"/>
                <w:sz w:val="20"/>
                <w:szCs w:val="20"/>
              </w:rPr>
            </w:pPr>
          </w:p>
        </w:tc>
        <w:tc>
          <w:tcPr>
            <w:tcW w:w="773" w:type="dxa"/>
            <w:noWrap w:val="0"/>
            <w:vAlign w:val="center"/>
          </w:tcPr>
          <w:p>
            <w:pPr>
              <w:autoSpaceDN w:val="0"/>
              <w:spacing w:line="240" w:lineRule="auto"/>
              <w:jc w:val="center"/>
              <w:textAlignment w:val="center"/>
              <w:rPr>
                <w:rFonts w:hint="eastAsia" w:ascii="宋体" w:hAnsi="宋体" w:eastAsia="宋体" w:cs="宋体"/>
                <w:color w:val="000000"/>
                <w:sz w:val="20"/>
                <w:szCs w:val="20"/>
              </w:rPr>
            </w:pPr>
          </w:p>
        </w:tc>
        <w:tc>
          <w:tcPr>
            <w:tcW w:w="982"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大型普查综合业务费</w:t>
            </w:r>
          </w:p>
        </w:tc>
        <w:tc>
          <w:tcPr>
            <w:tcW w:w="975"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四平市统计局（本级）</w:t>
            </w:r>
          </w:p>
        </w:tc>
        <w:tc>
          <w:tcPr>
            <w:tcW w:w="885"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206.23</w:t>
            </w:r>
          </w:p>
        </w:tc>
        <w:tc>
          <w:tcPr>
            <w:tcW w:w="720" w:type="dxa"/>
            <w:noWrap w:val="0"/>
            <w:vAlign w:val="center"/>
          </w:tcPr>
          <w:p>
            <w:pPr>
              <w:spacing w:line="240" w:lineRule="auto"/>
              <w:jc w:val="center"/>
              <w:rPr>
                <w:rFonts w:hint="eastAsia" w:ascii="宋体" w:hAnsi="宋体" w:eastAsia="宋体" w:cs="宋体"/>
                <w:kern w:val="0"/>
                <w:sz w:val="20"/>
                <w:szCs w:val="20"/>
              </w:rPr>
            </w:pPr>
          </w:p>
        </w:tc>
        <w:tc>
          <w:tcPr>
            <w:tcW w:w="480" w:type="dxa"/>
            <w:noWrap w:val="0"/>
            <w:vAlign w:val="center"/>
          </w:tcPr>
          <w:p>
            <w:pPr>
              <w:spacing w:line="240" w:lineRule="auto"/>
              <w:jc w:val="center"/>
              <w:rPr>
                <w:rFonts w:hint="eastAsia" w:ascii="宋体" w:hAnsi="宋体" w:eastAsia="宋体" w:cs="宋体"/>
                <w:kern w:val="0"/>
                <w:sz w:val="20"/>
                <w:szCs w:val="20"/>
              </w:rPr>
            </w:pP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855"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186.23</w:t>
            </w: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818"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3" w:type="dxa"/>
            <w:noWrap w:val="0"/>
            <w:vAlign w:val="center"/>
          </w:tcPr>
          <w:p>
            <w:pPr>
              <w:autoSpaceDN w:val="0"/>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773" w:type="dxa"/>
            <w:noWrap w:val="0"/>
            <w:vAlign w:val="center"/>
          </w:tcPr>
          <w:p>
            <w:pPr>
              <w:autoSpaceDN w:val="0"/>
              <w:spacing w:line="240" w:lineRule="auto"/>
              <w:jc w:val="center"/>
              <w:textAlignment w:val="center"/>
              <w:rPr>
                <w:rFonts w:hint="eastAsia" w:ascii="宋体" w:hAnsi="宋体" w:eastAsia="宋体" w:cs="宋体"/>
                <w:color w:val="000000"/>
                <w:sz w:val="20"/>
                <w:szCs w:val="20"/>
              </w:rPr>
            </w:pPr>
          </w:p>
        </w:tc>
        <w:tc>
          <w:tcPr>
            <w:tcW w:w="982" w:type="dxa"/>
            <w:noWrap w:val="0"/>
            <w:vAlign w:val="center"/>
          </w:tcPr>
          <w:p>
            <w:pPr>
              <w:spacing w:line="240" w:lineRule="auto"/>
              <w:jc w:val="center"/>
              <w:rPr>
                <w:rFonts w:hint="eastAsia" w:ascii="宋体" w:hAnsi="宋体" w:eastAsia="宋体" w:cs="宋体"/>
                <w:kern w:val="0"/>
                <w:sz w:val="20"/>
                <w:szCs w:val="20"/>
              </w:rPr>
            </w:pPr>
          </w:p>
        </w:tc>
        <w:tc>
          <w:tcPr>
            <w:tcW w:w="975" w:type="dxa"/>
            <w:noWrap w:val="0"/>
            <w:vAlign w:val="center"/>
          </w:tcPr>
          <w:p>
            <w:pPr>
              <w:spacing w:line="240" w:lineRule="auto"/>
              <w:jc w:val="center"/>
              <w:rPr>
                <w:rFonts w:hint="eastAsia" w:ascii="宋体" w:hAnsi="宋体" w:eastAsia="宋体" w:cs="宋体"/>
                <w:kern w:val="0"/>
                <w:sz w:val="20"/>
                <w:szCs w:val="20"/>
              </w:rPr>
            </w:pPr>
          </w:p>
        </w:tc>
        <w:tc>
          <w:tcPr>
            <w:tcW w:w="885"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270.94</w:t>
            </w:r>
          </w:p>
        </w:tc>
        <w:tc>
          <w:tcPr>
            <w:tcW w:w="720"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64.71</w:t>
            </w:r>
          </w:p>
        </w:tc>
        <w:tc>
          <w:tcPr>
            <w:tcW w:w="480" w:type="dxa"/>
            <w:noWrap w:val="0"/>
            <w:vAlign w:val="center"/>
          </w:tcPr>
          <w:p>
            <w:pPr>
              <w:spacing w:line="240" w:lineRule="auto"/>
              <w:jc w:val="center"/>
              <w:rPr>
                <w:rFonts w:hint="eastAsia" w:ascii="宋体" w:hAnsi="宋体" w:eastAsia="宋体" w:cs="宋体"/>
                <w:kern w:val="0"/>
                <w:sz w:val="20"/>
                <w:szCs w:val="20"/>
              </w:rPr>
            </w:pP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855" w:type="dxa"/>
            <w:noWrap w:val="0"/>
            <w:vAlign w:val="center"/>
          </w:tcPr>
          <w:p>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186.23</w:t>
            </w:r>
          </w:p>
        </w:tc>
        <w:tc>
          <w:tcPr>
            <w:tcW w:w="495" w:type="dxa"/>
            <w:noWrap w:val="0"/>
            <w:vAlign w:val="center"/>
          </w:tcPr>
          <w:p>
            <w:pPr>
              <w:spacing w:line="240" w:lineRule="auto"/>
              <w:jc w:val="center"/>
              <w:rPr>
                <w:rFonts w:hint="eastAsia" w:ascii="宋体" w:hAnsi="宋体" w:eastAsia="宋体" w:cs="宋体"/>
                <w:kern w:val="0"/>
                <w:sz w:val="20"/>
                <w:szCs w:val="20"/>
              </w:rPr>
            </w:pPr>
          </w:p>
        </w:tc>
        <w:tc>
          <w:tcPr>
            <w:tcW w:w="420"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435" w:type="dxa"/>
            <w:noWrap w:val="0"/>
            <w:vAlign w:val="center"/>
          </w:tcPr>
          <w:p>
            <w:pPr>
              <w:spacing w:line="240" w:lineRule="auto"/>
              <w:jc w:val="center"/>
              <w:rPr>
                <w:rFonts w:hint="eastAsia" w:ascii="宋体" w:hAnsi="宋体" w:eastAsia="宋体" w:cs="宋体"/>
                <w:kern w:val="0"/>
                <w:sz w:val="20"/>
                <w:szCs w:val="20"/>
              </w:rPr>
            </w:pPr>
          </w:p>
        </w:tc>
        <w:tc>
          <w:tcPr>
            <w:tcW w:w="818"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.00</w:t>
            </w:r>
          </w:p>
        </w:tc>
      </w:tr>
    </w:tbl>
    <w:p>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宋体" w:hAnsi="宋体" w:eastAsia="宋体" w:cs="宋体"/>
                <w:kern w:val="0"/>
                <w:sz w:val="20"/>
                <w:szCs w:val="20"/>
                <w:vertAlign w:val="baseline"/>
                <w:lang w:eastAsia="zh-CN"/>
              </w:rPr>
            </w:pPr>
            <w:r>
              <w:rPr>
                <w:rFonts w:hint="eastAsia" w:ascii="宋体" w:hAnsi="宋体" w:eastAsia="宋体" w:cs="宋体"/>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单位名称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宋体" w:hAnsi="宋体" w:eastAsia="宋体" w:cs="宋体"/>
                <w:kern w:val="0"/>
                <w:sz w:val="20"/>
                <w:szCs w:val="20"/>
                <w:vertAlign w:val="baseline"/>
                <w:lang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宋体" w:hAnsi="宋体" w:eastAsia="宋体" w:cs="宋体"/>
                <w:kern w:val="0"/>
                <w:sz w:val="20"/>
                <w:szCs w:val="20"/>
                <w:vertAlign w:val="baseline"/>
                <w:lang w:val="en-US"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宋体" w:hAnsi="宋体" w:eastAsia="宋体" w:cs="宋体"/>
                <w:kern w:val="0"/>
                <w:sz w:val="20"/>
                <w:szCs w:val="20"/>
                <w:vertAlign w:val="baseline"/>
                <w:lang w:val="en-US"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宋体" w:hAnsi="宋体" w:eastAsia="宋体" w:cs="宋体"/>
                <w:kern w:val="0"/>
                <w:sz w:val="20"/>
                <w:szCs w:val="20"/>
                <w:vertAlign w:val="baseline"/>
                <w:lang w:val="en-US" w:eastAsia="zh-CN"/>
              </w:rPr>
            </w:pPr>
          </w:p>
        </w:tc>
        <w:tc>
          <w:tcPr>
            <w:tcW w:w="1284" w:type="dxa"/>
            <w:noWrap w:val="0"/>
            <w:vAlign w:val="center"/>
          </w:tcPr>
          <w:p>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pPr>
              <w:spacing w:line="240" w:lineRule="auto"/>
              <w:jc w:val="both"/>
              <w:rPr>
                <w:rFonts w:hint="eastAsia" w:ascii="宋体" w:hAnsi="宋体" w:eastAsia="宋体" w:cs="宋体"/>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p>
      <w:pPr>
        <w:rPr>
          <w:rFonts w:hAnsi="楷体" w:eastAsia="楷体"/>
        </w:rPr>
      </w:pPr>
    </w:p>
    <w:tbl>
      <w:tblPr>
        <w:tblStyle w:val="10"/>
        <w:tblW w:w="11130" w:type="dxa"/>
        <w:tblInd w:w="-1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480"/>
        <w:gridCol w:w="1005"/>
        <w:gridCol w:w="3121"/>
        <w:gridCol w:w="629"/>
        <w:gridCol w:w="765"/>
        <w:gridCol w:w="1110"/>
        <w:gridCol w:w="1515"/>
        <w:gridCol w:w="130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130"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85" w:type="dxa"/>
            <w:tcBorders>
              <w:top w:val="single" w:color="000000" w:sz="4" w:space="0"/>
              <w:left w:val="single" w:color="000000" w:sz="4" w:space="0"/>
              <w:bottom w:val="single" w:color="000000" w:sz="4" w:space="0"/>
              <w:right w:val="single" w:color="000000"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40" w:lineRule="auto"/>
              <w:ind w:left="360" w:leftChars="0" w:right="113" w:rightChars="0" w:hanging="360" w:hangingChars="200"/>
              <w:jc w:val="center"/>
              <w:textAlignment w:val="auto"/>
              <w:outlineLvl w:val="9"/>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单位名称</w:t>
            </w:r>
          </w:p>
        </w:tc>
        <w:tc>
          <w:tcPr>
            <w:tcW w:w="480" w:type="dxa"/>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240" w:lineRule="auto"/>
              <w:ind w:left="113" w:right="113"/>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项目名称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年度资金总额</w:t>
            </w:r>
          </w:p>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w:t>
            </w:r>
            <w:r>
              <w:rPr>
                <w:rFonts w:hint="eastAsia" w:ascii="宋体" w:hAnsi="宋体" w:eastAsia="宋体" w:cs="宋体"/>
                <w:kern w:val="0"/>
                <w:sz w:val="18"/>
                <w:szCs w:val="18"/>
                <w:vertAlign w:val="baseline"/>
                <w:lang w:val="en-US" w:eastAsia="zh-CN"/>
              </w:rPr>
              <w:t>万元</w:t>
            </w:r>
            <w:r>
              <w:rPr>
                <w:rFonts w:hint="eastAsia" w:ascii="宋体" w:hAnsi="宋体" w:eastAsia="宋体" w:cs="宋体"/>
                <w:kern w:val="0"/>
                <w:sz w:val="18"/>
                <w:szCs w:val="18"/>
                <w:vertAlign w:val="baseline"/>
                <w:lang w:eastAsia="zh-CN"/>
              </w:rPr>
              <w:t>）</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年度绩效目标</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一级指标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二级指标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三级指标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指标解释</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指标值</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85" w:type="dxa"/>
            <w:vMerge w:val="restart"/>
            <w:tcBorders>
              <w:top w:val="single" w:color="000000" w:sz="4" w:space="0"/>
              <w:left w:val="single" w:color="000000" w:sz="4" w:space="0"/>
              <w:right w:val="single" w:color="000000" w:sz="4" w:space="0"/>
            </w:tcBorders>
            <w:noWrap w:val="0"/>
            <w:textDirection w:val="tbLrV"/>
            <w:vAlign w:val="center"/>
          </w:tcPr>
          <w:p>
            <w:pPr>
              <w:spacing w:line="240" w:lineRule="auto"/>
              <w:ind w:left="113" w:right="113"/>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四平市统计局（本级）</w:t>
            </w:r>
          </w:p>
        </w:tc>
        <w:tc>
          <w:tcPr>
            <w:tcW w:w="480" w:type="dxa"/>
            <w:vMerge w:val="restart"/>
            <w:tcBorders>
              <w:top w:val="single" w:color="000000" w:sz="4" w:space="0"/>
              <w:left w:val="single" w:color="000000" w:sz="4" w:space="0"/>
              <w:right w:val="single" w:color="000000" w:sz="4" w:space="0"/>
            </w:tcBorders>
            <w:noWrap w:val="0"/>
            <w:textDirection w:val="tbRlV"/>
            <w:vAlign w:val="center"/>
          </w:tcPr>
          <w:p>
            <w:pPr>
              <w:spacing w:line="240" w:lineRule="auto"/>
              <w:ind w:left="113" w:right="113"/>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大型普查综合业务费</w:t>
            </w:r>
          </w:p>
        </w:tc>
        <w:tc>
          <w:tcPr>
            <w:tcW w:w="100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206.23</w:t>
            </w:r>
          </w:p>
        </w:tc>
        <w:tc>
          <w:tcPr>
            <w:tcW w:w="3121"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通过系统开展覆盖农业生产、农村建设、农民生活全领域的普查调查，全面汇聚新时代 “三农” 发展基础数据，精准捕捉农业新质生产力培育、乡村全面发展、农民生活品质提升等核心动态，客观呈现农村改革深化带来的制度创新成果与实践成效，为科学谋划 “三农” 发展战略、精准制定乡村振兴政策、高效推进农业农村现代化建设、加快农业强国培育进程提供全面、准确、权威的统计信息支撑，助力破解 “三农” 发展关键难题、夯实粮食安全与重要农产品供给根基、促进城乡融合发展，推动形成农业高质高效、乡村宜居宜业、农民富裕富足的发展新格局。</w:t>
            </w:r>
          </w:p>
        </w:tc>
        <w:tc>
          <w:tcPr>
            <w:tcW w:w="62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产出指标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培训次数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反映“四农普”相关业务培训次数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2次</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8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100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3121"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629"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成本指标</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经济成本指标</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培训人均成本</w:t>
            </w:r>
          </w:p>
        </w:tc>
        <w:tc>
          <w:tcPr>
            <w:tcW w:w="151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培训人均成本</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300元/人/天</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58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100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3121"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629"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效益指标</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社会效益指标</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通过视频宣传，起到普及统计知识的作用</w:t>
            </w:r>
          </w:p>
        </w:tc>
        <w:tc>
          <w:tcPr>
            <w:tcW w:w="151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反映制作普查宣传视频刷量</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至少制作一个宣传视频</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100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3121"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629"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满意度指标</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各级政府和相关部门满意度</w:t>
            </w:r>
          </w:p>
        </w:tc>
        <w:tc>
          <w:tcPr>
            <w:tcW w:w="151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反映相关方满意程度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95%</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85" w:type="dxa"/>
            <w:vMerge w:val="restart"/>
            <w:tcBorders>
              <w:left w:val="single" w:color="000000" w:sz="4" w:space="0"/>
              <w:right w:val="single" w:color="000000" w:sz="4" w:space="0"/>
            </w:tcBorders>
            <w:noWrap w:val="0"/>
            <w:textDirection w:val="tbLrV"/>
            <w:vAlign w:val="center"/>
          </w:tcPr>
          <w:p>
            <w:pPr>
              <w:spacing w:line="240" w:lineRule="auto"/>
              <w:ind w:left="113" w:right="113"/>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四平市统计局（本级）</w:t>
            </w:r>
          </w:p>
        </w:tc>
        <w:tc>
          <w:tcPr>
            <w:tcW w:w="480" w:type="dxa"/>
            <w:vMerge w:val="restart"/>
            <w:tcBorders>
              <w:left w:val="single" w:color="000000" w:sz="4" w:space="0"/>
              <w:right w:val="single" w:color="000000" w:sz="4" w:space="0"/>
            </w:tcBorders>
            <w:noWrap w:val="0"/>
            <w:textDirection w:val="tbLrV"/>
            <w:vAlign w:val="center"/>
          </w:tcPr>
          <w:p>
            <w:pPr>
              <w:spacing w:line="240" w:lineRule="auto"/>
              <w:ind w:left="113" w:right="113"/>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综合统计业务费</w:t>
            </w:r>
          </w:p>
        </w:tc>
        <w:tc>
          <w:tcPr>
            <w:tcW w:w="1005" w:type="dxa"/>
            <w:vMerge w:val="restart"/>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64.71</w:t>
            </w:r>
          </w:p>
        </w:tc>
        <w:tc>
          <w:tcPr>
            <w:tcW w:w="3121" w:type="dxa"/>
            <w:vMerge w:val="restart"/>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根据国家、省统计局的中心工作和重点工作及四平市统计局的主要工作职责，统一组织各县（市）区、各部门的社会经济调查，搜集、整理全市的基本统计资料，进行国民经济核算，对国民经济、社会发展和科技进步情况进行统计分析、预测和监督。向政府及其他有关部门提供统计信息和咨询服务。</w:t>
            </w:r>
          </w:p>
          <w:p>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围绕国家、省委省政府及省统计局的中心工作，立足为省委省政府中心工作服务，开展各类、各项统计调查、统计抽样调查，统计监测等工作，并提供经济社会发展所需要的统计数据。</w:t>
            </w:r>
          </w:p>
        </w:tc>
        <w:tc>
          <w:tcPr>
            <w:tcW w:w="629"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产出指标</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数量指标</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年鉴出版印刷数量</w:t>
            </w:r>
          </w:p>
        </w:tc>
        <w:tc>
          <w:tcPr>
            <w:tcW w:w="15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年鉴出版印刷数量</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250册</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8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100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3121"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629"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成本指标</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经济成本指标</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培训人均成本</w:t>
            </w:r>
          </w:p>
        </w:tc>
        <w:tc>
          <w:tcPr>
            <w:tcW w:w="15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反映通过培训费用支出，核算培训人均成本，确保培训人均费用控制在合理范围内</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300元/人/天</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8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100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3121"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629"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效益指标</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社会效益指标</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编印当年月度经济运行的统计月报，为党政领导决策提供数据支撑</w:t>
            </w:r>
          </w:p>
        </w:tc>
        <w:tc>
          <w:tcPr>
            <w:tcW w:w="15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提供反映当年月度经济运行发展情况，为党政领导决策提供数据支撑，发挥统计参谋和助手作用的统计月报。</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8篇</w:t>
            </w:r>
          </w:p>
        </w:tc>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8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4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100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3121"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18"/>
                <w:szCs w:val="18"/>
                <w:vertAlign w:val="baseline"/>
              </w:rPr>
            </w:pPr>
          </w:p>
        </w:tc>
        <w:tc>
          <w:tcPr>
            <w:tcW w:w="629"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满意度指标</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各级政府和相关部门满意度</w:t>
            </w:r>
          </w:p>
        </w:tc>
        <w:tc>
          <w:tcPr>
            <w:tcW w:w="15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反映向各级政府和相关部门提供统计资料，满意度达95%以上</w:t>
            </w:r>
          </w:p>
        </w:tc>
        <w:tc>
          <w:tcPr>
            <w:tcW w:w="130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val="en-US" w:eastAsia="zh-CN" w:bidi="ar-SA"/>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95%</w:t>
            </w:r>
          </w:p>
        </w:tc>
        <w:tc>
          <w:tcPr>
            <w:tcW w:w="61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r>
    </w:tbl>
    <w:p>
      <w:pPr>
        <w:spacing w:line="700" w:lineRule="exact"/>
        <w:rPr>
          <w:rFonts w:eastAsia="楷体"/>
          <w:kern w:val="0"/>
          <w:szCs w:val="32"/>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w:t>
      </w:r>
      <w:r>
        <w:rPr>
          <w:rFonts w:hint="eastAsia"/>
          <w:szCs w:val="32"/>
          <w:lang w:eastAsia="zh-CN"/>
        </w:rPr>
        <w:t>、</w:t>
      </w:r>
      <w:r>
        <w:rPr>
          <w:rFonts w:hint="eastAsia"/>
          <w:szCs w:val="32"/>
          <w:lang w:val="en-US" w:eastAsia="zh-CN"/>
        </w:rPr>
        <w:t>上年结转结余</w:t>
      </w:r>
      <w:r>
        <w:rPr>
          <w:szCs w:val="32"/>
        </w:rPr>
        <w:t>；支出包括：</w:t>
      </w:r>
      <w:r>
        <w:rPr>
          <w:rFonts w:hint="eastAsia"/>
          <w:szCs w:val="32"/>
        </w:rPr>
        <w:t>一般公共服务支出、社会保障和就业支出、卫生健康支出、住房保障支出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689.70</w:t>
      </w:r>
      <w:r>
        <w:rPr>
          <w:szCs w:val="32"/>
        </w:rPr>
        <w:t>万元</w:t>
      </w:r>
      <w:r>
        <w:rPr>
          <w:rFonts w:hint="eastAsia"/>
          <w:szCs w:val="32"/>
          <w:lang w:eastAsia="zh-CN"/>
        </w:rPr>
        <w:t>，其中：本年预算</w:t>
      </w:r>
      <w:r>
        <w:rPr>
          <w:rFonts w:hint="eastAsia"/>
          <w:szCs w:val="32"/>
          <w:lang w:val="en-US" w:eastAsia="zh-CN"/>
        </w:rPr>
        <w:t>669.70</w:t>
      </w:r>
      <w:r>
        <w:rPr>
          <w:rFonts w:hint="eastAsia"/>
          <w:szCs w:val="32"/>
          <w:lang w:eastAsia="zh-CN"/>
        </w:rPr>
        <w:t>万元，上年结转</w:t>
      </w:r>
      <w:r>
        <w:rPr>
          <w:rFonts w:hint="eastAsia"/>
          <w:szCs w:val="32"/>
          <w:lang w:val="en-US" w:eastAsia="zh-CN"/>
        </w:rPr>
        <w:t>20.00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230.14</w:t>
      </w:r>
      <w:r>
        <w:rPr>
          <w:szCs w:val="32"/>
        </w:rPr>
        <w:t>万元，主要原因</w:t>
      </w:r>
      <w:r>
        <w:rPr>
          <w:rFonts w:hint="eastAsia"/>
          <w:szCs w:val="32"/>
          <w:lang w:val="en-US" w:eastAsia="zh-CN"/>
        </w:rPr>
        <w:t>一</w:t>
      </w:r>
      <w:r>
        <w:rPr>
          <w:szCs w:val="32"/>
        </w:rPr>
        <w:t>是</w:t>
      </w:r>
      <w:r>
        <w:rPr>
          <w:rFonts w:hint="eastAsia"/>
          <w:szCs w:val="32"/>
          <w:lang w:val="en-US" w:eastAsia="zh-CN"/>
        </w:rPr>
        <w:t>本年度新增第四次全国农业普查工作，增加相应的项目经费；二是本年度新增2名工作人员，人员经费及配套公用经费增加</w:t>
      </w:r>
      <w:r>
        <w:rPr>
          <w:szCs w:val="32"/>
        </w:rPr>
        <w: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689.70</w:t>
      </w:r>
      <w:r>
        <w:rPr>
          <w:szCs w:val="32"/>
        </w:rPr>
        <w:t>万元，其中：本年收入</w:t>
      </w:r>
      <w:r>
        <w:rPr>
          <w:rFonts w:hint="eastAsia"/>
          <w:szCs w:val="32"/>
          <w:lang w:val="en-US" w:eastAsia="zh-CN"/>
        </w:rPr>
        <w:t>669.70</w:t>
      </w:r>
      <w:r>
        <w:rPr>
          <w:szCs w:val="32"/>
        </w:rPr>
        <w:t>万元，占</w:t>
      </w:r>
      <w:r>
        <w:rPr>
          <w:rFonts w:hint="eastAsia"/>
          <w:szCs w:val="32"/>
          <w:lang w:val="en-US" w:eastAsia="zh-CN"/>
        </w:rPr>
        <w:t>97.1</w:t>
      </w:r>
      <w:r>
        <w:rPr>
          <w:szCs w:val="32"/>
        </w:rPr>
        <w:t>%；上年结转</w:t>
      </w:r>
      <w:r>
        <w:rPr>
          <w:rFonts w:hint="eastAsia"/>
          <w:szCs w:val="32"/>
          <w:lang w:eastAsia="zh-CN"/>
        </w:rPr>
        <w:t>结余</w:t>
      </w:r>
      <w:r>
        <w:rPr>
          <w:rFonts w:hint="eastAsia"/>
          <w:szCs w:val="32"/>
          <w:lang w:val="en-US" w:eastAsia="zh-CN"/>
        </w:rPr>
        <w:t>20.00</w:t>
      </w:r>
      <w:r>
        <w:rPr>
          <w:szCs w:val="32"/>
        </w:rPr>
        <w:t>万元，占</w:t>
      </w:r>
      <w:r>
        <w:rPr>
          <w:rFonts w:hint="eastAsia"/>
          <w:szCs w:val="32"/>
          <w:lang w:val="en-US" w:eastAsia="zh-CN"/>
        </w:rPr>
        <w:t>2.9</w:t>
      </w:r>
      <w:r>
        <w:rPr>
          <w:szCs w:val="32"/>
        </w:rPr>
        <w:t>%。本年收入中，一般公共预算拨款收入</w:t>
      </w:r>
      <w:r>
        <w:rPr>
          <w:rFonts w:hint="eastAsia"/>
          <w:szCs w:val="32"/>
          <w:lang w:val="en-US" w:eastAsia="zh-CN"/>
        </w:rPr>
        <w:t>483.47</w:t>
      </w:r>
      <w:r>
        <w:rPr>
          <w:szCs w:val="32"/>
        </w:rPr>
        <w:t>万元，占</w:t>
      </w:r>
      <w:r>
        <w:rPr>
          <w:rFonts w:hint="eastAsia"/>
          <w:szCs w:val="32"/>
          <w:lang w:val="en-US" w:eastAsia="zh-CN"/>
        </w:rPr>
        <w:t>72.19</w:t>
      </w:r>
      <w:r>
        <w:rPr>
          <w:szCs w:val="32"/>
        </w:rPr>
        <w:t>%；其他收入</w:t>
      </w:r>
      <w:r>
        <w:rPr>
          <w:rFonts w:hint="eastAsia"/>
          <w:szCs w:val="32"/>
          <w:lang w:val="en-US" w:eastAsia="zh-CN"/>
        </w:rPr>
        <w:t>186.23</w:t>
      </w:r>
      <w:r>
        <w:rPr>
          <w:szCs w:val="32"/>
        </w:rPr>
        <w:t>万元，占</w:t>
      </w:r>
      <w:r>
        <w:rPr>
          <w:rFonts w:hint="eastAsia"/>
          <w:szCs w:val="32"/>
          <w:lang w:val="en-US" w:eastAsia="zh-CN"/>
        </w:rPr>
        <w:t>27.81</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20.00</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 xml:space="preserve">689.70 </w:t>
      </w:r>
      <w:r>
        <w:rPr>
          <w:szCs w:val="32"/>
        </w:rPr>
        <w:t>万元，其中：基本支出</w:t>
      </w:r>
      <w:r>
        <w:rPr>
          <w:rFonts w:hint="eastAsia"/>
          <w:szCs w:val="32"/>
          <w:lang w:val="en-US" w:eastAsia="zh-CN"/>
        </w:rPr>
        <w:t>418.76</w:t>
      </w:r>
      <w:r>
        <w:rPr>
          <w:szCs w:val="32"/>
        </w:rPr>
        <w:t>万元，占</w:t>
      </w:r>
      <w:r>
        <w:rPr>
          <w:rFonts w:hint="eastAsia"/>
          <w:szCs w:val="32"/>
          <w:lang w:val="en-US" w:eastAsia="zh-CN"/>
        </w:rPr>
        <w:t>60.72</w:t>
      </w:r>
      <w:r>
        <w:rPr>
          <w:szCs w:val="32"/>
        </w:rPr>
        <w:t>%；项目支出</w:t>
      </w:r>
      <w:r>
        <w:rPr>
          <w:rFonts w:hint="eastAsia"/>
          <w:szCs w:val="32"/>
          <w:lang w:val="en-US" w:eastAsia="zh-CN"/>
        </w:rPr>
        <w:t>270.94</w:t>
      </w:r>
      <w:r>
        <w:rPr>
          <w:szCs w:val="32"/>
        </w:rPr>
        <w:t>万元，占</w:t>
      </w:r>
      <w:r>
        <w:rPr>
          <w:rFonts w:hint="eastAsia"/>
          <w:szCs w:val="32"/>
          <w:lang w:val="en-US" w:eastAsia="zh-CN"/>
        </w:rPr>
        <w:t>39.28</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483.47</w:t>
      </w:r>
      <w:r>
        <w:rPr>
          <w:szCs w:val="32"/>
        </w:rPr>
        <w:t>万元，其中：</w:t>
      </w:r>
      <w:r>
        <w:rPr>
          <w:rFonts w:hint="eastAsia"/>
          <w:szCs w:val="32"/>
        </w:rPr>
        <w:t>本年</w:t>
      </w:r>
      <w:r>
        <w:rPr>
          <w:rFonts w:hint="eastAsia"/>
          <w:szCs w:val="32"/>
          <w:lang w:eastAsia="zh-CN"/>
        </w:rPr>
        <w:t>预算</w:t>
      </w:r>
      <w:r>
        <w:rPr>
          <w:rFonts w:hint="eastAsia"/>
          <w:szCs w:val="32"/>
          <w:lang w:val="en-US" w:eastAsia="zh-CN"/>
        </w:rPr>
        <w:t>483.47</w:t>
      </w:r>
      <w:r>
        <w:rPr>
          <w:szCs w:val="32"/>
        </w:rPr>
        <w:t>万元</w:t>
      </w:r>
      <w:r>
        <w:rPr>
          <w:rFonts w:hint="eastAsia"/>
          <w:szCs w:val="32"/>
        </w:rPr>
        <w:t>。</w:t>
      </w:r>
      <w:r>
        <w:rPr>
          <w:szCs w:val="32"/>
        </w:rPr>
        <w:t>支出包括：</w:t>
      </w:r>
      <w:r>
        <w:rPr>
          <w:rFonts w:hint="eastAsia"/>
          <w:kern w:val="0"/>
          <w:szCs w:val="32"/>
        </w:rPr>
        <w:t>一般公共服务支出351.85万元，社会保障和就业支出89.13万元，卫生健康支出13.65万元，住房保障支出28.84万元</w:t>
      </w:r>
      <w:r>
        <w:rPr>
          <w:szCs w:val="32"/>
        </w:rPr>
        <w:t>。</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483.47</w:t>
      </w:r>
      <w:r>
        <w:rPr>
          <w:szCs w:val="32"/>
        </w:rPr>
        <w:t>万元，其中：基本支出</w:t>
      </w:r>
      <w:r>
        <w:rPr>
          <w:rFonts w:hint="eastAsia"/>
          <w:szCs w:val="32"/>
          <w:lang w:val="en-US" w:eastAsia="zh-CN"/>
        </w:rPr>
        <w:t>418.76</w:t>
      </w:r>
      <w:r>
        <w:rPr>
          <w:szCs w:val="32"/>
        </w:rPr>
        <w:t>万元，占</w:t>
      </w:r>
      <w:r>
        <w:rPr>
          <w:rFonts w:hint="eastAsia"/>
          <w:szCs w:val="32"/>
          <w:lang w:val="en-US" w:eastAsia="zh-CN"/>
        </w:rPr>
        <w:t>86.61</w:t>
      </w:r>
      <w:r>
        <w:rPr>
          <w:szCs w:val="32"/>
        </w:rPr>
        <w:t>%；项目支出</w:t>
      </w:r>
      <w:r>
        <w:rPr>
          <w:rFonts w:hint="eastAsia"/>
          <w:szCs w:val="32"/>
          <w:lang w:val="en-US" w:eastAsia="zh-CN"/>
        </w:rPr>
        <w:t>64.71</w:t>
      </w:r>
      <w:r>
        <w:rPr>
          <w:szCs w:val="32"/>
        </w:rPr>
        <w:t>万元，占</w:t>
      </w:r>
      <w:r>
        <w:rPr>
          <w:rFonts w:hint="eastAsia"/>
          <w:szCs w:val="32"/>
          <w:lang w:val="en-US" w:eastAsia="zh-CN"/>
        </w:rPr>
        <w:t>13.39</w:t>
      </w:r>
      <w:r>
        <w:rPr>
          <w:szCs w:val="32"/>
        </w:rPr>
        <w:t>%。基本支出中，人员经费</w:t>
      </w:r>
      <w:r>
        <w:rPr>
          <w:rFonts w:hint="eastAsia"/>
          <w:szCs w:val="32"/>
          <w:lang w:val="en-US" w:eastAsia="zh-CN"/>
        </w:rPr>
        <w:t>357.29</w:t>
      </w:r>
      <w:r>
        <w:rPr>
          <w:szCs w:val="32"/>
        </w:rPr>
        <w:t>万元，占</w:t>
      </w:r>
      <w:r>
        <w:rPr>
          <w:rFonts w:hint="eastAsia"/>
          <w:szCs w:val="32"/>
          <w:lang w:val="en-US" w:eastAsia="zh-CN"/>
        </w:rPr>
        <w:t>85.32</w:t>
      </w:r>
      <w:r>
        <w:rPr>
          <w:szCs w:val="32"/>
        </w:rPr>
        <w:t>%；公用经费</w:t>
      </w:r>
      <w:r>
        <w:rPr>
          <w:rFonts w:hint="eastAsia"/>
          <w:szCs w:val="32"/>
          <w:lang w:val="en-US" w:eastAsia="zh-CN"/>
        </w:rPr>
        <w:t>61.47</w:t>
      </w:r>
      <w:r>
        <w:rPr>
          <w:szCs w:val="32"/>
        </w:rPr>
        <w:t>万元，占</w:t>
      </w:r>
      <w:r>
        <w:rPr>
          <w:rFonts w:hint="eastAsia"/>
          <w:szCs w:val="32"/>
          <w:lang w:val="en-US" w:eastAsia="zh-CN"/>
        </w:rPr>
        <w:t>14.68</w:t>
      </w:r>
      <w:r>
        <w:rPr>
          <w:szCs w:val="32"/>
        </w:rPr>
        <w:t>%。</w:t>
      </w:r>
    </w:p>
    <w:p>
      <w:pPr>
        <w:ind w:firstLine="600"/>
        <w:rPr>
          <w:szCs w:val="32"/>
        </w:rPr>
      </w:pPr>
      <w:r>
        <w:rPr>
          <w:szCs w:val="32"/>
        </w:rPr>
        <w:t>一般公共服务（类）支出</w:t>
      </w:r>
      <w:r>
        <w:rPr>
          <w:rFonts w:hint="eastAsia"/>
          <w:szCs w:val="32"/>
          <w:lang w:val="en-US" w:eastAsia="zh-CN"/>
        </w:rPr>
        <w:t>351.85</w:t>
      </w:r>
      <w:r>
        <w:rPr>
          <w:szCs w:val="32"/>
        </w:rPr>
        <w:t>万元，占</w:t>
      </w:r>
      <w:r>
        <w:rPr>
          <w:rFonts w:hint="eastAsia"/>
          <w:szCs w:val="32"/>
          <w:lang w:val="en-US" w:eastAsia="zh-CN"/>
        </w:rPr>
        <w:t>72.78</w:t>
      </w:r>
      <w:r>
        <w:rPr>
          <w:szCs w:val="32"/>
        </w:rPr>
        <w:t>%，主要用于</w:t>
      </w:r>
      <w:r>
        <w:rPr>
          <w:rFonts w:hint="eastAsia" w:ascii="仿宋" w:hAnsi="仿宋" w:eastAsia="仿宋" w:cs="仿宋"/>
          <w:szCs w:val="32"/>
        </w:rPr>
        <w:t>保障职工工资，维持机关正常运行，完成年度统计工作任务。</w:t>
      </w:r>
    </w:p>
    <w:p>
      <w:pPr>
        <w:ind w:firstLine="600"/>
        <w:rPr>
          <w:rFonts w:hint="eastAsia" w:ascii="仿宋" w:hAnsi="仿宋" w:eastAsia="仿宋" w:cs="仿宋"/>
          <w:szCs w:val="32"/>
        </w:rPr>
      </w:pPr>
      <w:r>
        <w:rPr>
          <w:szCs w:val="32"/>
        </w:rPr>
        <w:t>社会保障和就业（类）支出</w:t>
      </w:r>
      <w:r>
        <w:rPr>
          <w:rFonts w:hint="eastAsia"/>
          <w:szCs w:val="32"/>
          <w:lang w:val="en-US" w:eastAsia="zh-CN"/>
        </w:rPr>
        <w:t>89.13</w:t>
      </w:r>
      <w:r>
        <w:rPr>
          <w:szCs w:val="32"/>
        </w:rPr>
        <w:t>万元，占</w:t>
      </w:r>
      <w:r>
        <w:rPr>
          <w:rFonts w:hint="eastAsia"/>
          <w:szCs w:val="32"/>
          <w:lang w:val="en-US" w:eastAsia="zh-CN"/>
        </w:rPr>
        <w:t>18.44</w:t>
      </w:r>
      <w:r>
        <w:rPr>
          <w:szCs w:val="32"/>
        </w:rPr>
        <w:t>%，主要用于</w:t>
      </w:r>
      <w:r>
        <w:rPr>
          <w:rFonts w:hint="eastAsia" w:ascii="仿宋" w:hAnsi="仿宋" w:eastAsia="仿宋" w:cs="仿宋"/>
          <w:szCs w:val="32"/>
        </w:rPr>
        <w:t>保障退休职工</w:t>
      </w:r>
      <w:r>
        <w:rPr>
          <w:rFonts w:hint="eastAsia" w:ascii="仿宋" w:hAnsi="仿宋" w:eastAsia="仿宋" w:cs="仿宋"/>
          <w:szCs w:val="32"/>
          <w:lang w:val="en-US" w:eastAsia="zh-CN"/>
        </w:rPr>
        <w:t>取暖费及增加生活补贴、</w:t>
      </w:r>
      <w:r>
        <w:rPr>
          <w:rFonts w:hint="eastAsia" w:ascii="仿宋" w:hAnsi="仿宋" w:eastAsia="仿宋" w:cs="仿宋"/>
          <w:szCs w:val="32"/>
        </w:rPr>
        <w:t>机关单位基本养老保险缴费支出</w:t>
      </w:r>
      <w:r>
        <w:rPr>
          <w:rFonts w:hint="eastAsia" w:ascii="仿宋" w:hAnsi="仿宋" w:eastAsia="仿宋" w:cs="仿宋"/>
          <w:szCs w:val="32"/>
          <w:lang w:eastAsia="zh-CN"/>
        </w:rPr>
        <w:t>、</w:t>
      </w:r>
      <w:r>
        <w:rPr>
          <w:rFonts w:hint="eastAsia" w:ascii="仿宋" w:hAnsi="仿宋" w:eastAsia="仿宋" w:cs="仿宋"/>
          <w:szCs w:val="32"/>
          <w:lang w:val="en-US" w:eastAsia="zh-CN"/>
        </w:rPr>
        <w:t>机关事业单位职业年金缴费支出</w:t>
      </w:r>
      <w:r>
        <w:rPr>
          <w:rFonts w:hint="eastAsia" w:ascii="仿宋" w:hAnsi="仿宋" w:eastAsia="仿宋" w:cs="仿宋"/>
          <w:szCs w:val="32"/>
        </w:rPr>
        <w:t>。</w:t>
      </w:r>
    </w:p>
    <w:p>
      <w:pPr>
        <w:ind w:firstLine="600"/>
        <w:rPr>
          <w:rFonts w:hint="eastAsia" w:ascii="仿宋" w:hAnsi="仿宋" w:eastAsia="仿宋" w:cs="仿宋"/>
          <w:szCs w:val="32"/>
        </w:rPr>
      </w:pPr>
      <w:r>
        <w:rPr>
          <w:rFonts w:hint="eastAsia"/>
          <w:szCs w:val="32"/>
          <w:lang w:eastAsia="zh-CN"/>
        </w:rPr>
        <w:t>卫生健康（类）支出</w:t>
      </w:r>
      <w:r>
        <w:rPr>
          <w:rFonts w:hint="eastAsia"/>
          <w:szCs w:val="32"/>
          <w:lang w:val="en-US" w:eastAsia="zh-CN"/>
        </w:rPr>
        <w:t>13.65</w:t>
      </w:r>
      <w:r>
        <w:rPr>
          <w:szCs w:val="32"/>
        </w:rPr>
        <w:t>万元，占</w:t>
      </w:r>
      <w:r>
        <w:rPr>
          <w:rFonts w:hint="eastAsia"/>
          <w:szCs w:val="32"/>
          <w:lang w:val="en-US" w:eastAsia="zh-CN"/>
        </w:rPr>
        <w:t>2.82</w:t>
      </w:r>
      <w:r>
        <w:rPr>
          <w:szCs w:val="32"/>
        </w:rPr>
        <w:t>%，主要用于</w:t>
      </w:r>
      <w:r>
        <w:rPr>
          <w:rFonts w:hint="eastAsia" w:ascii="仿宋" w:hAnsi="仿宋" w:eastAsia="仿宋" w:cs="仿宋"/>
          <w:szCs w:val="32"/>
        </w:rPr>
        <w:t>缴纳职工医疗保险。</w:t>
      </w:r>
    </w:p>
    <w:p>
      <w:pPr>
        <w:ind w:firstLine="600"/>
        <w:rPr>
          <w:rFonts w:hint="eastAsia" w:ascii="仿宋" w:hAnsi="仿宋" w:eastAsia="仿宋" w:cs="仿宋"/>
          <w:szCs w:val="32"/>
        </w:rPr>
      </w:pPr>
      <w:r>
        <w:rPr>
          <w:szCs w:val="32"/>
        </w:rPr>
        <w:t>住房保障（类）支出</w:t>
      </w:r>
      <w:r>
        <w:rPr>
          <w:rFonts w:hint="eastAsia"/>
          <w:szCs w:val="32"/>
          <w:lang w:val="en-US" w:eastAsia="zh-CN"/>
        </w:rPr>
        <w:t>28.84</w:t>
      </w:r>
      <w:r>
        <w:rPr>
          <w:szCs w:val="32"/>
        </w:rPr>
        <w:t>万元，占</w:t>
      </w:r>
      <w:r>
        <w:rPr>
          <w:rFonts w:hint="eastAsia"/>
          <w:szCs w:val="32"/>
          <w:lang w:val="en-US" w:eastAsia="zh-CN"/>
        </w:rPr>
        <w:t>5.96</w:t>
      </w:r>
      <w:r>
        <w:rPr>
          <w:szCs w:val="32"/>
        </w:rPr>
        <w:t>%，主要用于</w:t>
      </w:r>
      <w:r>
        <w:rPr>
          <w:rFonts w:hint="eastAsia" w:ascii="仿宋" w:hAnsi="仿宋" w:eastAsia="仿宋" w:cs="仿宋"/>
          <w:szCs w:val="32"/>
        </w:rPr>
        <w:t>缴纳职工住房公积金。</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418.76</w:t>
      </w:r>
      <w:r>
        <w:rPr>
          <w:szCs w:val="32"/>
        </w:rPr>
        <w:t>万元，其中：</w:t>
      </w:r>
    </w:p>
    <w:p>
      <w:pPr>
        <w:ind w:firstLine="640" w:firstLineChars="200"/>
        <w:rPr>
          <w:kern w:val="0"/>
          <w:szCs w:val="32"/>
        </w:rPr>
      </w:pPr>
      <w:r>
        <w:rPr>
          <w:szCs w:val="32"/>
        </w:rPr>
        <w:t>人员经费</w:t>
      </w:r>
      <w:r>
        <w:rPr>
          <w:rFonts w:hint="eastAsia"/>
          <w:szCs w:val="32"/>
          <w:lang w:val="en-US" w:eastAsia="zh-CN"/>
        </w:rPr>
        <w:t>357.29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pPr>
        <w:ind w:firstLine="640" w:firstLineChars="200"/>
        <w:rPr>
          <w:szCs w:val="32"/>
        </w:rPr>
      </w:pPr>
      <w:r>
        <w:rPr>
          <w:kern w:val="0"/>
          <w:szCs w:val="32"/>
        </w:rPr>
        <w:t>公用经费</w:t>
      </w:r>
      <w:r>
        <w:rPr>
          <w:rFonts w:hint="eastAsia"/>
          <w:szCs w:val="32"/>
          <w:lang w:val="en-US" w:eastAsia="zh-CN"/>
        </w:rPr>
        <w:t>61.47</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rFonts w:hint="eastAsia"/>
          <w:szCs w:val="32"/>
          <w:lang w:eastAsia="zh-CN"/>
        </w:rPr>
        <w:t>租赁费、</w:t>
      </w:r>
      <w:r>
        <w:rPr>
          <w:kern w:val="0"/>
          <w:szCs w:val="32"/>
        </w:rPr>
        <w:t>会议费</w:t>
      </w:r>
      <w:r>
        <w:rPr>
          <w:szCs w:val="32"/>
        </w:rPr>
        <w:t>、</w:t>
      </w:r>
      <w:r>
        <w:rPr>
          <w:kern w:val="0"/>
          <w:szCs w:val="32"/>
        </w:rPr>
        <w:t>培训费</w:t>
      </w:r>
      <w:r>
        <w:rPr>
          <w:szCs w:val="32"/>
        </w:rPr>
        <w:t>、</w:t>
      </w:r>
      <w:r>
        <w:rPr>
          <w:rFonts w:hint="eastAsia"/>
          <w:szCs w:val="32"/>
          <w:lang w:eastAsia="zh-CN"/>
        </w:rPr>
        <w:t>劳务费、</w:t>
      </w:r>
      <w:r>
        <w:rPr>
          <w:kern w:val="0"/>
          <w:szCs w:val="32"/>
        </w:rPr>
        <w:t>工会经费、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3.06</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3.06</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3.06</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61.47</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4.96</w:t>
      </w:r>
      <w:r>
        <w:rPr>
          <w:szCs w:val="32"/>
        </w:rPr>
        <w:t>万元，增长</w:t>
      </w:r>
      <w:r>
        <w:rPr>
          <w:rFonts w:hint="eastAsia"/>
          <w:szCs w:val="32"/>
          <w:lang w:val="en-US" w:eastAsia="zh-CN"/>
        </w:rPr>
        <w:t>8.78</w:t>
      </w:r>
      <w:r>
        <w:rPr>
          <w:szCs w:val="32"/>
        </w:rPr>
        <w:t>%</w:t>
      </w:r>
      <w:r>
        <w:rPr>
          <w:rFonts w:hint="eastAsia"/>
          <w:szCs w:val="32"/>
        </w:rPr>
        <w:t>，主要原因是</w:t>
      </w:r>
      <w:r>
        <w:rPr>
          <w:rFonts w:hint="eastAsia"/>
          <w:szCs w:val="32"/>
          <w:lang w:val="en-US" w:eastAsia="zh-CN"/>
        </w:rPr>
        <w:t>本年度增加两人，机关运行经费预算额度随人员增加同步上调</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hint="eastAsia"/>
          <w:szCs w:val="32"/>
        </w:rPr>
      </w:pPr>
      <w:r>
        <w:rPr>
          <w:rFonts w:hint="eastAsia"/>
          <w:szCs w:val="32"/>
        </w:rPr>
        <w:t>本单位无政府采购预算拨款。</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单位</w:t>
      </w:r>
      <w:r>
        <w:rPr>
          <w:rFonts w:hint="eastAsia"/>
          <w:szCs w:val="32"/>
        </w:rPr>
        <w:t>本级共有车辆</w:t>
      </w:r>
      <w:r>
        <w:rPr>
          <w:rFonts w:hint="eastAsia"/>
          <w:szCs w:val="32"/>
          <w:lang w:val="en-US" w:eastAsia="zh-CN"/>
        </w:rPr>
        <w:t>1</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270.94</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64.71</w:t>
      </w:r>
      <w:r>
        <w:rPr>
          <w:szCs w:val="32"/>
        </w:rPr>
        <w:t>万元</w:t>
      </w:r>
      <w:r>
        <w:rPr>
          <w:rFonts w:hint="eastAsia"/>
          <w:szCs w:val="32"/>
          <w:lang w:eastAsia="zh-CN"/>
        </w:rPr>
        <w:t>；</w:t>
      </w:r>
      <w:r>
        <w:rPr>
          <w:rFonts w:hint="eastAsia"/>
          <w:szCs w:val="32"/>
          <w:lang w:val="en-US" w:eastAsia="zh-CN"/>
        </w:rPr>
        <w:t>使用单位资金186.23万元，非财政拨款结转结余20.00万元</w:t>
      </w:r>
      <w:r>
        <w:rPr>
          <w:szCs w:val="32"/>
        </w:rPr>
        <w:t>。</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270.94</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OW8Gj8MBAABxAwAADgAAAAAAAAABACAA&#10;AAA0AQAAZHJzL2Uyb0RvYy54bWxQSwUGAAAAAAYABgBZAQAAa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AotJK4BAABLAwAADgAAAAAAAAABACAAAAA0AQAAZHJzL2Uyb0RvYy54bWxQ&#10;SwUGAAAAAAYABgBZAQAAVA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85721D6"/>
    <w:rsid w:val="09015F14"/>
    <w:rsid w:val="091C5C63"/>
    <w:rsid w:val="09421190"/>
    <w:rsid w:val="09A0082A"/>
    <w:rsid w:val="0A00435B"/>
    <w:rsid w:val="0AAA1697"/>
    <w:rsid w:val="0ABA06FE"/>
    <w:rsid w:val="0B49202F"/>
    <w:rsid w:val="0B5F5ADA"/>
    <w:rsid w:val="0B956BE6"/>
    <w:rsid w:val="0BCA324A"/>
    <w:rsid w:val="0C2A5C84"/>
    <w:rsid w:val="0C4F64D9"/>
    <w:rsid w:val="0C583939"/>
    <w:rsid w:val="0C5D63A5"/>
    <w:rsid w:val="0C6D1BAE"/>
    <w:rsid w:val="0D25429C"/>
    <w:rsid w:val="0D2A2435"/>
    <w:rsid w:val="0DA001B0"/>
    <w:rsid w:val="0DEB170B"/>
    <w:rsid w:val="0E4C7841"/>
    <w:rsid w:val="0E97506F"/>
    <w:rsid w:val="0EAF340D"/>
    <w:rsid w:val="0F3E0406"/>
    <w:rsid w:val="0F53554E"/>
    <w:rsid w:val="0F980230"/>
    <w:rsid w:val="0FD62F63"/>
    <w:rsid w:val="0FDE2A27"/>
    <w:rsid w:val="10AE7F82"/>
    <w:rsid w:val="10C93B35"/>
    <w:rsid w:val="11177619"/>
    <w:rsid w:val="112605C8"/>
    <w:rsid w:val="112A6D4B"/>
    <w:rsid w:val="11A6707B"/>
    <w:rsid w:val="11AD6B34"/>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9E80F89"/>
    <w:rsid w:val="1A817DF8"/>
    <w:rsid w:val="1A8A6135"/>
    <w:rsid w:val="1A8F455C"/>
    <w:rsid w:val="1ADC594E"/>
    <w:rsid w:val="1ADD0AA9"/>
    <w:rsid w:val="1AEB5252"/>
    <w:rsid w:val="1B8A03E4"/>
    <w:rsid w:val="1B9C1459"/>
    <w:rsid w:val="1C852172"/>
    <w:rsid w:val="1CA40C0C"/>
    <w:rsid w:val="1CFF4A32"/>
    <w:rsid w:val="1D003925"/>
    <w:rsid w:val="1D833200"/>
    <w:rsid w:val="1DE2466D"/>
    <w:rsid w:val="1E3A3FD0"/>
    <w:rsid w:val="1EB55C07"/>
    <w:rsid w:val="1F351A10"/>
    <w:rsid w:val="1F857EA5"/>
    <w:rsid w:val="1FED47E9"/>
    <w:rsid w:val="206816AC"/>
    <w:rsid w:val="21134335"/>
    <w:rsid w:val="226E581D"/>
    <w:rsid w:val="22A4003E"/>
    <w:rsid w:val="23135C25"/>
    <w:rsid w:val="23841D23"/>
    <w:rsid w:val="23EC61F6"/>
    <w:rsid w:val="244C543C"/>
    <w:rsid w:val="24624768"/>
    <w:rsid w:val="24A8271E"/>
    <w:rsid w:val="254029E1"/>
    <w:rsid w:val="259B5BC5"/>
    <w:rsid w:val="25EF7FBC"/>
    <w:rsid w:val="25F62C4E"/>
    <w:rsid w:val="25FA4EFB"/>
    <w:rsid w:val="26643D6C"/>
    <w:rsid w:val="26FE109D"/>
    <w:rsid w:val="27073E1E"/>
    <w:rsid w:val="27B04AB3"/>
    <w:rsid w:val="282C3BA1"/>
    <w:rsid w:val="28A63332"/>
    <w:rsid w:val="28C96E8E"/>
    <w:rsid w:val="29527C78"/>
    <w:rsid w:val="29C45F24"/>
    <w:rsid w:val="2D405AAC"/>
    <w:rsid w:val="2D4C65FD"/>
    <w:rsid w:val="2D9038E4"/>
    <w:rsid w:val="2DF8796C"/>
    <w:rsid w:val="2EB22F18"/>
    <w:rsid w:val="2EE12108"/>
    <w:rsid w:val="2EED35E3"/>
    <w:rsid w:val="2F0B5068"/>
    <w:rsid w:val="2F250383"/>
    <w:rsid w:val="2F63610B"/>
    <w:rsid w:val="2FBC646B"/>
    <w:rsid w:val="300965A3"/>
    <w:rsid w:val="306F0A59"/>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EC7EB3"/>
    <w:rsid w:val="36FC762F"/>
    <w:rsid w:val="3838492F"/>
    <w:rsid w:val="383A009B"/>
    <w:rsid w:val="3887374F"/>
    <w:rsid w:val="38CB0ABC"/>
    <w:rsid w:val="39041A07"/>
    <w:rsid w:val="39043B77"/>
    <w:rsid w:val="394C1291"/>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891C7B"/>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7A6E15"/>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5B09E2"/>
    <w:rsid w:val="57AE5C26"/>
    <w:rsid w:val="57DD75A9"/>
    <w:rsid w:val="5801059F"/>
    <w:rsid w:val="58256ABD"/>
    <w:rsid w:val="587D49B7"/>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C26E3C"/>
    <w:rsid w:val="5CF74CE4"/>
    <w:rsid w:val="5D5A7C63"/>
    <w:rsid w:val="5E256F6F"/>
    <w:rsid w:val="5EBD2BD2"/>
    <w:rsid w:val="5F6235A9"/>
    <w:rsid w:val="5F781C91"/>
    <w:rsid w:val="60DC439E"/>
    <w:rsid w:val="614125C2"/>
    <w:rsid w:val="61AA1D1F"/>
    <w:rsid w:val="624C5C52"/>
    <w:rsid w:val="63B23767"/>
    <w:rsid w:val="63DF08E4"/>
    <w:rsid w:val="63F8233D"/>
    <w:rsid w:val="64C04AFD"/>
    <w:rsid w:val="652D6B0A"/>
    <w:rsid w:val="655B219F"/>
    <w:rsid w:val="65BA74F4"/>
    <w:rsid w:val="661A7B69"/>
    <w:rsid w:val="66455323"/>
    <w:rsid w:val="664909C1"/>
    <w:rsid w:val="66635AE4"/>
    <w:rsid w:val="66C63EB5"/>
    <w:rsid w:val="67592674"/>
    <w:rsid w:val="679461D3"/>
    <w:rsid w:val="6858287E"/>
    <w:rsid w:val="68593A1E"/>
    <w:rsid w:val="68920D95"/>
    <w:rsid w:val="68C04D52"/>
    <w:rsid w:val="68D33DE9"/>
    <w:rsid w:val="68D45F2D"/>
    <w:rsid w:val="69157114"/>
    <w:rsid w:val="691A443E"/>
    <w:rsid w:val="69E203A0"/>
    <w:rsid w:val="6A5B6D7D"/>
    <w:rsid w:val="6A765FBC"/>
    <w:rsid w:val="6A80735F"/>
    <w:rsid w:val="6AC17181"/>
    <w:rsid w:val="6ACC5E47"/>
    <w:rsid w:val="6AD43ED1"/>
    <w:rsid w:val="6B11024D"/>
    <w:rsid w:val="6B7D5B36"/>
    <w:rsid w:val="6C834DAA"/>
    <w:rsid w:val="6C993CCE"/>
    <w:rsid w:val="6CF120A8"/>
    <w:rsid w:val="6CF2681C"/>
    <w:rsid w:val="6D72413D"/>
    <w:rsid w:val="6FF50B81"/>
    <w:rsid w:val="70330B9C"/>
    <w:rsid w:val="709D17BE"/>
    <w:rsid w:val="70E62CA2"/>
    <w:rsid w:val="714213DD"/>
    <w:rsid w:val="717F272E"/>
    <w:rsid w:val="72783A23"/>
    <w:rsid w:val="728027C6"/>
    <w:rsid w:val="73D62FA6"/>
    <w:rsid w:val="73FE7ACC"/>
    <w:rsid w:val="7406377B"/>
    <w:rsid w:val="74556746"/>
    <w:rsid w:val="74743258"/>
    <w:rsid w:val="75461F61"/>
    <w:rsid w:val="761B13C4"/>
    <w:rsid w:val="764B6A8A"/>
    <w:rsid w:val="76C17E06"/>
    <w:rsid w:val="76CA67BD"/>
    <w:rsid w:val="76E6298C"/>
    <w:rsid w:val="770021AC"/>
    <w:rsid w:val="774E6400"/>
    <w:rsid w:val="775B0046"/>
    <w:rsid w:val="79700BEF"/>
    <w:rsid w:val="798D552B"/>
    <w:rsid w:val="79A94392"/>
    <w:rsid w:val="7A090695"/>
    <w:rsid w:val="7A1D5951"/>
    <w:rsid w:val="7AE175F4"/>
    <w:rsid w:val="7B417685"/>
    <w:rsid w:val="7B5220F0"/>
    <w:rsid w:val="7BA169C0"/>
    <w:rsid w:val="7BC55243"/>
    <w:rsid w:val="7C2F4A9A"/>
    <w:rsid w:val="7CAD595B"/>
    <w:rsid w:val="7CF65D07"/>
    <w:rsid w:val="7D2975D1"/>
    <w:rsid w:val="7D2F3083"/>
    <w:rsid w:val="7D592A4D"/>
    <w:rsid w:val="7D906046"/>
    <w:rsid w:val="7DCC0CD6"/>
    <w:rsid w:val="FFFB99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pc6/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6533</Words>
  <Characters>7903</Characters>
  <Lines>71</Lines>
  <Paragraphs>20</Paragraphs>
  <TotalTime>1</TotalTime>
  <ScaleCrop>false</ScaleCrop>
  <LinksUpToDate>false</LinksUpToDate>
  <CharactersWithSpaces>8469</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pc6</cp:lastModifiedBy>
  <cp:lastPrinted>2025-02-11T11:07:00Z</cp:lastPrinted>
  <dcterms:modified xsi:type="dcterms:W3CDTF">2026-03-05T09:43:05Z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eyJoZGlkIjoiZmNjZmRlNDAwZGJhMmRmNzJmODExYWU3M2VkMzgwYTgiLCJ1c2VySWQiOiI0MTk1MjIyMTIifQ==</vt:lpwstr>
  </property>
  <property fmtid="{D5CDD505-2E9C-101B-9397-08002B2CF9AE}" pid="4" name="ICV">
    <vt:lpwstr>272AA54696C349FCADA9C63175E5C067_13</vt:lpwstr>
  </property>
</Properties>
</file>