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lang w:eastAsia="zh-CN"/>
        </w:rPr>
        <w:t>磐石市统计</w:t>
      </w:r>
      <w:r>
        <w:rPr>
          <w:rFonts w:hint="eastAsia" w:ascii="Times New Roman" w:hAnsi="Times New Roman" w:eastAsia="方正小标宋简体" w:cs="Times New Roman"/>
          <w:sz w:val="44"/>
          <w:szCs w:val="44"/>
          <w:u w:val="none"/>
          <w:lang w:eastAsia="zh-CN"/>
        </w:rPr>
        <w:t>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jc w:val="center"/>
        <w:rPr>
          <w:rFonts w:eastAsia="黑体"/>
        </w:rPr>
      </w:pPr>
      <w:bookmarkStart w:id="0" w:name="_GoBack"/>
      <w:bookmarkEnd w:id="0"/>
      <w:r>
        <w:rPr>
          <w:rFonts w:eastAsia="黑体"/>
        </w:rPr>
        <w:t xml:space="preserve">第一部分 </w:t>
      </w:r>
      <w:r>
        <w:rPr>
          <w:rFonts w:hint="eastAsia" w:eastAsia="黑体"/>
          <w:lang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ascii="仿宋_GB2312" w:hAnsi="仿宋_GB2312" w:cs="仿宋_GB2312"/>
          <w:szCs w:val="32"/>
        </w:rPr>
      </w:pPr>
      <w:r>
        <w:rPr>
          <w:rFonts w:hint="eastAsia" w:ascii="仿宋_GB2312" w:hAnsi="仿宋_GB2312" w:cs="仿宋_GB2312"/>
          <w:szCs w:val="32"/>
        </w:rPr>
        <w:t>磐石市统计局是负责全市统计和国民经济核算工作的职能部门。其主要职责是：</w:t>
      </w:r>
    </w:p>
    <w:p>
      <w:pPr>
        <w:ind w:firstLine="640" w:firstLineChars="200"/>
        <w:rPr>
          <w:rFonts w:hint="eastAsia" w:ascii="仿宋_GB2312" w:hAnsi="仿宋_GB2312" w:cs="仿宋_GB2312"/>
          <w:szCs w:val="32"/>
        </w:rPr>
      </w:pPr>
      <w:r>
        <w:rPr>
          <w:rFonts w:hint="eastAsia" w:ascii="仿宋_GB2312" w:hAnsi="仿宋_GB2312" w:cs="仿宋_GB2312"/>
          <w:szCs w:val="32"/>
        </w:rPr>
        <w:t>（一）贯彻执行国家、省、市统计局的各项工作方针，组织领导和监督检查各乡、镇、街各部门及有关单位的统计和国民经济核算工作，监督检查统计法律、法规的实施。</w:t>
      </w:r>
    </w:p>
    <w:p>
      <w:pPr>
        <w:ind w:firstLine="640" w:firstLineChars="200"/>
        <w:rPr>
          <w:rFonts w:hint="eastAsia" w:ascii="仿宋_GB2312" w:hAnsi="仿宋_GB2312" w:cs="仿宋_GB2312"/>
          <w:szCs w:val="32"/>
        </w:rPr>
      </w:pPr>
      <w:r>
        <w:rPr>
          <w:rFonts w:hint="eastAsia" w:ascii="仿宋_GB2312" w:hAnsi="仿宋_GB2312" w:cs="仿宋_GB2312"/>
          <w:szCs w:val="32"/>
        </w:rPr>
        <w:t>（二）根据全国、全省、全市统一的基本统计制度，建立健全全市的国民经济核算体系</w:t>
      </w:r>
      <w:r>
        <w:rPr>
          <w:rFonts w:hint="eastAsia" w:ascii="仿宋_GB2312" w:hAnsi="仿宋_GB2312" w:cs="仿宋_GB2312"/>
          <w:szCs w:val="32"/>
          <w:lang w:eastAsia="zh-CN"/>
        </w:rPr>
        <w:t>和</w:t>
      </w:r>
      <w:r>
        <w:rPr>
          <w:rFonts w:hint="eastAsia" w:ascii="仿宋_GB2312" w:hAnsi="仿宋_GB2312" w:cs="仿宋_GB2312"/>
          <w:szCs w:val="32"/>
        </w:rPr>
        <w:t>统计调查项目。</w:t>
      </w:r>
    </w:p>
    <w:p>
      <w:pPr>
        <w:ind w:firstLine="640" w:firstLineChars="200"/>
        <w:rPr>
          <w:rFonts w:hint="eastAsia" w:ascii="仿宋_GB2312" w:hAnsi="仿宋_GB2312" w:cs="仿宋_GB2312"/>
          <w:szCs w:val="32"/>
        </w:rPr>
      </w:pPr>
      <w:r>
        <w:rPr>
          <w:rFonts w:hint="eastAsia" w:ascii="仿宋_GB2312" w:hAnsi="仿宋_GB2312" w:cs="仿宋_GB2312"/>
          <w:szCs w:val="32"/>
        </w:rPr>
        <w:t>（三）代表市政府组织实施重大的国情、国力普查及重大的市情、市力调查，统一组织各乡、镇、街道及各部门的社会经济统计调查。</w:t>
      </w:r>
    </w:p>
    <w:p>
      <w:pPr>
        <w:ind w:firstLine="640" w:firstLineChars="200"/>
        <w:rPr>
          <w:rFonts w:hint="eastAsia" w:ascii="仿宋_GB2312" w:hAnsi="仿宋_GB2312" w:cs="仿宋_GB2312"/>
          <w:szCs w:val="32"/>
        </w:rPr>
      </w:pPr>
      <w:r>
        <w:rPr>
          <w:rFonts w:hint="eastAsia" w:ascii="仿宋_GB2312" w:hAnsi="仿宋_GB2312" w:cs="仿宋_GB2312"/>
          <w:szCs w:val="32"/>
        </w:rPr>
        <w:t>（四）统一核定、管理、公布全市性的基本统计资料，定期向社会公众发布全市国民经济和社会发展状况的统计信息。</w:t>
      </w:r>
    </w:p>
    <w:p>
      <w:pPr>
        <w:ind w:firstLine="640" w:firstLineChars="200"/>
        <w:rPr>
          <w:rFonts w:hint="eastAsia" w:ascii="仿宋_GB2312" w:hAnsi="仿宋_GB2312" w:cs="仿宋_GB2312"/>
          <w:szCs w:val="32"/>
        </w:rPr>
      </w:pPr>
      <w:r>
        <w:rPr>
          <w:rFonts w:hint="eastAsia" w:ascii="仿宋_GB2312" w:hAnsi="仿宋_GB2312" w:cs="仿宋_GB2312"/>
          <w:szCs w:val="32"/>
        </w:rPr>
        <w:t>（五）建立、完善和管理全市统计信息自动化系统和全市统计数据库体系。</w:t>
      </w:r>
    </w:p>
    <w:p>
      <w:pPr>
        <w:ind w:firstLine="640" w:firstLineChars="200"/>
        <w:rPr>
          <w:rFonts w:hint="eastAsia" w:ascii="仿宋_GB2312" w:hAnsi="仿宋_GB2312" w:cs="仿宋_GB2312"/>
          <w:szCs w:val="32"/>
        </w:rPr>
      </w:pPr>
      <w:r>
        <w:rPr>
          <w:rFonts w:hint="eastAsia" w:ascii="仿宋_GB2312" w:hAnsi="仿宋_GB2312" w:cs="仿宋_GB2312"/>
          <w:szCs w:val="32"/>
        </w:rPr>
        <w:t>（六）组织全市统计干部业务培训，组织指导全市统计科学研究、统计宣传。</w:t>
      </w:r>
    </w:p>
    <w:p>
      <w:pPr>
        <w:ind w:firstLine="640" w:firstLineChars="200"/>
        <w:rPr>
          <w:color w:val="000000"/>
          <w:szCs w:val="32"/>
        </w:rPr>
      </w:pPr>
      <w:r>
        <w:rPr>
          <w:rFonts w:hint="eastAsia" w:ascii="仿宋_GB2312" w:hAnsi="仿宋_GB2312" w:cs="仿宋_GB2312"/>
          <w:szCs w:val="32"/>
        </w:rPr>
        <w:t>（七）承办</w:t>
      </w:r>
      <w:r>
        <w:rPr>
          <w:rFonts w:hint="eastAsia" w:ascii="仿宋_GB2312" w:hAnsi="仿宋_GB2312" w:cs="仿宋_GB2312"/>
          <w:szCs w:val="32"/>
          <w:lang w:eastAsia="zh-CN"/>
        </w:rPr>
        <w:t>吉林市统计局和磐石市政府</w:t>
      </w:r>
      <w:r>
        <w:rPr>
          <w:rFonts w:hint="eastAsia" w:ascii="仿宋_GB2312" w:hAnsi="仿宋_GB2312" w:cs="仿宋_GB2312"/>
          <w:szCs w:val="32"/>
        </w:rPr>
        <w:t>交办的其他事项。</w:t>
      </w:r>
    </w:p>
    <w:p>
      <w:pPr>
        <w:ind w:firstLine="640" w:firstLineChars="200"/>
      </w:pPr>
      <w:r>
        <w:rPr>
          <w:rFonts w:eastAsia="楷体_GB2312"/>
        </w:rPr>
        <w:t>二、机构设置</w:t>
      </w:r>
    </w:p>
    <w:p>
      <w:pPr>
        <w:ind w:firstLine="640" w:firstLineChars="200"/>
        <w:rPr>
          <w:rFonts w:hint="eastAsia" w:ascii="仿宋_GB2312" w:hAnsi="仿宋_GB2312" w:cs="仿宋_GB2312"/>
          <w:szCs w:val="32"/>
        </w:rPr>
      </w:pPr>
      <w:r>
        <w:rPr>
          <w:rFonts w:hint="eastAsia" w:ascii="仿宋_GB2312" w:hAnsi="仿宋_GB2312" w:cs="仿宋_GB2312"/>
          <w:szCs w:val="32"/>
          <w:lang w:eastAsia="zh-CN"/>
        </w:rPr>
        <w:t>根据上述职责，</w:t>
      </w:r>
      <w:r>
        <w:rPr>
          <w:rFonts w:hint="eastAsia" w:ascii="仿宋_GB2312" w:hAnsi="仿宋_GB2312" w:cs="仿宋_GB2312"/>
          <w:szCs w:val="32"/>
        </w:rPr>
        <w:t>磐石市统计局</w:t>
      </w:r>
      <w:r>
        <w:rPr>
          <w:rFonts w:hint="eastAsia" w:ascii="仿宋_GB2312" w:hAnsi="仿宋_GB2312" w:cs="仿宋_GB2312"/>
          <w:szCs w:val="32"/>
          <w:lang w:val="en-US" w:eastAsia="zh-CN"/>
        </w:rPr>
        <w:t>内设2个</w:t>
      </w:r>
      <w:r>
        <w:rPr>
          <w:rFonts w:hint="eastAsia" w:ascii="仿宋_GB2312" w:hAnsi="仿宋_GB2312" w:cs="仿宋_GB2312"/>
          <w:szCs w:val="32"/>
        </w:rPr>
        <w:t>机构，分别为：综合科、社会经济统计科。</w:t>
      </w:r>
    </w:p>
    <w:p>
      <w:pPr>
        <w:pStyle w:val="27"/>
        <w:ind w:firstLine="640" w:firstLineChars="200"/>
        <w:rPr>
          <w:rFonts w:hint="eastAsia" w:eastAsia="仿宋_GB2312"/>
        </w:rPr>
      </w:pPr>
      <w:r>
        <w:rPr>
          <w:rFonts w:hint="eastAsia" w:eastAsia="仿宋_GB2312"/>
        </w:rPr>
        <w:t>无下设预算单位。</w:t>
      </w: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170.89</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170.89</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290.33</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290.33</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170.89</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170.89</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30.47</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30.47</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984"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4.84</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4.84</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984"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10.80</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10.80</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984"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131.12</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131.12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984"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984"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984"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984"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131.12</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131.12</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szCs w:val="22"/>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szCs w:val="22"/>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302.01</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302.01</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336.44</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szCs w:val="22"/>
              </w:rPr>
            </w:pPr>
            <w:r>
              <w:rPr>
                <w:rFonts w:hint="default" w:eastAsia="宋体"/>
                <w:kern w:val="0"/>
                <w:sz w:val="20"/>
                <w:szCs w:val="22"/>
                <w:lang w:val="en-US" w:eastAsia="zh-CN"/>
              </w:rPr>
              <w:t>336.44</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984"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82"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34.43</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34.43</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82" w:type="dxa"/>
            <w:gridSpan w:val="2"/>
            <w:tcBorders>
              <w:top w:val="nil"/>
              <w:left w:val="nil"/>
              <w:bottom w:val="single" w:color="auto" w:sz="4" w:space="0"/>
              <w:right w:val="single" w:color="auto" w:sz="4" w:space="0"/>
            </w:tcBorders>
            <w:noWrap w:val="0"/>
            <w:vAlign w:val="center"/>
          </w:tcPr>
          <w:p>
            <w:pPr>
              <w:jc w:val="right"/>
              <w:rPr>
                <w:rFonts w:ascii="Times New Roman" w:hAnsi="Times New Roman" w:eastAsia="宋体" w:cs="Times New Roman"/>
                <w:kern w:val="0"/>
                <w:sz w:val="20"/>
                <w:szCs w:val="22"/>
                <w:lang w:val="en-US" w:eastAsia="zh-CN" w:bidi="ar-SA"/>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336.44</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336.44</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336.44</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336.44</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718"/>
        <w:gridCol w:w="794"/>
        <w:gridCol w:w="795"/>
        <w:gridCol w:w="375"/>
        <w:gridCol w:w="376"/>
        <w:gridCol w:w="419"/>
        <w:gridCol w:w="510"/>
        <w:gridCol w:w="480"/>
        <w:gridCol w:w="495"/>
        <w:gridCol w:w="435"/>
        <w:gridCol w:w="787"/>
        <w:gridCol w:w="623"/>
        <w:gridCol w:w="405"/>
        <w:gridCol w:w="465"/>
        <w:gridCol w:w="435"/>
        <w:gridCol w:w="480"/>
        <w:gridCol w:w="638"/>
      </w:tblGrid>
      <w:tr>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pPr>
              <w:autoSpaceDN w:val="0"/>
              <w:jc w:val="left"/>
              <w:textAlignment w:val="center"/>
              <w:rPr>
                <w:rFonts w:eastAsia="华文细黑"/>
                <w:color w:val="000000"/>
                <w:sz w:val="20"/>
              </w:rPr>
            </w:pPr>
          </w:p>
        </w:tc>
        <w:tc>
          <w:tcPr>
            <w:tcW w:w="4467"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717" w:type="dxa"/>
            <w:gridSpan w:val="3"/>
            <w:noWrap w:val="0"/>
            <w:vAlign w:val="center"/>
          </w:tcPr>
          <w:p>
            <w:pPr>
              <w:autoSpaceDN w:val="0"/>
              <w:jc w:val="left"/>
              <w:textAlignment w:val="center"/>
              <w:rPr>
                <w:rFonts w:eastAsia="华文细黑"/>
                <w:color w:val="000000"/>
                <w:sz w:val="20"/>
              </w:rPr>
            </w:pPr>
          </w:p>
        </w:tc>
        <w:tc>
          <w:tcPr>
            <w:tcW w:w="623" w:type="dxa"/>
            <w:noWrap w:val="0"/>
            <w:vAlign w:val="center"/>
          </w:tcPr>
          <w:p>
            <w:pPr>
              <w:autoSpaceDN w:val="0"/>
              <w:jc w:val="left"/>
              <w:textAlignment w:val="center"/>
              <w:rPr>
                <w:rFonts w:eastAsia="华文细黑"/>
                <w:color w:val="000000"/>
                <w:sz w:val="20"/>
              </w:rPr>
            </w:pPr>
          </w:p>
        </w:tc>
        <w:tc>
          <w:tcPr>
            <w:tcW w:w="405" w:type="dxa"/>
            <w:noWrap w:val="0"/>
            <w:vAlign w:val="center"/>
          </w:tcPr>
          <w:p>
            <w:pPr>
              <w:autoSpaceDN w:val="0"/>
              <w:jc w:val="left"/>
              <w:textAlignment w:val="center"/>
              <w:rPr>
                <w:rFonts w:eastAsia="华文细黑"/>
                <w:color w:val="000000"/>
                <w:sz w:val="20"/>
              </w:rPr>
            </w:pPr>
          </w:p>
        </w:tc>
        <w:tc>
          <w:tcPr>
            <w:tcW w:w="465" w:type="dxa"/>
            <w:noWrap w:val="0"/>
            <w:vAlign w:val="bottom"/>
          </w:tcPr>
          <w:p>
            <w:pPr>
              <w:autoSpaceDN w:val="0"/>
              <w:jc w:val="right"/>
              <w:textAlignment w:val="bottom"/>
              <w:rPr>
                <w:rFonts w:eastAsia="宋体"/>
                <w:color w:val="000000"/>
                <w:sz w:val="20"/>
              </w:rPr>
            </w:pPr>
          </w:p>
        </w:tc>
        <w:tc>
          <w:tcPr>
            <w:tcW w:w="1553"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718"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794"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46"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19"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707"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23"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305"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18"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79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75"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19"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2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pPr>
              <w:widowControl/>
              <w:ind w:left="113" w:right="113"/>
              <w:jc w:val="center"/>
              <w:rPr>
                <w:rFonts w:hint="eastAsia" w:eastAsia="宋体"/>
                <w:color w:val="000000"/>
                <w:sz w:val="20"/>
                <w:szCs w:val="20"/>
                <w:shd w:val="clear" w:color="auto" w:fill="FFFFFF"/>
                <w:lang w:eastAsia="zh-CN"/>
              </w:rPr>
            </w:pPr>
          </w:p>
        </w:tc>
        <w:tc>
          <w:tcPr>
            <w:tcW w:w="43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磐石市</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统计局</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336.44</w:t>
            </w: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302.01</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170.89</w:t>
            </w:r>
          </w:p>
        </w:tc>
        <w:tc>
          <w:tcPr>
            <w:tcW w:w="375"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19" w:type="dxa"/>
            <w:tcBorders>
              <w:top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16"/>
                <w:szCs w:val="16"/>
                <w:shd w:val="clear" w:color="auto" w:fill="FFFFFF"/>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131.12</w:t>
            </w: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34.43</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6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34.43</w:t>
            </w:r>
          </w:p>
        </w:tc>
      </w:tr>
      <w:tr>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375"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19" w:type="dxa"/>
            <w:tcBorders>
              <w:top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c>
          <w:tcPr>
            <w:tcW w:w="6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16"/>
                <w:szCs w:val="16"/>
                <w:shd w:val="clear" w:color="auto" w:fill="FFFFFF"/>
              </w:rPr>
            </w:pPr>
          </w:p>
        </w:tc>
      </w:tr>
      <w:tr>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16"/>
                <w:szCs w:val="16"/>
                <w:shd w:val="clear" w:color="auto" w:fill="FFFFFF"/>
                <w:lang w:val="en-US" w:eastAsia="zh-CN"/>
              </w:rPr>
            </w:pPr>
            <w:r>
              <w:rPr>
                <w:rFonts w:hint="eastAsia"/>
                <w:color w:val="000000"/>
                <w:sz w:val="16"/>
                <w:szCs w:val="16"/>
                <w:shd w:val="clear" w:color="auto" w:fill="FFFFFF"/>
                <w:lang w:val="en-US" w:eastAsia="zh-CN"/>
              </w:rPr>
              <w:t>336.44</w:t>
            </w: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16"/>
                <w:szCs w:val="16"/>
                <w:shd w:val="clear" w:color="auto" w:fill="FFFFFF"/>
                <w:lang w:val="en-US" w:eastAsia="zh-CN"/>
              </w:rPr>
            </w:pPr>
            <w:r>
              <w:rPr>
                <w:rFonts w:hint="eastAsia"/>
                <w:color w:val="000000"/>
                <w:sz w:val="16"/>
                <w:szCs w:val="16"/>
                <w:shd w:val="clear" w:color="auto" w:fill="FFFFFF"/>
                <w:lang w:val="en-US" w:eastAsia="zh-CN"/>
              </w:rPr>
              <w:t>302.01</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16"/>
                <w:szCs w:val="16"/>
                <w:shd w:val="clear" w:color="auto" w:fill="FFFFFF"/>
                <w:lang w:val="en-US" w:eastAsia="zh-CN"/>
              </w:rPr>
            </w:pPr>
            <w:r>
              <w:rPr>
                <w:rFonts w:hint="eastAsia"/>
                <w:color w:val="000000"/>
                <w:sz w:val="16"/>
                <w:szCs w:val="16"/>
                <w:shd w:val="clear" w:color="auto" w:fill="FFFFFF"/>
                <w:lang w:val="en-US" w:eastAsia="zh-CN"/>
              </w:rPr>
              <w:t>170.89</w:t>
            </w:r>
          </w:p>
        </w:tc>
        <w:tc>
          <w:tcPr>
            <w:tcW w:w="375"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419" w:type="dxa"/>
            <w:tcBorders>
              <w:top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16"/>
                <w:szCs w:val="16"/>
                <w:shd w:val="clear" w:color="auto" w:fill="FFFFFF"/>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16"/>
                <w:szCs w:val="16"/>
                <w:shd w:val="clear" w:color="auto" w:fill="FFFFFF"/>
                <w:lang w:val="en-US" w:eastAsia="zh-CN"/>
              </w:rPr>
            </w:pPr>
            <w:r>
              <w:rPr>
                <w:rFonts w:hint="eastAsia"/>
                <w:color w:val="000000"/>
                <w:sz w:val="16"/>
                <w:szCs w:val="16"/>
                <w:shd w:val="clear" w:color="auto" w:fill="FFFFFF"/>
                <w:lang w:val="en-US" w:eastAsia="zh-CN"/>
              </w:rPr>
              <w:t>131.12</w:t>
            </w:r>
          </w:p>
        </w:tc>
        <w:tc>
          <w:tcPr>
            <w:tcW w:w="6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16"/>
                <w:szCs w:val="16"/>
                <w:shd w:val="clear" w:color="auto" w:fill="FFFFFF"/>
                <w:lang w:val="en-US" w:eastAsia="zh-CN"/>
              </w:rPr>
            </w:pPr>
            <w:r>
              <w:rPr>
                <w:rFonts w:hint="eastAsia"/>
                <w:color w:val="000000"/>
                <w:sz w:val="16"/>
                <w:szCs w:val="16"/>
                <w:shd w:val="clear" w:color="auto" w:fill="FFFFFF"/>
                <w:lang w:val="en-US" w:eastAsia="zh-CN"/>
              </w:rPr>
              <w:t>34.43</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16"/>
                <w:szCs w:val="16"/>
                <w:shd w:val="clear" w:color="auto" w:fill="FFFFFF"/>
              </w:rPr>
            </w:pPr>
          </w:p>
        </w:tc>
        <w:tc>
          <w:tcPr>
            <w:tcW w:w="6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16"/>
                <w:szCs w:val="16"/>
                <w:shd w:val="clear" w:color="auto" w:fill="FFFFFF"/>
                <w:lang w:val="en-US" w:eastAsia="zh-CN"/>
              </w:rPr>
            </w:pPr>
            <w:r>
              <w:rPr>
                <w:rFonts w:hint="eastAsia"/>
                <w:color w:val="000000"/>
                <w:sz w:val="16"/>
                <w:szCs w:val="16"/>
                <w:shd w:val="clear" w:color="auto" w:fill="FFFFFF"/>
                <w:lang w:val="en-US" w:eastAsia="zh-CN"/>
              </w:rPr>
              <w:t>34.43</w:t>
            </w: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tblPrEx>
          <w:tblCellMar>
            <w:top w:w="0" w:type="dxa"/>
            <w:left w:w="108" w:type="dxa"/>
            <w:bottom w:w="0" w:type="dxa"/>
            <w:right w:w="108" w:type="dxa"/>
          </w:tblCellMar>
        </w:tblPrEx>
        <w:trPr>
          <w:trHeight w:val="12453" w:hRule="atLeast"/>
          <w:jc w:val="center"/>
        </w:trPr>
        <w:tc>
          <w:tcPr>
            <w:tcW w:w="10405" w:type="dxa"/>
            <w:gridSpan w:val="2"/>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355"/>
              <w:gridCol w:w="1061"/>
              <w:gridCol w:w="1306"/>
              <w:gridCol w:w="1090"/>
              <w:gridCol w:w="1297"/>
              <w:gridCol w:w="1266"/>
              <w:gridCol w:w="30"/>
              <w:gridCol w:w="1297"/>
              <w:gridCol w:w="138"/>
            </w:tblGrid>
            <w:tr>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pPr>
                    <w:widowControl/>
                    <w:jc w:val="left"/>
                    <w:rPr>
                      <w:rFonts w:eastAsia="华文细黑"/>
                      <w:color w:val="000000"/>
                      <w:kern w:val="0"/>
                      <w:sz w:val="20"/>
                    </w:rPr>
                  </w:pPr>
                </w:p>
              </w:tc>
              <w:tc>
                <w:tcPr>
                  <w:tcW w:w="1297" w:type="dxa"/>
                  <w:tcBorders>
                    <w:bottom w:val="single" w:color="000000" w:sz="4" w:space="0"/>
                  </w:tcBorders>
                  <w:noWrap w:val="0"/>
                  <w:vAlign w:val="center"/>
                </w:tcPr>
                <w:p>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936" w:hRule="atLeast"/>
              </w:trPr>
              <w:tc>
                <w:tcPr>
                  <w:tcW w:w="2355"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061"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586"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一、一般公共服务支出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290.33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105.06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185.27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3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统计信息事务</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290.33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105.06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185.27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行政运行</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105.06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105.06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一般行政管理事务</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13.72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13.72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3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default" w:eastAsia="宋体"/>
                      <w:color w:val="000000"/>
                      <w:kern w:val="0"/>
                      <w:sz w:val="20"/>
                      <w:lang w:val="en-US" w:eastAsia="zh-CN"/>
                    </w:rPr>
                  </w:pPr>
                  <w:r>
                    <w:rPr>
                      <w:rFonts w:hint="eastAsia" w:ascii="宋体" w:hAnsi="宋体" w:eastAsia="宋体" w:cs="宋体"/>
                      <w:i w:val="0"/>
                      <w:color w:val="000000"/>
                      <w:kern w:val="0"/>
                      <w:sz w:val="20"/>
                      <w:szCs w:val="20"/>
                      <w:u w:val="none"/>
                      <w:lang w:val="en-US" w:eastAsia="zh-CN" w:bidi="ar"/>
                    </w:rPr>
                    <w:t>专项普查活动</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171.55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171.55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二、社会保障和就业支出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30.47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30.47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5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行政事业单位养老支出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30.47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30.47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行政单位离退休</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11.69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11.69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12.52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12.52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eastAsia="华文细黑"/>
                      <w:color w:val="000000"/>
                      <w:kern w:val="0"/>
                      <w:sz w:val="20"/>
                      <w:lang w:eastAsia="zh-CN"/>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6.26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6.26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三、卫生健康支出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行政事业单位医疗</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行政单位医疗</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四、住房保障支出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4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住房改革支出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9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住房公积金</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10.80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eastAsia="华文细黑"/>
                      <w:color w:val="000000"/>
                      <w:kern w:val="0"/>
                      <w:sz w:val="20"/>
                    </w:rPr>
                  </w:pPr>
                  <w:r>
                    <w:rPr>
                      <w:rFonts w:eastAsia="华文细黑"/>
                      <w:color w:val="000000"/>
                      <w:kern w:val="0"/>
                      <w:sz w:val="20"/>
                    </w:rPr>
                    <w:t>合计</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336.44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151.17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185.27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r>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170.89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170.89</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170.89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170.89</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szCs w:val="22"/>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170.89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170.89</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ascii="宋体" w:hAnsi="宋体" w:eastAsia="宋体" w:cs="宋体"/>
                      <w:color w:val="000000"/>
                      <w:kern w:val="0"/>
                      <w:sz w:val="20"/>
                      <w:szCs w:val="20"/>
                      <w:lang w:eastAsia="zh-CN"/>
                    </w:rPr>
                    <w:t>（一）</w:t>
                  </w:r>
                  <w:r>
                    <w:rPr>
                      <w:rFonts w:hint="eastAsia" w:ascii="宋体" w:hAnsi="宋体" w:eastAsia="宋体" w:cs="宋体"/>
                      <w:color w:val="000000"/>
                      <w:kern w:val="0"/>
                      <w:sz w:val="20"/>
                      <w:szCs w:val="20"/>
                    </w:rPr>
                    <w:t>一般公共服务</w:t>
                  </w:r>
                  <w:r>
                    <w:rPr>
                      <w:rFonts w:hint="eastAsia" w:ascii="宋体" w:hAnsi="宋体" w:eastAsia="宋体" w:cs="宋体"/>
                      <w:color w:val="000000"/>
                      <w:kern w:val="0"/>
                      <w:sz w:val="20"/>
                      <w:szCs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124.78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eastAsia="宋体"/>
                      <w:kern w:val="0"/>
                      <w:sz w:val="20"/>
                      <w:lang w:val="en-US"/>
                    </w:rPr>
                  </w:pPr>
                  <w:r>
                    <w:rPr>
                      <w:rFonts w:hint="eastAsia" w:eastAsia="宋体"/>
                      <w:kern w:val="0"/>
                      <w:sz w:val="20"/>
                      <w:lang w:val="en-US" w:eastAsia="zh-CN"/>
                    </w:rPr>
                    <w:t>124.78</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二</w:t>
                  </w:r>
                  <w:r>
                    <w:rPr>
                      <w:rFonts w:hint="eastAsia" w:ascii="宋体" w:hAnsi="宋体" w:eastAsia="宋体" w:cs="宋体"/>
                      <w:color w:val="000000"/>
                      <w:sz w:val="20"/>
                      <w:szCs w:val="20"/>
                      <w:lang w:eastAsia="zh-CN"/>
                    </w:rPr>
                    <w:t>）社会保障和就业</w:t>
                  </w:r>
                  <w:r>
                    <w:rPr>
                      <w:rFonts w:hint="eastAsia" w:ascii="宋体" w:hAnsi="宋体" w:eastAsia="宋体" w:cs="宋体"/>
                      <w:color w:val="000000"/>
                      <w:sz w:val="20"/>
                      <w:szCs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30.47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30.47</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三</w:t>
                  </w:r>
                  <w:r>
                    <w:rPr>
                      <w:rFonts w:hint="eastAsia" w:ascii="宋体" w:hAnsi="宋体" w:eastAsia="宋体" w:cs="宋体"/>
                      <w:color w:val="000000"/>
                      <w:sz w:val="20"/>
                      <w:szCs w:val="20"/>
                      <w:lang w:eastAsia="zh-CN"/>
                    </w:rPr>
                    <w:t>）卫生健康</w:t>
                  </w:r>
                  <w:r>
                    <w:rPr>
                      <w:rFonts w:hint="eastAsia" w:ascii="宋体" w:hAnsi="宋体" w:eastAsia="宋体" w:cs="宋体"/>
                      <w:color w:val="000000"/>
                      <w:sz w:val="20"/>
                      <w:szCs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4.84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4.84</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ascii="宋体" w:hAnsi="宋体" w:eastAsia="宋体" w:cs="宋体"/>
                      <w:color w:val="000000"/>
                      <w:sz w:val="20"/>
                      <w:szCs w:val="20"/>
                      <w:lang w:eastAsia="zh-CN"/>
                    </w:rPr>
                    <w:t>（四）住房保障</w:t>
                  </w:r>
                  <w:r>
                    <w:rPr>
                      <w:rFonts w:hint="eastAsia" w:ascii="宋体" w:hAnsi="宋体" w:eastAsia="宋体" w:cs="宋体"/>
                      <w:color w:val="000000"/>
                      <w:sz w:val="20"/>
                      <w:szCs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10.80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10.80</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r>
                    <w:rPr>
                      <w:rFonts w:hint="eastAsia" w:eastAsia="黑体"/>
                      <w:kern w:val="0"/>
                      <w:sz w:val="20"/>
                      <w:lang w:val="en-US" w:eastAsia="zh-CN"/>
                    </w:rPr>
                    <w:t>170.89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黑体"/>
                      <w:kern w:val="0"/>
                      <w:sz w:val="20"/>
                      <w:lang w:val="en-US" w:eastAsia="zh-CN"/>
                    </w:rPr>
                  </w:pPr>
                  <w:r>
                    <w:rPr>
                      <w:rFonts w:hint="eastAsia" w:eastAsia="黑体"/>
                      <w:kern w:val="0"/>
                      <w:sz w:val="20"/>
                      <w:lang w:val="en-US" w:eastAsia="zh-CN"/>
                    </w:rPr>
                    <w:t>170.89</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170.89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r>
                    <w:rPr>
                      <w:rFonts w:hint="eastAsia" w:eastAsia="宋体"/>
                      <w:kern w:val="0"/>
                      <w:sz w:val="20"/>
                      <w:lang w:val="en-US" w:eastAsia="zh-CN"/>
                    </w:rPr>
                    <w:t>170.89</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bl>
          <w:p>
            <w:pPr>
              <w:widowControl/>
              <w:rPr>
                <w:rFonts w:eastAsia="方正小标宋简体"/>
                <w:kern w:val="0"/>
                <w:sz w:val="44"/>
                <w:szCs w:val="44"/>
              </w:rPr>
            </w:pPr>
          </w:p>
        </w:tc>
      </w:tr>
    </w:tbl>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649"/>
              <w:gridCol w:w="1037"/>
              <w:gridCol w:w="1134"/>
              <w:gridCol w:w="1134"/>
              <w:gridCol w:w="1134"/>
              <w:gridCol w:w="170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649"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03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649"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03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649"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03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一、一般公共服务支出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124.78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21.41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19.72</w:t>
                  </w: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统计信息事务</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124.78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21.41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19.72</w:t>
                  </w: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行政运行</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21.41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一般行政管理事务</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13.72</w:t>
                  </w: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6.00</w:t>
                  </w: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二、社会保障和就业支出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30.47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30.47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30.47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行政事业单位养老支出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30.47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30.47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30.47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行政单位离退休</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eastAsia="华文细黑"/>
                      <w:color w:val="000000"/>
                      <w:kern w:val="0"/>
                      <w:sz w:val="20"/>
                      <w:lang w:eastAsia="zh-CN"/>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三、卫生健康支出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行政事业单位医疗</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行政单位医疗</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四、住房保障支出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住房改革支出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住房公积金</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330" w:hRule="atLeast"/>
              </w:trPr>
              <w:tc>
                <w:tcPr>
                  <w:tcW w:w="26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170.89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151.17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129.76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21.41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19.72</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rPr>
          <w:rFonts w:eastAsia="楷体"/>
        </w:rPr>
      </w:pPr>
    </w:p>
    <w:tbl>
      <w:tblPr>
        <w:tblStyle w:val="9"/>
        <w:tblW w:w="0" w:type="auto"/>
        <w:jc w:val="center"/>
        <w:tblLayout w:type="fixed"/>
        <w:tblCellMar>
          <w:top w:w="0" w:type="dxa"/>
          <w:left w:w="108" w:type="dxa"/>
          <w:bottom w:w="0" w:type="dxa"/>
          <w:right w:w="108" w:type="dxa"/>
        </w:tblCellMar>
      </w:tblPr>
      <w:tblGrid>
        <w:gridCol w:w="3543"/>
        <w:gridCol w:w="1853"/>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543"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1853"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543" w:type="dxa"/>
            <w:tcBorders>
              <w:top w:val="single" w:color="auto" w:sz="4" w:space="0"/>
              <w:left w:val="single" w:color="auto" w:sz="4" w:space="0"/>
              <w:right w:val="single" w:color="auto" w:sz="4" w:space="0"/>
            </w:tcBorders>
            <w:noWrap w:val="0"/>
            <w:vAlign w:val="center"/>
          </w:tcPr>
          <w:p>
            <w:pPr>
              <w:widowControl/>
              <w:jc w:val="center"/>
              <w:rPr>
                <w:rFonts w:hint="eastAsia" w:eastAsia="华文细黑"/>
                <w:color w:val="000000"/>
                <w:kern w:val="0"/>
                <w:sz w:val="20"/>
                <w:szCs w:val="22"/>
                <w:lang w:eastAsia="zh-CN"/>
              </w:rPr>
            </w:pPr>
            <w:r>
              <w:rPr>
                <w:rFonts w:hint="eastAsia" w:eastAsia="华文细黑"/>
                <w:color w:val="000000"/>
                <w:kern w:val="0"/>
                <w:sz w:val="20"/>
                <w:szCs w:val="22"/>
                <w:lang w:eastAsia="zh-CN"/>
              </w:rPr>
              <w:t>部门预算支出经济分类科目</w:t>
            </w:r>
          </w:p>
        </w:tc>
        <w:tc>
          <w:tcPr>
            <w:tcW w:w="1853" w:type="dxa"/>
            <w:tcBorders>
              <w:top w:val="single" w:color="auto" w:sz="4" w:space="0"/>
              <w:left w:val="single" w:color="auto" w:sz="4" w:space="0"/>
              <w:right w:val="single" w:color="auto" w:sz="4" w:space="0"/>
            </w:tcBorders>
            <w:noWrap w:val="0"/>
            <w:vAlign w:val="center"/>
          </w:tcPr>
          <w:p>
            <w:pPr>
              <w:widowControl/>
              <w:jc w:val="center"/>
              <w:rPr>
                <w:rFonts w:hint="eastAsia" w:eastAsia="华文细黑"/>
                <w:color w:val="000000"/>
                <w:kern w:val="0"/>
                <w:sz w:val="20"/>
                <w:szCs w:val="22"/>
              </w:rPr>
            </w:pPr>
            <w:r>
              <w:rPr>
                <w:rFonts w:hint="eastAsia" w:eastAsia="华文细黑"/>
                <w:color w:val="000000"/>
                <w:kern w:val="0"/>
                <w:sz w:val="20"/>
                <w:szCs w:val="22"/>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rPr>
                <w:rFonts w:hint="eastAsia" w:eastAsia="华文细黑"/>
                <w:color w:val="000000"/>
                <w:kern w:val="0"/>
                <w:sz w:val="20"/>
                <w:szCs w:val="22"/>
              </w:rPr>
            </w:pPr>
            <w:r>
              <w:rPr>
                <w:rFonts w:hint="eastAsia" w:eastAsia="华文细黑"/>
                <w:color w:val="000000"/>
                <w:kern w:val="0"/>
                <w:sz w:val="20"/>
                <w:szCs w:val="22"/>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华文细黑"/>
                <w:color w:val="000000"/>
                <w:kern w:val="0"/>
                <w:sz w:val="20"/>
                <w:szCs w:val="22"/>
              </w:rPr>
            </w:pPr>
            <w:r>
              <w:rPr>
                <w:rFonts w:hint="eastAsia" w:eastAsia="华文细黑"/>
                <w:color w:val="000000"/>
                <w:kern w:val="0"/>
                <w:sz w:val="20"/>
                <w:szCs w:val="22"/>
              </w:rPr>
              <w:t>公用经费</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color w:val="000000"/>
                <w:kern w:val="0"/>
                <w:sz w:val="20"/>
                <w:szCs w:val="20"/>
                <w:u w:val="none"/>
                <w:lang w:val="en-US" w:eastAsia="zh-CN" w:bidi="ar"/>
              </w:rPr>
              <w:t>一、工资福利支出</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117.67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117.67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color w:val="000000"/>
                <w:kern w:val="0"/>
                <w:sz w:val="20"/>
                <w:szCs w:val="20"/>
                <w:u w:val="none"/>
                <w:lang w:val="en-US" w:eastAsia="zh-CN" w:bidi="ar"/>
              </w:rPr>
              <w:t>基本工资</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41.16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41.16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color w:val="000000"/>
                <w:kern w:val="0"/>
                <w:sz w:val="20"/>
                <w:szCs w:val="20"/>
                <w:u w:val="none"/>
                <w:lang w:val="en-US" w:eastAsia="zh-CN" w:bidi="ar"/>
              </w:rPr>
              <w:t>津贴补贴</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22.80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22.80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color w:val="000000"/>
                <w:kern w:val="0"/>
                <w:sz w:val="20"/>
                <w:szCs w:val="20"/>
                <w:u w:val="none"/>
                <w:lang w:val="en-US" w:eastAsia="zh-CN" w:bidi="ar"/>
              </w:rPr>
              <w:t>奖金</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17.93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17.93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9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kern w:val="0"/>
                <w:sz w:val="20"/>
              </w:rPr>
            </w:pPr>
            <w:r>
              <w:rPr>
                <w:rFonts w:hint="eastAsia" w:ascii="宋体" w:hAnsi="宋体" w:eastAsia="宋体" w:cs="宋体"/>
                <w:i w:val="0"/>
                <w:color w:val="000000"/>
                <w:kern w:val="0"/>
                <w:sz w:val="20"/>
                <w:szCs w:val="20"/>
                <w:u w:val="none"/>
                <w:lang w:val="en-US" w:eastAsia="zh-CN" w:bidi="ar"/>
              </w:rPr>
              <w:t>机关事业单位基本养老保险缴费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12.52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12.52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kern w:val="0"/>
                <w:sz w:val="20"/>
              </w:rPr>
            </w:pPr>
            <w:r>
              <w:rPr>
                <w:rFonts w:hint="eastAsia" w:ascii="宋体" w:hAnsi="宋体" w:eastAsia="宋体" w:cs="宋体"/>
                <w:i w:val="0"/>
                <w:color w:val="000000"/>
                <w:kern w:val="0"/>
                <w:sz w:val="20"/>
                <w:szCs w:val="20"/>
                <w:u w:val="none"/>
                <w:lang w:val="en-US" w:eastAsia="zh-CN" w:bidi="ar"/>
              </w:rPr>
              <w:t>职业年金缴费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6.26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6.26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kern w:val="0"/>
                <w:sz w:val="20"/>
              </w:rPr>
            </w:pPr>
            <w:r>
              <w:rPr>
                <w:rFonts w:hint="eastAsia" w:ascii="宋体" w:hAnsi="宋体" w:eastAsia="宋体" w:cs="宋体"/>
                <w:i w:val="0"/>
                <w:color w:val="000000"/>
                <w:kern w:val="0"/>
                <w:sz w:val="20"/>
                <w:szCs w:val="20"/>
                <w:u w:val="none"/>
                <w:lang w:val="en-US" w:eastAsia="zh-CN" w:bidi="ar"/>
              </w:rPr>
              <w:t>职工基本医疗保险缴费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4.71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4.71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其他社会保障缴费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住房公积金</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10.80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10.80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医疗费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二、商品和服务支出</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20.76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20.76</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办公费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4.22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4.22</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印刷费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0.19</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邮电费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差旅费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3.10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3.10</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培训费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0.31</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公务接待费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工会经费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1.27</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其他交通费用</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5.34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5.34</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其他商品和服务支出</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5.62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5.62</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三、对个人和家庭的补助</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12.09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12.09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退休费</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11.69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11.69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其他对个人和家庭的补助</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sz w:val="20"/>
                <w:szCs w:val="20"/>
                <w:u w:val="none"/>
                <w:lang w:val="en-US" w:eastAsia="zh-CN"/>
              </w:rPr>
            </w:pP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lang w:bidi="ar"/>
              </w:rPr>
            </w:pPr>
            <w:r>
              <w:rPr>
                <w:rFonts w:hint="eastAsia" w:ascii="宋体" w:hAnsi="宋体" w:eastAsia="宋体" w:cs="宋体"/>
                <w:i w:val="0"/>
                <w:color w:val="000000"/>
                <w:kern w:val="0"/>
                <w:sz w:val="20"/>
                <w:szCs w:val="20"/>
                <w:u w:val="none"/>
                <w:lang w:val="en-US" w:eastAsia="zh-CN" w:bidi="ar"/>
              </w:rPr>
              <w:t>四、资本性支出</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340" w:hRule="atLeast"/>
          <w:jc w:val="center"/>
        </w:trPr>
        <w:tc>
          <w:tcPr>
            <w:tcW w:w="3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lang w:bidi="ar"/>
              </w:rPr>
            </w:pPr>
            <w:r>
              <w:rPr>
                <w:rFonts w:hint="eastAsia" w:ascii="宋体" w:hAnsi="宋体" w:eastAsia="宋体" w:cs="宋体"/>
                <w:i w:val="0"/>
                <w:color w:val="000000"/>
                <w:kern w:val="0"/>
                <w:sz w:val="20"/>
                <w:szCs w:val="20"/>
                <w:u w:val="none"/>
                <w:lang w:val="en-US" w:eastAsia="zh-CN" w:bidi="ar"/>
              </w:rPr>
              <w:t>办公设备购置</w:t>
            </w:r>
          </w:p>
        </w:tc>
        <w:tc>
          <w:tcPr>
            <w:tcW w:w="18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宋体" w:hAnsi="宋体" w:eastAsia="宋体" w:cs="宋体"/>
                <w:i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0.65</w:t>
            </w:r>
          </w:p>
        </w:tc>
      </w:tr>
    </w:tbl>
    <w:p>
      <w:pPr>
        <w:rPr>
          <w:sz w:val="16"/>
          <w:szCs w:val="16"/>
        </w:rPr>
      </w:pPr>
    </w:p>
    <w:p>
      <w:pPr>
        <w:rPr>
          <w:sz w:val="16"/>
          <w:szCs w:val="16"/>
        </w:rPr>
      </w:pPr>
    </w:p>
    <w:p>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0.16</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0.16</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rPr>
          <w:rFonts w:hint="eastAsia" w:ascii="仿宋" w:hAnsi="仿宋" w:eastAsia="仿宋" w:cs="仿宋"/>
          <w:kern w:val="0"/>
          <w:szCs w:val="32"/>
          <w:lang w:val="en-US" w:eastAsia="zh-CN"/>
        </w:rPr>
      </w:pPr>
      <w:r>
        <w:rPr>
          <w:rFonts w:hint="eastAsia" w:ascii="仿宋" w:hAnsi="仿宋" w:eastAsia="仿宋" w:cs="仿宋"/>
          <w:kern w:val="0"/>
          <w:sz w:val="28"/>
          <w:szCs w:val="28"/>
          <w:lang w:eastAsia="zh-CN"/>
        </w:rPr>
        <w:t>说明：本单位</w:t>
      </w:r>
      <w:r>
        <w:rPr>
          <w:rFonts w:hint="eastAsia" w:ascii="仿宋" w:hAnsi="仿宋" w:eastAsia="仿宋" w:cs="仿宋"/>
          <w:kern w:val="0"/>
          <w:sz w:val="28"/>
          <w:szCs w:val="28"/>
          <w:lang w:val="en-US" w:eastAsia="zh-CN"/>
        </w:rPr>
        <w:t>2026年度无政府性基金支出预算，故本表无数据。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rPr>
          <w:rFonts w:hint="eastAsia" w:ascii="仿宋" w:hAnsi="仿宋" w:eastAsia="仿宋" w:cs="仿宋"/>
          <w:kern w:val="0"/>
          <w:sz w:val="28"/>
          <w:szCs w:val="28"/>
        </w:rPr>
      </w:pPr>
      <w:r>
        <w:rPr>
          <w:rFonts w:hint="eastAsia" w:ascii="仿宋" w:hAnsi="仿宋" w:eastAsia="仿宋" w:cs="仿宋"/>
          <w:kern w:val="0"/>
          <w:sz w:val="28"/>
          <w:szCs w:val="28"/>
          <w:lang w:eastAsia="zh-CN"/>
        </w:rPr>
        <w:t>说明：本单位</w:t>
      </w:r>
      <w:r>
        <w:rPr>
          <w:rFonts w:hint="eastAsia" w:ascii="仿宋" w:hAnsi="仿宋" w:eastAsia="仿宋" w:cs="仿宋"/>
          <w:kern w:val="0"/>
          <w:sz w:val="28"/>
          <w:szCs w:val="28"/>
          <w:lang w:val="en-US" w:eastAsia="zh-CN"/>
        </w:rPr>
        <w:t>2026年度无国有资本经营支出预算，故本表无数据。</w:t>
      </w:r>
    </w:p>
    <w:p>
      <w:pPr>
        <w:spacing w:line="700" w:lineRule="exact"/>
        <w:rPr>
          <w:rFonts w:eastAsia="楷体"/>
          <w:kern w:val="0"/>
          <w:szCs w:val="32"/>
        </w:rPr>
      </w:pPr>
    </w:p>
    <w:p>
      <w:pPr>
        <w:rPr>
          <w:rFonts w:eastAsia="楷体"/>
          <w:kern w:val="0"/>
          <w:szCs w:val="32"/>
        </w:rPr>
      </w:pPr>
    </w:p>
    <w:p>
      <w:pPr>
        <w:rPr>
          <w:rFonts w:eastAsia="楷体"/>
          <w:kern w:val="0"/>
          <w:szCs w:val="32"/>
        </w:rPr>
      </w:pPr>
    </w:p>
    <w:p>
      <w:pPr>
        <w:spacing w:line="700" w:lineRule="exact"/>
        <w:jc w:val="both"/>
        <w:rPr>
          <w:rFonts w:hint="default" w:eastAsia="楷体"/>
          <w:kern w:val="0"/>
          <w:szCs w:val="32"/>
          <w:lang w:val="en-US" w:eastAsia="zh-CN"/>
        </w:rPr>
      </w:pPr>
    </w:p>
    <w:p>
      <w:pPr>
        <w:spacing w:line="700" w:lineRule="exact"/>
        <w:jc w:val="both"/>
        <w:rPr>
          <w:rFonts w:hint="default" w:eastAsia="楷体"/>
          <w:kern w:val="0"/>
          <w:szCs w:val="32"/>
          <w:lang w:val="en-US" w:eastAsia="zh-CN"/>
        </w:rPr>
      </w:pPr>
    </w:p>
    <w:p>
      <w:pPr>
        <w:spacing w:line="700" w:lineRule="exact"/>
        <w:jc w:val="both"/>
        <w:rPr>
          <w:rFonts w:hint="default" w:eastAsia="楷体"/>
          <w:kern w:val="0"/>
          <w:szCs w:val="32"/>
          <w:lang w:val="en-US" w:eastAsia="zh-CN"/>
        </w:rPr>
      </w:pPr>
    </w:p>
    <w:p>
      <w:pPr>
        <w:spacing w:line="700" w:lineRule="exact"/>
        <w:jc w:val="both"/>
        <w:rPr>
          <w:rFonts w:hint="default" w:eastAsia="楷体"/>
          <w:kern w:val="0"/>
          <w:szCs w:val="32"/>
          <w:lang w:val="en-US" w:eastAsia="zh-CN"/>
        </w:rPr>
      </w:pPr>
    </w:p>
    <w:p>
      <w:pPr>
        <w:rPr>
          <w:rFonts w:eastAsia="楷体"/>
          <w:kern w:val="0"/>
          <w:szCs w:val="32"/>
        </w:rPr>
      </w:pPr>
    </w:p>
    <w:tbl>
      <w:tblPr>
        <w:tblStyle w:val="9"/>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855"/>
        <w:gridCol w:w="750"/>
        <w:gridCol w:w="240"/>
        <w:gridCol w:w="855"/>
        <w:gridCol w:w="945"/>
        <w:gridCol w:w="945"/>
        <w:gridCol w:w="360"/>
        <w:gridCol w:w="360"/>
        <w:gridCol w:w="375"/>
        <w:gridCol w:w="825"/>
        <w:gridCol w:w="390"/>
        <w:gridCol w:w="375"/>
        <w:gridCol w:w="360"/>
        <w:gridCol w:w="54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003"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3"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605"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55"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945"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865"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20"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73"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845"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55"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945"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865" w:type="dxa"/>
            <w:gridSpan w:val="5"/>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420"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73"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55"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90"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85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945"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665"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5"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25" w:type="dxa"/>
            <w:vMerge w:val="restart"/>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资金</w:t>
            </w:r>
          </w:p>
        </w:tc>
        <w:tc>
          <w:tcPr>
            <w:tcW w:w="1125"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95"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073"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55"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990"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55"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945"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94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0"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2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39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40"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5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31</w:t>
            </w:r>
            <w:r>
              <w:rPr>
                <w:rFonts w:hint="eastAsia" w:ascii="宋体" w:hAnsi="宋体" w:eastAsia="宋体" w:cs="宋体"/>
                <w:kern w:val="0"/>
                <w:sz w:val="20"/>
                <w:szCs w:val="20"/>
              </w:rPr>
              <w:t>部门特定目标类项目</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lang w:eastAsia="zh-CN"/>
              </w:rPr>
            </w:pPr>
          </w:p>
        </w:tc>
        <w:tc>
          <w:tcPr>
            <w:tcW w:w="9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185.27</w:t>
            </w: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19.72</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131.12</w:t>
            </w:r>
          </w:p>
        </w:tc>
        <w:tc>
          <w:tcPr>
            <w:tcW w:w="3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专项统计业务</w:t>
            </w:r>
          </w:p>
        </w:tc>
        <w:tc>
          <w:tcPr>
            <w:tcW w:w="9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13.72</w:t>
            </w: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13.72</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9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综合统计业务费</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磐石市统计局</w:t>
            </w: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13.72</w:t>
            </w: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13.72</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专项普查活动</w:t>
            </w:r>
          </w:p>
        </w:tc>
        <w:tc>
          <w:tcPr>
            <w:tcW w:w="9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171.55</w:t>
            </w: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6.00</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131.12</w:t>
            </w:r>
          </w:p>
        </w:tc>
        <w:tc>
          <w:tcPr>
            <w:tcW w:w="3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9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大型普查综合业务费</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eastAsia="zh-CN"/>
              </w:rPr>
              <w:t>磐石市统计局</w:t>
            </w: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171.55</w:t>
            </w: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6.00</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131.12</w:t>
            </w:r>
          </w:p>
        </w:tc>
        <w:tc>
          <w:tcPr>
            <w:tcW w:w="3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合计</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9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0"/>
                <w:szCs w:val="20"/>
              </w:rPr>
            </w:pP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185.27</w:t>
            </w:r>
          </w:p>
        </w:tc>
        <w:tc>
          <w:tcPr>
            <w:tcW w:w="945" w:type="dxa"/>
            <w:noWrap w:val="0"/>
            <w:vAlign w:val="center"/>
          </w:tcPr>
          <w:p>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19.72</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131.12</w:t>
            </w:r>
          </w:p>
        </w:tc>
        <w:tc>
          <w:tcPr>
            <w:tcW w:w="3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34.43</w:t>
            </w:r>
          </w:p>
        </w:tc>
      </w:tr>
    </w:tbl>
    <w:p>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int="default" w:hAnsi="楷体" w:eastAsia="楷体"/>
          <w:lang w:val="en-US" w:eastAsia="zh-CN"/>
        </w:rPr>
      </w:pPr>
    </w:p>
    <w:p>
      <w:pPr>
        <w:ind w:firstLine="640" w:firstLineChars="200"/>
        <w:rPr>
          <w:rFonts w:hint="default" w:hAnsi="楷体" w:eastAsia="楷体"/>
          <w:lang w:val="en-US" w:eastAsia="zh-CN"/>
        </w:rPr>
      </w:pPr>
    </w:p>
    <w:p>
      <w:pPr>
        <w:spacing w:line="700" w:lineRule="exact"/>
        <w:rPr>
          <w:rFonts w:hint="eastAsia" w:eastAsia="楷体"/>
          <w:kern w:val="0"/>
          <w:szCs w:val="32"/>
        </w:rPr>
      </w:pPr>
    </w:p>
    <w:p>
      <w:pPr>
        <w:ind w:firstLine="640" w:firstLineChars="200"/>
        <w:jc w:val="center"/>
        <w:rPr>
          <w:rFonts w:eastAsia="黑体"/>
        </w:rPr>
      </w:pPr>
    </w:p>
    <w:tbl>
      <w:tblPr>
        <w:tblStyle w:val="9"/>
        <w:tblW w:w="8985" w:type="dxa"/>
        <w:tblInd w:w="-328" w:type="dxa"/>
        <w:shd w:val="clear" w:color="auto" w:fill="auto"/>
        <w:tblLayout w:type="fixed"/>
        <w:tblCellMar>
          <w:top w:w="0" w:type="dxa"/>
          <w:left w:w="0" w:type="dxa"/>
          <w:bottom w:w="0" w:type="dxa"/>
          <w:right w:w="0" w:type="dxa"/>
        </w:tblCellMar>
      </w:tblPr>
      <w:tblGrid>
        <w:gridCol w:w="748"/>
        <w:gridCol w:w="722"/>
        <w:gridCol w:w="690"/>
        <w:gridCol w:w="1545"/>
        <w:gridCol w:w="705"/>
        <w:gridCol w:w="780"/>
        <w:gridCol w:w="930"/>
        <w:gridCol w:w="1035"/>
        <w:gridCol w:w="1035"/>
        <w:gridCol w:w="795"/>
      </w:tblGrid>
      <w:tr>
        <w:tblPrEx>
          <w:shd w:val="clear" w:color="auto" w:fill="auto"/>
          <w:tblCellMar>
            <w:top w:w="0" w:type="dxa"/>
            <w:left w:w="0" w:type="dxa"/>
            <w:bottom w:w="0" w:type="dxa"/>
            <w:right w:w="0" w:type="dxa"/>
          </w:tblCellMar>
        </w:tblPrEx>
        <w:trPr>
          <w:trHeight w:val="330" w:hRule="atLeast"/>
        </w:trPr>
        <w:tc>
          <w:tcPr>
            <w:tcW w:w="8985"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ascii="华文细黑" w:hAnsi="华文细黑" w:eastAsia="华文细黑" w:cs="华文细黑"/>
                <w:i w:val="0"/>
                <w:color w:val="000000"/>
                <w:sz w:val="18"/>
                <w:szCs w:val="18"/>
                <w:u w:val="none"/>
              </w:rPr>
            </w:pPr>
          </w:p>
        </w:tc>
      </w:tr>
      <w:tr>
        <w:tblPrEx>
          <w:shd w:val="clear" w:color="auto" w:fill="auto"/>
          <w:tblCellMar>
            <w:top w:w="0" w:type="dxa"/>
            <w:left w:w="0" w:type="dxa"/>
            <w:bottom w:w="0" w:type="dxa"/>
            <w:right w:w="0" w:type="dxa"/>
          </w:tblCellMar>
        </w:tblPrEx>
        <w:trPr>
          <w:trHeight w:val="585" w:hRule="atLeast"/>
        </w:trPr>
        <w:tc>
          <w:tcPr>
            <w:tcW w:w="8985" w:type="dxa"/>
            <w:gridSpan w:val="10"/>
            <w:tcBorders>
              <w:top w:val="nil"/>
              <w:left w:val="nil"/>
              <w:bottom w:val="nil"/>
              <w:right w:val="nil"/>
            </w:tcBorders>
            <w:shd w:val="clear" w:color="auto" w:fill="FFFFFF"/>
            <w:noWrap/>
            <w:tcMar>
              <w:top w:w="15" w:type="dxa"/>
              <w:left w:w="15" w:type="dxa"/>
              <w:right w:w="15" w:type="dxa"/>
            </w:tcMar>
            <w:vAlign w:val="center"/>
          </w:tcPr>
          <w:p>
            <w:pPr>
              <w:widowControl/>
              <w:jc w:val="center"/>
              <w:rPr>
                <w:rFonts w:ascii="黑体" w:hAnsi="宋体" w:eastAsia="黑体" w:cs="黑体"/>
                <w:i w:val="0"/>
                <w:color w:val="000000"/>
                <w:sz w:val="36"/>
                <w:szCs w:val="36"/>
                <w:u w:val="none"/>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tc>
      </w:tr>
      <w:tr>
        <w:tblPrEx>
          <w:shd w:val="clear" w:color="auto" w:fill="auto"/>
          <w:tblCellMar>
            <w:top w:w="0" w:type="dxa"/>
            <w:left w:w="0" w:type="dxa"/>
            <w:bottom w:w="0" w:type="dxa"/>
            <w:right w:w="0" w:type="dxa"/>
          </w:tblCellMar>
        </w:tblPrEx>
        <w:trPr>
          <w:trHeight w:val="330" w:hRule="atLeast"/>
        </w:trPr>
        <w:tc>
          <w:tcPr>
            <w:tcW w:w="748"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2"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54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78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830" w:type="dxa"/>
            <w:gridSpan w:val="2"/>
            <w:tcBorders>
              <w:top w:val="nil"/>
              <w:left w:val="nil"/>
              <w:bottom w:val="nil"/>
              <w:right w:val="nil"/>
            </w:tcBorders>
            <w:shd w:val="clear" w:color="auto" w:fill="auto"/>
            <w:noWrap/>
            <w:tcMar>
              <w:top w:w="15" w:type="dxa"/>
              <w:left w:w="15" w:type="dxa"/>
              <w:right w:w="15" w:type="dxa"/>
            </w:tcMar>
            <w:vAlign w:val="top"/>
          </w:tcPr>
          <w:p>
            <w:pPr>
              <w:ind w:firstLine="400" w:firstLineChars="200"/>
              <w:jc w:val="left"/>
              <w:rPr>
                <w:rFonts w:hint="eastAsia" w:ascii="宋体" w:hAnsi="宋体" w:eastAsia="宋体" w:cs="宋体"/>
                <w:i w:val="0"/>
                <w:color w:val="000000"/>
                <w:sz w:val="22"/>
                <w:szCs w:val="22"/>
                <w:u w:val="none"/>
              </w:rPr>
            </w:pPr>
            <w:r>
              <w:rPr>
                <w:rFonts w:hint="eastAsia" w:ascii="Calibri" w:hAnsi="Calibri" w:eastAsia="华文细黑" w:cs="Times New Roman"/>
                <w:color w:val="000000"/>
                <w:sz w:val="20"/>
                <w:szCs w:val="22"/>
              </w:rPr>
              <w:t>单位：万元</w:t>
            </w:r>
          </w:p>
        </w:tc>
      </w:tr>
      <w:tr>
        <w:tblPrEx>
          <w:shd w:val="clear" w:color="auto" w:fill="auto"/>
          <w:tblCellMar>
            <w:top w:w="0" w:type="dxa"/>
            <w:left w:w="0" w:type="dxa"/>
            <w:bottom w:w="0" w:type="dxa"/>
            <w:right w:w="0" w:type="dxa"/>
          </w:tblCellMar>
        </w:tblPrEx>
        <w:trPr>
          <w:trHeight w:val="8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单位名称</w:t>
            </w:r>
          </w:p>
        </w:tc>
        <w:tc>
          <w:tcPr>
            <w:tcW w:w="7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项目名称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年度资金</w:t>
            </w:r>
            <w:r>
              <w:rPr>
                <w:rFonts w:hint="default" w:ascii="华文细黑" w:hAnsi="华文细黑" w:eastAsia="华文细黑" w:cs="华文细黑"/>
                <w:i w:val="0"/>
                <w:color w:val="000000"/>
                <w:kern w:val="0"/>
                <w:sz w:val="16"/>
                <w:szCs w:val="16"/>
                <w:u w:val="none"/>
                <w:lang w:val="en-US" w:eastAsia="zh-CN" w:bidi="ar"/>
              </w:rPr>
              <w:br w:type="textWrapping"/>
            </w:r>
            <w:r>
              <w:rPr>
                <w:rFonts w:hint="default" w:ascii="华文细黑" w:hAnsi="华文细黑" w:eastAsia="华文细黑" w:cs="华文细黑"/>
                <w:i w:val="0"/>
                <w:color w:val="000000"/>
                <w:kern w:val="0"/>
                <w:sz w:val="16"/>
                <w:szCs w:val="16"/>
                <w:u w:val="none"/>
                <w:lang w:val="en-US" w:eastAsia="zh-CN" w:bidi="ar"/>
              </w:rPr>
              <w:t>总额</w:t>
            </w:r>
            <w:r>
              <w:rPr>
                <w:rFonts w:hint="default" w:ascii="华文细黑" w:hAnsi="华文细黑" w:eastAsia="华文细黑" w:cs="华文细黑"/>
                <w:i w:val="0"/>
                <w:color w:val="000000"/>
                <w:kern w:val="0"/>
                <w:sz w:val="16"/>
                <w:szCs w:val="16"/>
                <w:u w:val="none"/>
                <w:lang w:val="en-US" w:eastAsia="zh-CN" w:bidi="ar"/>
              </w:rPr>
              <w:br w:type="textWrapping"/>
            </w:r>
            <w:r>
              <w:rPr>
                <w:rFonts w:hint="default" w:ascii="华文细黑" w:hAnsi="华文细黑" w:eastAsia="华文细黑" w:cs="华文细黑"/>
                <w:i w:val="0"/>
                <w:color w:val="000000"/>
                <w:kern w:val="0"/>
                <w:sz w:val="16"/>
                <w:szCs w:val="16"/>
                <w:u w:val="none"/>
                <w:lang w:val="en-US" w:eastAsia="zh-CN" w:bidi="ar"/>
              </w:rPr>
              <w:t>(万元)</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年度绩效目标</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指标解释</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指标值</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权重</w:t>
            </w:r>
          </w:p>
        </w:tc>
      </w:tr>
      <w:tr>
        <w:tblPrEx>
          <w:shd w:val="clear" w:color="auto" w:fill="auto"/>
          <w:tblCellMar>
            <w:top w:w="0" w:type="dxa"/>
            <w:left w:w="0" w:type="dxa"/>
            <w:bottom w:w="0" w:type="dxa"/>
            <w:right w:w="0" w:type="dxa"/>
          </w:tblCellMar>
        </w:tblPrEx>
        <w:trPr>
          <w:trHeight w:val="948"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磐石市</w:t>
            </w:r>
            <w:r>
              <w:rPr>
                <w:rFonts w:hint="eastAsia" w:ascii="华文细黑" w:hAnsi="华文细黑" w:eastAsia="华文细黑" w:cs="华文细黑"/>
                <w:i w:val="0"/>
                <w:color w:val="000000"/>
                <w:kern w:val="0"/>
                <w:sz w:val="16"/>
                <w:szCs w:val="16"/>
                <w:u w:val="none"/>
                <w:lang w:val="en-US" w:eastAsia="zh-CN" w:bidi="ar"/>
              </w:rPr>
              <w:t xml:space="preserve"> </w:t>
            </w:r>
            <w:r>
              <w:rPr>
                <w:rFonts w:hint="default" w:ascii="华文细黑" w:hAnsi="华文细黑" w:eastAsia="华文细黑" w:cs="华文细黑"/>
                <w:i w:val="0"/>
                <w:color w:val="000000"/>
                <w:kern w:val="0"/>
                <w:sz w:val="16"/>
                <w:szCs w:val="16"/>
                <w:u w:val="none"/>
                <w:lang w:val="en-US" w:eastAsia="zh-CN" w:bidi="ar"/>
              </w:rPr>
              <w:t>统计局</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大型普查综合业务费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171.55</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按省市1%人口抽样调查工作整体安排，保质保量</w:t>
            </w:r>
            <w:r>
              <w:rPr>
                <w:rFonts w:hint="eastAsia" w:ascii="华文细黑" w:hAnsi="华文细黑" w:eastAsia="华文细黑" w:cs="华文细黑"/>
                <w:i w:val="0"/>
                <w:color w:val="000000"/>
                <w:kern w:val="0"/>
                <w:sz w:val="16"/>
                <w:szCs w:val="16"/>
                <w:u w:val="none"/>
                <w:lang w:val="en-US" w:eastAsia="zh-CN" w:bidi="ar"/>
              </w:rPr>
              <w:t>地</w:t>
            </w:r>
            <w:r>
              <w:rPr>
                <w:rFonts w:hint="default" w:ascii="华文细黑" w:hAnsi="华文细黑" w:eastAsia="华文细黑" w:cs="华文细黑"/>
                <w:i w:val="0"/>
                <w:color w:val="000000"/>
                <w:kern w:val="0"/>
                <w:sz w:val="16"/>
                <w:szCs w:val="16"/>
                <w:u w:val="none"/>
                <w:lang w:val="en-US" w:eastAsia="zh-CN" w:bidi="ar"/>
              </w:rPr>
              <w:t>完成各阶段工作。按时发放调查员劳务费。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调查样本数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反映完成调查所需的样本数量。</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75个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40</w:t>
            </w:r>
          </w:p>
        </w:tc>
      </w:tr>
      <w:tr>
        <w:tblPrEx>
          <w:shd w:val="clear" w:color="auto" w:fill="auto"/>
          <w:tblCellMar>
            <w:top w:w="0" w:type="dxa"/>
            <w:left w:w="0" w:type="dxa"/>
            <w:bottom w:w="0" w:type="dxa"/>
            <w:right w:w="0" w:type="dxa"/>
          </w:tblCellMar>
        </w:tblPrEx>
        <w:trPr>
          <w:trHeight w:val="845"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经济成本指标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两员补贴发放费用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两员补贴发放费用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6万元</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20</w:t>
            </w:r>
          </w:p>
        </w:tc>
      </w:tr>
      <w:tr>
        <w:tblPrEx>
          <w:shd w:val="clear" w:color="auto" w:fill="auto"/>
          <w:tblCellMar>
            <w:top w:w="0" w:type="dxa"/>
            <w:left w:w="0" w:type="dxa"/>
            <w:bottom w:w="0" w:type="dxa"/>
            <w:right w:w="0" w:type="dxa"/>
          </w:tblCellMar>
        </w:tblPrEx>
        <w:trPr>
          <w:trHeight w:val="1222"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社会效益指标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普查员、普查指导员补贴发放覆盖率</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反映普查员、普查指导员补贴发放覆盖率情况。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30</w:t>
            </w:r>
          </w:p>
        </w:tc>
      </w:tr>
      <w:tr>
        <w:tblPrEx>
          <w:shd w:val="clear" w:color="auto" w:fill="auto"/>
          <w:tblCellMar>
            <w:top w:w="0" w:type="dxa"/>
            <w:left w:w="0" w:type="dxa"/>
            <w:bottom w:w="0" w:type="dxa"/>
            <w:right w:w="0" w:type="dxa"/>
          </w:tblCellMar>
        </w:tblPrEx>
        <w:trPr>
          <w:trHeight w:val="8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综合统计业务费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13.72</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按照国家、省市统计局工作要求及市委</w:t>
            </w: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市政府统计数据需求，组织实施农业、规模以上工业、资质建筑业、限额以上贸易业、重点服务业及人口变动情况抽样调查任务。做好各专业统计数据的审核验收及上报工作，形成经济月刊、运行服务表及统计年鉴准确上报各专业统计报表。为市委</w:t>
            </w: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市政府提供经济运行分析预测所需的统计数据，为社会各界提供行业发展所需的统计服务。</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统计信息发布条数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反映数据发布情况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5条</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10</w:t>
            </w:r>
          </w:p>
        </w:tc>
      </w:tr>
      <w:tr>
        <w:tblPrEx>
          <w:shd w:val="clear" w:color="auto" w:fill="auto"/>
          <w:tblCellMar>
            <w:top w:w="0" w:type="dxa"/>
            <w:left w:w="0" w:type="dxa"/>
            <w:bottom w:w="0" w:type="dxa"/>
            <w:right w:w="0" w:type="dxa"/>
          </w:tblCellMar>
        </w:tblPrEx>
        <w:trPr>
          <w:trHeight w:val="918"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统计分析报告篇数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反映统计分析报告篇数情况。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5篇</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10</w:t>
            </w:r>
          </w:p>
        </w:tc>
      </w:tr>
      <w:tr>
        <w:tblPrEx>
          <w:shd w:val="clear" w:color="auto" w:fill="auto"/>
          <w:tblCellMar>
            <w:top w:w="0" w:type="dxa"/>
            <w:left w:w="0" w:type="dxa"/>
            <w:bottom w:w="0" w:type="dxa"/>
            <w:right w:w="0" w:type="dxa"/>
          </w:tblCellMar>
        </w:tblPrEx>
        <w:trPr>
          <w:trHeight w:val="815"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统计培训人次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反映统计培训人次情况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200人次</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20</w:t>
            </w:r>
          </w:p>
        </w:tc>
      </w:tr>
      <w:tr>
        <w:tblPrEx>
          <w:shd w:val="clear" w:color="auto" w:fill="auto"/>
          <w:tblCellMar>
            <w:top w:w="0" w:type="dxa"/>
            <w:left w:w="0" w:type="dxa"/>
            <w:bottom w:w="0" w:type="dxa"/>
            <w:right w:w="0" w:type="dxa"/>
          </w:tblCellMar>
        </w:tblPrEx>
        <w:trPr>
          <w:trHeight w:val="1476"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经济成本指标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统计年鉴印刷成本费用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编印2025年度统计年鉴印刷成本费用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2万元</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20</w:t>
            </w:r>
          </w:p>
        </w:tc>
      </w:tr>
      <w:tr>
        <w:tblPrEx>
          <w:shd w:val="clear" w:color="auto" w:fill="auto"/>
          <w:tblCellMar>
            <w:top w:w="0" w:type="dxa"/>
            <w:left w:w="0" w:type="dxa"/>
            <w:bottom w:w="0" w:type="dxa"/>
            <w:right w:w="0" w:type="dxa"/>
          </w:tblCellMar>
        </w:tblPrEx>
        <w:trPr>
          <w:trHeight w:val="21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sz w:val="16"/>
                <w:szCs w:val="16"/>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社会效益指标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向社会公众提供统计公报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向社会公众提供统计公报篇数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1篇</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30</w:t>
            </w:r>
          </w:p>
        </w:tc>
      </w:tr>
    </w:tbl>
    <w:p>
      <w:pPr>
        <w:jc w:val="both"/>
        <w:rPr>
          <w:rFonts w:eastAsia="黑体"/>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pPr>
      <w:r>
        <w:rPr>
          <w:szCs w:val="32"/>
        </w:rPr>
        <w:t>按照综合预算的原则，所有收入和支出全部纳入</w:t>
      </w:r>
      <w:r>
        <w:rPr>
          <w:rFonts w:hint="eastAsia"/>
          <w:szCs w:val="32"/>
          <w:lang w:eastAsia="zh-CN"/>
        </w:rPr>
        <w:t>单位</w:t>
      </w:r>
      <w:r>
        <w:rPr>
          <w:szCs w:val="32"/>
        </w:rPr>
        <w:t>预算管理。收入包括：一般公共预算拨款收入、其他收入、上年结转</w:t>
      </w:r>
      <w:r>
        <w:rPr>
          <w:rFonts w:hint="eastAsia"/>
          <w:szCs w:val="32"/>
        </w:rPr>
        <w:t>结余</w:t>
      </w:r>
      <w:r>
        <w:rPr>
          <w:szCs w:val="32"/>
        </w:rPr>
        <w:t>等；支出包括：</w:t>
      </w:r>
      <w:r>
        <w:rPr>
          <w:rFonts w:hint="eastAsia" w:ascii="仿宋" w:hAnsi="仿宋" w:eastAsia="仿宋" w:cs="仿宋"/>
          <w:szCs w:val="32"/>
        </w:rPr>
        <w:t>一般公共服务支出、社会保障和就业支出、卫生健康支出、住房保障支出</w:t>
      </w:r>
      <w:r>
        <w:rPr>
          <w:rFonts w:hint="eastAsia" w:ascii="仿宋" w:hAnsi="仿宋" w:eastAsia="仿宋" w:cs="仿宋"/>
          <w:szCs w:val="32"/>
          <w:lang w:eastAsia="zh-CN"/>
        </w:rPr>
        <w:t>等</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336.44</w:t>
      </w:r>
      <w:r>
        <w:rPr>
          <w:szCs w:val="32"/>
        </w:rPr>
        <w:t>万元</w:t>
      </w:r>
      <w:r>
        <w:rPr>
          <w:rFonts w:hint="eastAsia"/>
          <w:szCs w:val="32"/>
          <w:lang w:eastAsia="zh-CN"/>
        </w:rPr>
        <w:t>，其中：本年预算</w:t>
      </w:r>
      <w:r>
        <w:rPr>
          <w:rFonts w:hint="eastAsia"/>
          <w:szCs w:val="32"/>
          <w:lang w:val="en-US" w:eastAsia="zh-CN"/>
        </w:rPr>
        <w:t>302.01</w:t>
      </w:r>
      <w:r>
        <w:rPr>
          <w:rFonts w:hint="eastAsia"/>
          <w:szCs w:val="32"/>
          <w:lang w:eastAsia="zh-CN"/>
        </w:rPr>
        <w:t>万元；上年结转</w:t>
      </w:r>
      <w:r>
        <w:rPr>
          <w:rFonts w:hint="eastAsia"/>
          <w:szCs w:val="32"/>
          <w:lang w:val="en-US" w:eastAsia="zh-CN"/>
        </w:rPr>
        <w:t>34.43</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153.83</w:t>
      </w:r>
      <w:r>
        <w:rPr>
          <w:szCs w:val="32"/>
        </w:rPr>
        <w:t>万元，主要原因是</w:t>
      </w:r>
      <w:r>
        <w:rPr>
          <w:rFonts w:ascii="仿宋" w:hAnsi="仿宋" w:eastAsia="仿宋" w:cs="仿宋"/>
          <w:color w:val="000000"/>
          <w:kern w:val="0"/>
          <w:sz w:val="31"/>
          <w:szCs w:val="31"/>
          <w:lang w:val="en-US" w:eastAsia="zh-CN" w:bidi="ar"/>
        </w:rPr>
        <w:t>本年预算包含单位资金，即地方财政配套农业普查等项目</w:t>
      </w:r>
      <w:r>
        <w:rPr>
          <w:rFonts w:hint="eastAsia" w:ascii="仿宋" w:hAnsi="仿宋" w:eastAsia="仿宋" w:cs="仿宋"/>
          <w:color w:val="000000"/>
          <w:kern w:val="0"/>
          <w:sz w:val="31"/>
          <w:szCs w:val="31"/>
          <w:lang w:val="en-US" w:eastAsia="zh-CN" w:bidi="ar"/>
        </w:rPr>
        <w:t>经费，致使本年预算较上年增加。</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336.44</w:t>
      </w:r>
      <w:r>
        <w:rPr>
          <w:szCs w:val="32"/>
        </w:rPr>
        <w:t>万元，其中：本年收入</w:t>
      </w:r>
      <w:r>
        <w:rPr>
          <w:rFonts w:hint="eastAsia"/>
          <w:szCs w:val="32"/>
          <w:lang w:val="en-US" w:eastAsia="zh-CN"/>
        </w:rPr>
        <w:t>302.01</w:t>
      </w:r>
      <w:r>
        <w:rPr>
          <w:szCs w:val="32"/>
        </w:rPr>
        <w:t>万元，占</w:t>
      </w:r>
      <w:r>
        <w:rPr>
          <w:rFonts w:hint="eastAsia"/>
          <w:szCs w:val="32"/>
          <w:lang w:val="en-US" w:eastAsia="zh-CN"/>
        </w:rPr>
        <w:t>89.77</w:t>
      </w:r>
      <w:r>
        <w:rPr>
          <w:szCs w:val="32"/>
        </w:rPr>
        <w:t>%；上年结转</w:t>
      </w:r>
      <w:r>
        <w:rPr>
          <w:rFonts w:hint="eastAsia"/>
          <w:szCs w:val="32"/>
          <w:lang w:eastAsia="zh-CN"/>
        </w:rPr>
        <w:t>结余</w:t>
      </w:r>
      <w:r>
        <w:rPr>
          <w:rFonts w:hint="eastAsia"/>
          <w:szCs w:val="32"/>
          <w:lang w:val="en-US" w:eastAsia="zh-CN"/>
        </w:rPr>
        <w:t>34.43</w:t>
      </w:r>
      <w:r>
        <w:rPr>
          <w:szCs w:val="32"/>
        </w:rPr>
        <w:t>万元，占</w:t>
      </w:r>
      <w:r>
        <w:rPr>
          <w:rFonts w:hint="eastAsia"/>
          <w:szCs w:val="32"/>
          <w:lang w:val="en-US" w:eastAsia="zh-CN"/>
        </w:rPr>
        <w:t>10.23</w:t>
      </w:r>
      <w:r>
        <w:rPr>
          <w:szCs w:val="32"/>
        </w:rPr>
        <w:t>%。本年收入中，一般公共预算拨款收入</w:t>
      </w:r>
      <w:r>
        <w:rPr>
          <w:rFonts w:hint="eastAsia"/>
          <w:szCs w:val="32"/>
          <w:lang w:val="en-US" w:eastAsia="zh-CN"/>
        </w:rPr>
        <w:t>170.89</w:t>
      </w:r>
      <w:r>
        <w:rPr>
          <w:szCs w:val="32"/>
        </w:rPr>
        <w:t>万元，占</w:t>
      </w:r>
      <w:r>
        <w:rPr>
          <w:rFonts w:hint="eastAsia"/>
          <w:szCs w:val="32"/>
          <w:lang w:val="en-US" w:eastAsia="zh-CN"/>
        </w:rPr>
        <w:t>50.79</w:t>
      </w:r>
      <w:r>
        <w:rPr>
          <w:szCs w:val="32"/>
        </w:rPr>
        <w:t>%；其他收入</w:t>
      </w:r>
      <w:r>
        <w:rPr>
          <w:rFonts w:hint="eastAsia"/>
          <w:szCs w:val="32"/>
          <w:lang w:val="en-US" w:eastAsia="zh-CN"/>
        </w:rPr>
        <w:t>131.12</w:t>
      </w:r>
      <w:r>
        <w:rPr>
          <w:szCs w:val="32"/>
        </w:rPr>
        <w:t>万元，占</w:t>
      </w:r>
      <w:r>
        <w:rPr>
          <w:rFonts w:hint="eastAsia"/>
          <w:szCs w:val="32"/>
          <w:lang w:val="en-US" w:eastAsia="zh-CN"/>
        </w:rPr>
        <w:t>38.97</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34.43</w:t>
      </w:r>
      <w:r>
        <w:rPr>
          <w:szCs w:val="32"/>
        </w:rPr>
        <w:t>万元，占</w:t>
      </w:r>
      <w:r>
        <w:rPr>
          <w:rFonts w:hint="eastAsia"/>
          <w:szCs w:val="32"/>
          <w:lang w:val="en-US" w:eastAsia="zh-CN"/>
        </w:rPr>
        <w:t>10.24</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336.44</w:t>
      </w:r>
      <w:r>
        <w:rPr>
          <w:szCs w:val="32"/>
        </w:rPr>
        <w:t>万元，其中：基本支出</w:t>
      </w:r>
      <w:r>
        <w:rPr>
          <w:rFonts w:hint="eastAsia"/>
          <w:szCs w:val="32"/>
          <w:lang w:val="en-US" w:eastAsia="zh-CN"/>
        </w:rPr>
        <w:t>151.17</w:t>
      </w:r>
      <w:r>
        <w:rPr>
          <w:szCs w:val="32"/>
        </w:rPr>
        <w:t>万元，占</w:t>
      </w:r>
      <w:r>
        <w:rPr>
          <w:rFonts w:hint="eastAsia"/>
          <w:szCs w:val="32"/>
          <w:lang w:val="en-US" w:eastAsia="zh-CN"/>
        </w:rPr>
        <w:t>44.93</w:t>
      </w:r>
      <w:r>
        <w:rPr>
          <w:szCs w:val="32"/>
        </w:rPr>
        <w:t>%；项目支出</w:t>
      </w:r>
      <w:r>
        <w:rPr>
          <w:rFonts w:hint="eastAsia"/>
          <w:szCs w:val="32"/>
          <w:lang w:val="en-US" w:eastAsia="zh-CN"/>
        </w:rPr>
        <w:t>185.27</w:t>
      </w:r>
      <w:r>
        <w:rPr>
          <w:szCs w:val="32"/>
        </w:rPr>
        <w:t>万元，占</w:t>
      </w:r>
      <w:r>
        <w:rPr>
          <w:rFonts w:hint="eastAsia"/>
          <w:szCs w:val="32"/>
          <w:lang w:val="en-US" w:eastAsia="zh-CN"/>
        </w:rPr>
        <w:t>55.07</w:t>
      </w:r>
      <w:r>
        <w:rPr>
          <w:szCs w:val="32"/>
        </w:rPr>
        <w:t>%。</w:t>
      </w:r>
    </w:p>
    <w:p>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rFonts w:eastAsia="楷体"/>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170.89</w:t>
      </w:r>
      <w:r>
        <w:rPr>
          <w:szCs w:val="32"/>
        </w:rPr>
        <w:t>万元，其中：</w:t>
      </w:r>
      <w:r>
        <w:rPr>
          <w:rFonts w:hint="eastAsia"/>
          <w:szCs w:val="32"/>
        </w:rPr>
        <w:t>本年</w:t>
      </w:r>
      <w:r>
        <w:rPr>
          <w:rFonts w:hint="eastAsia"/>
          <w:szCs w:val="32"/>
          <w:lang w:eastAsia="zh-CN"/>
        </w:rPr>
        <w:t>预算</w:t>
      </w:r>
      <w:r>
        <w:rPr>
          <w:rFonts w:hint="eastAsia"/>
          <w:szCs w:val="32"/>
          <w:lang w:val="en-US" w:eastAsia="zh-CN"/>
        </w:rPr>
        <w:t>170.89</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124.78</w:t>
      </w:r>
      <w:r>
        <w:rPr>
          <w:szCs w:val="32"/>
        </w:rPr>
        <w:t>万元，</w:t>
      </w:r>
      <w:r>
        <w:rPr>
          <w:kern w:val="0"/>
          <w:szCs w:val="32"/>
        </w:rPr>
        <w:t>社会保障和就业支出</w:t>
      </w:r>
      <w:r>
        <w:rPr>
          <w:rFonts w:hint="eastAsia"/>
          <w:szCs w:val="32"/>
          <w:lang w:val="en-US" w:eastAsia="zh-CN"/>
        </w:rPr>
        <w:t>30.47</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4.84</w:t>
      </w:r>
      <w:r>
        <w:rPr>
          <w:szCs w:val="32"/>
        </w:rPr>
        <w:t>万元，</w:t>
      </w:r>
      <w:r>
        <w:rPr>
          <w:kern w:val="0"/>
          <w:szCs w:val="32"/>
        </w:rPr>
        <w:t>住房保障支出</w:t>
      </w:r>
      <w:r>
        <w:rPr>
          <w:rFonts w:hint="eastAsia"/>
          <w:szCs w:val="32"/>
          <w:lang w:val="en-US" w:eastAsia="zh-CN"/>
        </w:rPr>
        <w:t>10.80</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170.89</w:t>
      </w:r>
      <w:r>
        <w:rPr>
          <w:szCs w:val="32"/>
        </w:rPr>
        <w:t>万元，其中：基本支出</w:t>
      </w:r>
      <w:r>
        <w:rPr>
          <w:rFonts w:hint="eastAsia"/>
          <w:szCs w:val="32"/>
          <w:lang w:val="en-US" w:eastAsia="zh-CN"/>
        </w:rPr>
        <w:t>151.17</w:t>
      </w:r>
      <w:r>
        <w:rPr>
          <w:szCs w:val="32"/>
        </w:rPr>
        <w:t>万元，占</w:t>
      </w:r>
      <w:r>
        <w:rPr>
          <w:rFonts w:hint="eastAsia"/>
          <w:szCs w:val="32"/>
          <w:lang w:val="en-US" w:eastAsia="zh-CN"/>
        </w:rPr>
        <w:t>88.46</w:t>
      </w:r>
      <w:r>
        <w:rPr>
          <w:szCs w:val="32"/>
        </w:rPr>
        <w:t>%；项目支出</w:t>
      </w:r>
      <w:r>
        <w:rPr>
          <w:rFonts w:hint="eastAsia"/>
          <w:szCs w:val="32"/>
          <w:lang w:val="en-US" w:eastAsia="zh-CN"/>
        </w:rPr>
        <w:t>19.72</w:t>
      </w:r>
      <w:r>
        <w:rPr>
          <w:szCs w:val="32"/>
        </w:rPr>
        <w:t>万元，占</w:t>
      </w:r>
      <w:r>
        <w:rPr>
          <w:rFonts w:hint="eastAsia"/>
          <w:szCs w:val="32"/>
          <w:lang w:val="en-US" w:eastAsia="zh-CN"/>
        </w:rPr>
        <w:t>11.54</w:t>
      </w:r>
      <w:r>
        <w:rPr>
          <w:szCs w:val="32"/>
        </w:rPr>
        <w:t>%。基本支出中，人员经费</w:t>
      </w:r>
      <w:r>
        <w:rPr>
          <w:rFonts w:hint="eastAsia"/>
          <w:szCs w:val="32"/>
          <w:lang w:val="en-US" w:eastAsia="zh-CN"/>
        </w:rPr>
        <w:t>129.76</w:t>
      </w:r>
      <w:r>
        <w:rPr>
          <w:szCs w:val="32"/>
        </w:rPr>
        <w:t>万元，占</w:t>
      </w:r>
      <w:r>
        <w:rPr>
          <w:rFonts w:hint="eastAsia"/>
          <w:szCs w:val="32"/>
          <w:lang w:val="en-US" w:eastAsia="zh-CN"/>
        </w:rPr>
        <w:t>85.84</w:t>
      </w:r>
      <w:r>
        <w:rPr>
          <w:szCs w:val="32"/>
        </w:rPr>
        <w:t>%；公用经费</w:t>
      </w:r>
      <w:r>
        <w:rPr>
          <w:rFonts w:hint="eastAsia"/>
          <w:szCs w:val="32"/>
          <w:lang w:val="en-US" w:eastAsia="zh-CN"/>
        </w:rPr>
        <w:t>21.41</w:t>
      </w:r>
      <w:r>
        <w:rPr>
          <w:szCs w:val="32"/>
        </w:rPr>
        <w:t>万元，占</w:t>
      </w:r>
      <w:r>
        <w:rPr>
          <w:rFonts w:hint="eastAsia"/>
          <w:szCs w:val="32"/>
          <w:lang w:val="en-US" w:eastAsia="zh-CN"/>
        </w:rPr>
        <w:t>14.16</w:t>
      </w:r>
      <w:r>
        <w:rPr>
          <w:szCs w:val="32"/>
        </w:rPr>
        <w:t>%。</w:t>
      </w:r>
    </w:p>
    <w:p>
      <w:pPr>
        <w:spacing w:line="520" w:lineRule="exact"/>
        <w:ind w:firstLine="640" w:firstLineChars="200"/>
        <w:rPr>
          <w:rFonts w:hint="eastAsia" w:ascii="仿宋" w:hAnsi="仿宋" w:eastAsia="仿宋" w:cs="仿宋"/>
          <w:szCs w:val="32"/>
        </w:rPr>
      </w:pPr>
      <w:r>
        <w:rPr>
          <w:szCs w:val="32"/>
        </w:rPr>
        <w:t>一般公共服务（类）支出</w:t>
      </w:r>
      <w:r>
        <w:rPr>
          <w:rFonts w:hint="eastAsia"/>
          <w:szCs w:val="32"/>
          <w:lang w:val="en-US" w:eastAsia="zh-CN"/>
        </w:rPr>
        <w:t>124.78</w:t>
      </w:r>
      <w:r>
        <w:rPr>
          <w:szCs w:val="32"/>
        </w:rPr>
        <w:t>万元，占</w:t>
      </w:r>
      <w:r>
        <w:rPr>
          <w:rFonts w:hint="eastAsia"/>
          <w:szCs w:val="32"/>
          <w:lang w:val="en-US" w:eastAsia="zh-CN"/>
        </w:rPr>
        <w:t>73.02</w:t>
      </w:r>
      <w:r>
        <w:rPr>
          <w:szCs w:val="32"/>
        </w:rPr>
        <w:t>%，</w:t>
      </w:r>
      <w:r>
        <w:rPr>
          <w:rFonts w:hint="eastAsia" w:ascii="仿宋" w:hAnsi="仿宋" w:eastAsia="仿宋" w:cs="仿宋"/>
          <w:szCs w:val="32"/>
        </w:rPr>
        <w:t>主要用于保障职工工资，维持机关正常运转，完成年度统计工作任务。</w:t>
      </w:r>
    </w:p>
    <w:p>
      <w:pPr>
        <w:spacing w:line="520" w:lineRule="exact"/>
        <w:ind w:firstLine="640" w:firstLineChars="200"/>
        <w:rPr>
          <w:rFonts w:hint="eastAsia" w:eastAsia="仿宋"/>
          <w:szCs w:val="32"/>
          <w:lang w:eastAsia="zh-CN"/>
        </w:rPr>
      </w:pPr>
      <w:r>
        <w:rPr>
          <w:szCs w:val="32"/>
        </w:rPr>
        <w:t>社会保障和就业（类）支出</w:t>
      </w:r>
      <w:r>
        <w:rPr>
          <w:rFonts w:hint="eastAsia"/>
          <w:szCs w:val="32"/>
          <w:lang w:val="en-US" w:eastAsia="zh-CN"/>
        </w:rPr>
        <w:t>30.47</w:t>
      </w:r>
      <w:r>
        <w:rPr>
          <w:szCs w:val="32"/>
        </w:rPr>
        <w:t>万元，占</w:t>
      </w:r>
      <w:r>
        <w:rPr>
          <w:rFonts w:hint="eastAsia"/>
          <w:szCs w:val="32"/>
          <w:lang w:val="en-US" w:eastAsia="zh-CN"/>
        </w:rPr>
        <w:t>17.83</w:t>
      </w:r>
      <w:r>
        <w:rPr>
          <w:szCs w:val="32"/>
        </w:rPr>
        <w:t>%，主要用于</w:t>
      </w:r>
      <w:r>
        <w:rPr>
          <w:rFonts w:hint="eastAsia" w:ascii="仿宋" w:hAnsi="仿宋" w:eastAsia="仿宋" w:cs="仿宋"/>
          <w:szCs w:val="32"/>
          <w:lang w:eastAsia="zh-CN"/>
        </w:rPr>
        <w:t>保障</w:t>
      </w:r>
      <w:r>
        <w:rPr>
          <w:rFonts w:hint="eastAsia" w:ascii="仿宋" w:hAnsi="仿宋" w:eastAsia="仿宋" w:cs="仿宋"/>
          <w:szCs w:val="32"/>
        </w:rPr>
        <w:t>退休职工补贴</w:t>
      </w:r>
      <w:r>
        <w:rPr>
          <w:rFonts w:hint="eastAsia" w:ascii="仿宋" w:hAnsi="仿宋" w:eastAsia="仿宋" w:cs="仿宋"/>
          <w:szCs w:val="32"/>
          <w:lang w:val="en-US" w:eastAsia="zh-CN"/>
        </w:rPr>
        <w:t>、</w:t>
      </w:r>
      <w:r>
        <w:rPr>
          <w:rFonts w:hint="eastAsia" w:ascii="仿宋" w:hAnsi="仿宋" w:eastAsia="仿宋" w:cs="仿宋"/>
          <w:szCs w:val="32"/>
          <w:lang w:eastAsia="zh-CN"/>
        </w:rPr>
        <w:t>机关</w:t>
      </w:r>
      <w:r>
        <w:rPr>
          <w:rFonts w:hint="eastAsia" w:ascii="仿宋" w:hAnsi="仿宋" w:eastAsia="仿宋" w:cs="仿宋"/>
          <w:szCs w:val="32"/>
        </w:rPr>
        <w:t>事业单位基本养老保险缴费</w:t>
      </w:r>
      <w:r>
        <w:rPr>
          <w:rFonts w:hint="eastAsia" w:ascii="仿宋" w:hAnsi="仿宋" w:eastAsia="仿宋" w:cs="仿宋"/>
          <w:szCs w:val="32"/>
          <w:lang w:eastAsia="zh-CN"/>
        </w:rPr>
        <w:t>及机关事业单位职业年金缴费</w:t>
      </w:r>
      <w:r>
        <w:rPr>
          <w:rFonts w:hint="eastAsia" w:ascii="仿宋" w:hAnsi="仿宋" w:eastAsia="仿宋" w:cs="仿宋"/>
          <w:szCs w:val="32"/>
        </w:rPr>
        <w:t>支出</w:t>
      </w:r>
      <w:r>
        <w:rPr>
          <w:rFonts w:hint="eastAsia" w:ascii="仿宋" w:hAnsi="仿宋" w:eastAsia="仿宋" w:cs="仿宋"/>
          <w:szCs w:val="32"/>
          <w:lang w:eastAsia="zh-CN"/>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4.84</w:t>
      </w:r>
      <w:r>
        <w:rPr>
          <w:szCs w:val="32"/>
        </w:rPr>
        <w:t>万元，占</w:t>
      </w:r>
      <w:r>
        <w:rPr>
          <w:rFonts w:hint="eastAsia"/>
          <w:szCs w:val="32"/>
          <w:lang w:val="en-US" w:eastAsia="zh-CN"/>
        </w:rPr>
        <w:t>2.83</w:t>
      </w:r>
      <w:r>
        <w:rPr>
          <w:szCs w:val="32"/>
        </w:rPr>
        <w:t>%，主要用于</w:t>
      </w:r>
      <w:r>
        <w:rPr>
          <w:rFonts w:hint="eastAsia" w:ascii="仿宋" w:hAnsi="仿宋" w:eastAsia="仿宋" w:cs="仿宋"/>
          <w:szCs w:val="32"/>
        </w:rPr>
        <w:t>缴纳职工医疗保险</w:t>
      </w:r>
      <w:r>
        <w:rPr>
          <w:rFonts w:hint="eastAsia" w:ascii="仿宋" w:hAnsi="仿宋" w:eastAsia="仿宋" w:cs="仿宋"/>
          <w:szCs w:val="32"/>
          <w:lang w:eastAsia="zh-CN"/>
        </w:rPr>
        <w:t>等</w:t>
      </w:r>
      <w:r>
        <w:rPr>
          <w:szCs w:val="32"/>
        </w:rPr>
        <w:t>。</w:t>
      </w:r>
    </w:p>
    <w:p>
      <w:pPr>
        <w:spacing w:line="520" w:lineRule="exact"/>
        <w:ind w:firstLine="640" w:firstLineChars="200"/>
        <w:rPr>
          <w:rFonts w:eastAsia="楷体"/>
          <w:szCs w:val="32"/>
        </w:rPr>
      </w:pPr>
      <w:r>
        <w:rPr>
          <w:szCs w:val="32"/>
        </w:rPr>
        <w:t>住房保障（类）支出</w:t>
      </w:r>
      <w:r>
        <w:rPr>
          <w:rFonts w:hint="eastAsia"/>
          <w:szCs w:val="32"/>
          <w:lang w:val="en-US" w:eastAsia="zh-CN"/>
        </w:rPr>
        <w:t>10.80</w:t>
      </w:r>
      <w:r>
        <w:rPr>
          <w:szCs w:val="32"/>
        </w:rPr>
        <w:t>万元，占</w:t>
      </w:r>
      <w:r>
        <w:rPr>
          <w:rFonts w:hint="eastAsia"/>
          <w:szCs w:val="32"/>
          <w:lang w:val="en-US" w:eastAsia="zh-CN"/>
        </w:rPr>
        <w:t>6.32</w:t>
      </w:r>
      <w:r>
        <w:rPr>
          <w:szCs w:val="32"/>
        </w:rPr>
        <w:t>%，主要用于</w:t>
      </w:r>
      <w:r>
        <w:rPr>
          <w:rFonts w:hint="eastAsia" w:ascii="仿宋" w:hAnsi="仿宋" w:eastAsia="仿宋" w:cs="仿宋"/>
          <w:szCs w:val="32"/>
        </w:rPr>
        <w:t>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151.17</w:t>
      </w:r>
      <w:r>
        <w:rPr>
          <w:szCs w:val="32"/>
        </w:rPr>
        <w:t>万元，其中：</w:t>
      </w:r>
    </w:p>
    <w:p>
      <w:pPr>
        <w:ind w:firstLine="640" w:firstLineChars="200"/>
        <w:rPr>
          <w:kern w:val="0"/>
          <w:szCs w:val="32"/>
        </w:rPr>
      </w:pPr>
      <w:r>
        <w:rPr>
          <w:szCs w:val="32"/>
        </w:rPr>
        <w:t>人员经费</w:t>
      </w:r>
      <w:r>
        <w:rPr>
          <w:rFonts w:hint="eastAsia"/>
          <w:szCs w:val="32"/>
          <w:lang w:val="en-US" w:eastAsia="zh-CN"/>
        </w:rPr>
        <w:t>129.76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pPr>
        <w:ind w:firstLine="640" w:firstLineChars="200"/>
        <w:rPr>
          <w:szCs w:val="32"/>
        </w:rPr>
      </w:pPr>
      <w:r>
        <w:rPr>
          <w:kern w:val="0"/>
          <w:szCs w:val="32"/>
        </w:rPr>
        <w:t>公用经费</w:t>
      </w:r>
      <w:r>
        <w:rPr>
          <w:rFonts w:hint="eastAsia"/>
          <w:szCs w:val="32"/>
          <w:lang w:val="en-US" w:eastAsia="zh-CN"/>
        </w:rPr>
        <w:t>21.41</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kern w:val="0"/>
          <w:szCs w:val="32"/>
        </w:rPr>
        <w:t>工会经费、其他交通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0.02</w:t>
      </w:r>
      <w:r>
        <w:rPr>
          <w:szCs w:val="32"/>
        </w:rPr>
        <w:t>万元。其中：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pPr>
        <w:ind w:firstLine="640" w:firstLineChars="200"/>
        <w:rPr>
          <w:rFonts w:hint="eastAsia" w:eastAsia="仿宋_GB2312"/>
          <w:szCs w:val="32"/>
          <w:lang w:eastAsia="zh-CN"/>
        </w:rPr>
      </w:pPr>
      <w:r>
        <w:rPr>
          <w:szCs w:val="32"/>
        </w:rPr>
        <w:t>2.公务接待费</w:t>
      </w:r>
      <w:r>
        <w:rPr>
          <w:rFonts w:hint="eastAsia"/>
          <w:szCs w:val="32"/>
          <w:lang w:val="en-US" w:eastAsia="zh-CN"/>
        </w:rPr>
        <w:t>0.16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0.02</w:t>
      </w:r>
      <w:r>
        <w:rPr>
          <w:szCs w:val="32"/>
        </w:rPr>
        <w:t>万元，主要原因是</w:t>
      </w:r>
      <w:r>
        <w:rPr>
          <w:rFonts w:hint="eastAsia" w:ascii="仿宋" w:hAnsi="仿宋" w:eastAsia="仿宋" w:cs="仿宋"/>
          <w:szCs w:val="22"/>
          <w:lang w:val="en-US" w:eastAsia="zh-CN"/>
        </w:rPr>
        <w:t>人员减少，公用经费减少，按规定提取的公务接待费相应减少</w:t>
      </w:r>
      <w:r>
        <w:rPr>
          <w:rFonts w:hint="eastAsia"/>
          <w:szCs w:val="32"/>
          <w:lang w:eastAsia="zh-CN"/>
        </w:rPr>
        <w:t>。</w:t>
      </w:r>
    </w:p>
    <w:p>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ascii="仿宋" w:hAnsi="仿宋" w:eastAsia="仿宋" w:cs="仿宋"/>
          <w:szCs w:val="22"/>
        </w:rPr>
        <w:t>与</w:t>
      </w:r>
      <w:r>
        <w:rPr>
          <w:rFonts w:hint="eastAsia"/>
          <w:szCs w:val="32"/>
          <w:lang w:eastAsia="zh-CN"/>
        </w:rPr>
        <w:t>202</w:t>
      </w:r>
      <w:r>
        <w:rPr>
          <w:rFonts w:hint="eastAsia"/>
          <w:szCs w:val="32"/>
          <w:lang w:val="en-US" w:eastAsia="zh-CN"/>
        </w:rPr>
        <w:t>5</w:t>
      </w:r>
      <w:r>
        <w:rPr>
          <w:rFonts w:hint="eastAsia" w:ascii="仿宋" w:hAnsi="仿宋" w:eastAsia="仿宋" w:cs="仿宋"/>
          <w:szCs w:val="22"/>
          <w:lang w:eastAsia="zh-CN"/>
        </w:rPr>
        <w:t>年</w:t>
      </w:r>
      <w:r>
        <w:rPr>
          <w:rFonts w:hint="eastAsia" w:ascii="仿宋" w:hAnsi="仿宋" w:eastAsia="仿宋" w:cs="仿宋"/>
          <w:szCs w:val="22"/>
        </w:rPr>
        <w:t>预算</w:t>
      </w:r>
      <w:r>
        <w:rPr>
          <w:rFonts w:hint="eastAsia" w:ascii="仿宋" w:hAnsi="仿宋" w:eastAsia="仿宋" w:cs="仿宋"/>
          <w:szCs w:val="22"/>
          <w:lang w:eastAsia="zh-CN"/>
        </w:rPr>
        <w:t>数</w:t>
      </w:r>
      <w:r>
        <w:rPr>
          <w:rFonts w:hint="eastAsia" w:ascii="仿宋" w:hAnsi="仿宋" w:eastAsia="仿宋" w:cs="仿宋"/>
          <w:szCs w:val="22"/>
        </w:rPr>
        <w:t>持平</w:t>
      </w:r>
      <w:r>
        <w:rPr>
          <w:rFonts w:hint="eastAsia" w:ascii="仿宋" w:hAnsi="仿宋" w:eastAsia="仿宋" w:cs="仿宋"/>
          <w:szCs w:val="22"/>
          <w:lang w:eastAsia="zh-CN"/>
        </w:rPr>
        <w:t>，</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rPr>
          <w:rFonts w:eastAsia="楷体"/>
          <w:szCs w:val="32"/>
        </w:rPr>
      </w:pPr>
      <w:r>
        <w:rPr>
          <w:rFonts w:hint="eastAsia" w:ascii="仿宋" w:hAnsi="仿宋" w:eastAsia="仿宋" w:cs="仿宋"/>
          <w:szCs w:val="32"/>
        </w:rPr>
        <w:t>本单位无政府性基金预算拨款。</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firstLineChars="200"/>
        <w:rPr>
          <w:rFonts w:eastAsia="楷体"/>
          <w:szCs w:val="32"/>
        </w:rPr>
      </w:pPr>
      <w:r>
        <w:rPr>
          <w:rFonts w:hint="eastAsia" w:ascii="仿宋" w:hAnsi="仿宋" w:eastAsia="仿宋" w:cs="仿宋"/>
          <w:szCs w:val="32"/>
        </w:rPr>
        <w:t>本单位无国有资本经营预算拨款。</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20.76</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2.19</w:t>
      </w:r>
      <w:r>
        <w:rPr>
          <w:szCs w:val="32"/>
        </w:rPr>
        <w:t>万元，下降</w:t>
      </w:r>
      <w:r>
        <w:rPr>
          <w:rFonts w:hint="eastAsia"/>
          <w:szCs w:val="32"/>
          <w:lang w:val="en-US" w:eastAsia="zh-CN"/>
        </w:rPr>
        <w:t>9.54</w:t>
      </w:r>
      <w:r>
        <w:rPr>
          <w:szCs w:val="32"/>
        </w:rPr>
        <w:t>%</w:t>
      </w:r>
      <w:r>
        <w:rPr>
          <w:rFonts w:hint="eastAsia"/>
          <w:szCs w:val="32"/>
        </w:rPr>
        <w:t>，主要原因是</w:t>
      </w:r>
      <w:r>
        <w:rPr>
          <w:rFonts w:hint="eastAsia" w:ascii="仿宋" w:hAnsi="仿宋" w:eastAsia="仿宋" w:cs="仿宋"/>
          <w:szCs w:val="22"/>
          <w:lang w:val="en-US" w:eastAsia="zh-CN"/>
        </w:rPr>
        <w:t>人员减少，按规定提取的机关运行经费相应减少</w:t>
      </w:r>
      <w:r>
        <w:rPr>
          <w:rFonts w:hint="eastAsia" w:ascii="仿宋" w:hAnsi="仿宋" w:eastAsia="仿宋" w:cs="仿宋"/>
          <w:color w:val="auto"/>
          <w:szCs w:val="32"/>
          <w:lang w:eastAsia="zh-CN"/>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13.61</w:t>
      </w:r>
      <w:r>
        <w:rPr>
          <w:szCs w:val="32"/>
        </w:rPr>
        <w:t>万元，其中：政府采购货物预算</w:t>
      </w:r>
      <w:r>
        <w:rPr>
          <w:rFonts w:hint="eastAsia"/>
          <w:szCs w:val="32"/>
          <w:lang w:val="en-US" w:eastAsia="zh-CN"/>
        </w:rPr>
        <w:t>0.50</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13.11</w:t>
      </w:r>
      <w:r>
        <w:rPr>
          <w:szCs w:val="32"/>
        </w:rPr>
        <w:t>万元。</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185.27</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150.84</w:t>
      </w:r>
      <w:r>
        <w:rPr>
          <w:szCs w:val="32"/>
        </w:rPr>
        <w:t>万元，</w:t>
      </w:r>
      <w:r>
        <w:rPr>
          <w:rFonts w:hint="eastAsia"/>
          <w:szCs w:val="32"/>
          <w:lang w:eastAsia="zh-CN"/>
        </w:rPr>
        <w:t>非</w:t>
      </w:r>
      <w:r>
        <w:rPr>
          <w:rFonts w:hint="eastAsia"/>
          <w:szCs w:val="32"/>
        </w:rPr>
        <w:t>财政拨款结转</w:t>
      </w:r>
      <w:r>
        <w:rPr>
          <w:rFonts w:hint="eastAsia"/>
          <w:szCs w:val="32"/>
          <w:lang w:val="en-US" w:eastAsia="zh-CN"/>
        </w:rPr>
        <w:t>34.43</w:t>
      </w:r>
      <w:r>
        <w:rPr>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185.27</w:t>
      </w:r>
      <w:r>
        <w:rPr>
          <w:rFonts w:hint="eastAsia" w:ascii="宋体" w:hAnsi="宋体"/>
        </w:rPr>
        <w:t>万元。</w:t>
      </w:r>
    </w:p>
    <w:p>
      <w:pPr>
        <w:ind w:firstLine="645"/>
        <w:rPr>
          <w:rFonts w:eastAsia="楷体"/>
          <w:szCs w:val="32"/>
        </w:rPr>
      </w:pPr>
    </w:p>
    <w:p>
      <w:pPr>
        <w:ind w:firstLine="645"/>
        <w:rPr>
          <w:rFonts w:eastAsia="楷体"/>
          <w:szCs w:val="32"/>
        </w:rPr>
      </w:pPr>
    </w:p>
    <w:p>
      <w:pPr>
        <w:ind w:firstLine="645"/>
        <w:rPr>
          <w:rFonts w:eastAsia="楷体"/>
          <w:szCs w:val="32"/>
        </w:rPr>
      </w:pPr>
    </w:p>
    <w:p>
      <w:pPr>
        <w:ind w:firstLine="645"/>
        <w:rPr>
          <w:rFonts w:eastAsia="楷体"/>
          <w:szCs w:val="32"/>
        </w:rPr>
      </w:pPr>
    </w:p>
    <w:p>
      <w:pPr>
        <w:rPr>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5bwaP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5813FB"/>
    <w:rsid w:val="02C44267"/>
    <w:rsid w:val="031D7D4B"/>
    <w:rsid w:val="0347241D"/>
    <w:rsid w:val="037F2004"/>
    <w:rsid w:val="03D57286"/>
    <w:rsid w:val="03FA08B3"/>
    <w:rsid w:val="0486486A"/>
    <w:rsid w:val="04954460"/>
    <w:rsid w:val="04B818D1"/>
    <w:rsid w:val="0508487A"/>
    <w:rsid w:val="050D06DA"/>
    <w:rsid w:val="051448F8"/>
    <w:rsid w:val="05310B72"/>
    <w:rsid w:val="05513E94"/>
    <w:rsid w:val="056F5A6D"/>
    <w:rsid w:val="059B3770"/>
    <w:rsid w:val="063949A0"/>
    <w:rsid w:val="06BD5BC7"/>
    <w:rsid w:val="06F008FF"/>
    <w:rsid w:val="077E1262"/>
    <w:rsid w:val="079E5032"/>
    <w:rsid w:val="07A660A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9C66CB"/>
    <w:rsid w:val="0DA001B0"/>
    <w:rsid w:val="0DEB170B"/>
    <w:rsid w:val="0E4C7841"/>
    <w:rsid w:val="0E97506F"/>
    <w:rsid w:val="0EAF340D"/>
    <w:rsid w:val="0F3E0406"/>
    <w:rsid w:val="0F980230"/>
    <w:rsid w:val="0FD62F63"/>
    <w:rsid w:val="0FDE2A27"/>
    <w:rsid w:val="10A53F69"/>
    <w:rsid w:val="10AE7F82"/>
    <w:rsid w:val="10C93B35"/>
    <w:rsid w:val="11177619"/>
    <w:rsid w:val="112605C8"/>
    <w:rsid w:val="112A6D4B"/>
    <w:rsid w:val="11745BAF"/>
    <w:rsid w:val="11A6707B"/>
    <w:rsid w:val="11B35B2F"/>
    <w:rsid w:val="12E711B7"/>
    <w:rsid w:val="136D62BD"/>
    <w:rsid w:val="136E4388"/>
    <w:rsid w:val="13F21722"/>
    <w:rsid w:val="1441443C"/>
    <w:rsid w:val="14C12787"/>
    <w:rsid w:val="15593E10"/>
    <w:rsid w:val="1562232B"/>
    <w:rsid w:val="159F7E25"/>
    <w:rsid w:val="15F848D0"/>
    <w:rsid w:val="160E1FA5"/>
    <w:rsid w:val="160F2600"/>
    <w:rsid w:val="16C829AB"/>
    <w:rsid w:val="16DD34F5"/>
    <w:rsid w:val="17765BCA"/>
    <w:rsid w:val="17775522"/>
    <w:rsid w:val="17A027D8"/>
    <w:rsid w:val="17CC2625"/>
    <w:rsid w:val="19132BE0"/>
    <w:rsid w:val="191F4716"/>
    <w:rsid w:val="1954649C"/>
    <w:rsid w:val="19DC7EAE"/>
    <w:rsid w:val="1A5E3E13"/>
    <w:rsid w:val="1A817DF8"/>
    <w:rsid w:val="1A8A6135"/>
    <w:rsid w:val="1A8F455C"/>
    <w:rsid w:val="1ADC594E"/>
    <w:rsid w:val="1ADD0AA9"/>
    <w:rsid w:val="1AEB5252"/>
    <w:rsid w:val="1B8A03E4"/>
    <w:rsid w:val="1B9C1459"/>
    <w:rsid w:val="1BEC57FA"/>
    <w:rsid w:val="1C852172"/>
    <w:rsid w:val="1C883D15"/>
    <w:rsid w:val="1CA40C0C"/>
    <w:rsid w:val="1CFF4A32"/>
    <w:rsid w:val="1D003925"/>
    <w:rsid w:val="1D4B7A56"/>
    <w:rsid w:val="1D833200"/>
    <w:rsid w:val="1E3A3FD0"/>
    <w:rsid w:val="1EB55C07"/>
    <w:rsid w:val="1F301F20"/>
    <w:rsid w:val="1F351A10"/>
    <w:rsid w:val="1F6B6568"/>
    <w:rsid w:val="1F857EA5"/>
    <w:rsid w:val="1FED47E9"/>
    <w:rsid w:val="206816AC"/>
    <w:rsid w:val="21134335"/>
    <w:rsid w:val="21FB4B79"/>
    <w:rsid w:val="226E581D"/>
    <w:rsid w:val="229710B4"/>
    <w:rsid w:val="22A4003E"/>
    <w:rsid w:val="22FF4D39"/>
    <w:rsid w:val="23135C25"/>
    <w:rsid w:val="23EC61F6"/>
    <w:rsid w:val="244C543C"/>
    <w:rsid w:val="24624768"/>
    <w:rsid w:val="24A8271E"/>
    <w:rsid w:val="254029E1"/>
    <w:rsid w:val="259B5BC5"/>
    <w:rsid w:val="25EF7FBC"/>
    <w:rsid w:val="25F62C4E"/>
    <w:rsid w:val="26643D6C"/>
    <w:rsid w:val="26FE109D"/>
    <w:rsid w:val="27073E1E"/>
    <w:rsid w:val="27B04AB3"/>
    <w:rsid w:val="280810F4"/>
    <w:rsid w:val="282B4E88"/>
    <w:rsid w:val="282C3BA1"/>
    <w:rsid w:val="28A63332"/>
    <w:rsid w:val="28C96E8E"/>
    <w:rsid w:val="29527C78"/>
    <w:rsid w:val="297E0FC2"/>
    <w:rsid w:val="29C45F24"/>
    <w:rsid w:val="2BA06C27"/>
    <w:rsid w:val="2C7B0549"/>
    <w:rsid w:val="2D405AAC"/>
    <w:rsid w:val="2D494D50"/>
    <w:rsid w:val="2D9038E4"/>
    <w:rsid w:val="2DE27F24"/>
    <w:rsid w:val="2DF8796C"/>
    <w:rsid w:val="2EB22F18"/>
    <w:rsid w:val="2EE12108"/>
    <w:rsid w:val="2EED35E3"/>
    <w:rsid w:val="2F0B5068"/>
    <w:rsid w:val="2F250383"/>
    <w:rsid w:val="2F63610B"/>
    <w:rsid w:val="2F7F62AC"/>
    <w:rsid w:val="2FBC646B"/>
    <w:rsid w:val="300965A3"/>
    <w:rsid w:val="30730D6E"/>
    <w:rsid w:val="308B20C9"/>
    <w:rsid w:val="30B91A70"/>
    <w:rsid w:val="30F84C22"/>
    <w:rsid w:val="310C6AA2"/>
    <w:rsid w:val="31793674"/>
    <w:rsid w:val="31894469"/>
    <w:rsid w:val="32332703"/>
    <w:rsid w:val="327E1C1E"/>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7F55471"/>
    <w:rsid w:val="3838492F"/>
    <w:rsid w:val="383A009B"/>
    <w:rsid w:val="3887374F"/>
    <w:rsid w:val="38CB0ABC"/>
    <w:rsid w:val="39041A07"/>
    <w:rsid w:val="39043B77"/>
    <w:rsid w:val="39670895"/>
    <w:rsid w:val="3A387943"/>
    <w:rsid w:val="3A657F9A"/>
    <w:rsid w:val="3A7A3313"/>
    <w:rsid w:val="3A9113D4"/>
    <w:rsid w:val="3AC54F32"/>
    <w:rsid w:val="3B144A0A"/>
    <w:rsid w:val="3B254018"/>
    <w:rsid w:val="3B5257F8"/>
    <w:rsid w:val="3BC92948"/>
    <w:rsid w:val="3BD45491"/>
    <w:rsid w:val="3BE370D4"/>
    <w:rsid w:val="3C1A026D"/>
    <w:rsid w:val="3C29381E"/>
    <w:rsid w:val="3C31522D"/>
    <w:rsid w:val="3C711E1D"/>
    <w:rsid w:val="3C7F463D"/>
    <w:rsid w:val="3CAE3960"/>
    <w:rsid w:val="3CEF6494"/>
    <w:rsid w:val="3D365BF6"/>
    <w:rsid w:val="3D63677B"/>
    <w:rsid w:val="3D7F7007"/>
    <w:rsid w:val="3DB008AA"/>
    <w:rsid w:val="3DF23324"/>
    <w:rsid w:val="3E764113"/>
    <w:rsid w:val="3E8C2F5E"/>
    <w:rsid w:val="3EA14040"/>
    <w:rsid w:val="3EC75624"/>
    <w:rsid w:val="3EE8108D"/>
    <w:rsid w:val="3F8201A3"/>
    <w:rsid w:val="3FB427C9"/>
    <w:rsid w:val="402675EA"/>
    <w:rsid w:val="40826793"/>
    <w:rsid w:val="40B80EFF"/>
    <w:rsid w:val="41A35364"/>
    <w:rsid w:val="41C31686"/>
    <w:rsid w:val="41C837BC"/>
    <w:rsid w:val="421643AC"/>
    <w:rsid w:val="4253444E"/>
    <w:rsid w:val="42982B4E"/>
    <w:rsid w:val="429F5D0C"/>
    <w:rsid w:val="42D83665"/>
    <w:rsid w:val="434A6B47"/>
    <w:rsid w:val="436B1E42"/>
    <w:rsid w:val="44B92992"/>
    <w:rsid w:val="456D114B"/>
    <w:rsid w:val="45EB670F"/>
    <w:rsid w:val="46A9422D"/>
    <w:rsid w:val="46AB7C0D"/>
    <w:rsid w:val="46D44808"/>
    <w:rsid w:val="46DA5E03"/>
    <w:rsid w:val="46ED776B"/>
    <w:rsid w:val="479D2523"/>
    <w:rsid w:val="47CF49E6"/>
    <w:rsid w:val="482568C9"/>
    <w:rsid w:val="4866767E"/>
    <w:rsid w:val="48674ED2"/>
    <w:rsid w:val="487708E6"/>
    <w:rsid w:val="48B540F2"/>
    <w:rsid w:val="493F6F72"/>
    <w:rsid w:val="494A78E4"/>
    <w:rsid w:val="49645F71"/>
    <w:rsid w:val="499F5C68"/>
    <w:rsid w:val="4A52465C"/>
    <w:rsid w:val="4A5C4AC6"/>
    <w:rsid w:val="4A662FBF"/>
    <w:rsid w:val="4AB74ED4"/>
    <w:rsid w:val="4AF16062"/>
    <w:rsid w:val="4B0A57E5"/>
    <w:rsid w:val="4B646DDD"/>
    <w:rsid w:val="4B7F44F8"/>
    <w:rsid w:val="4BAC24C5"/>
    <w:rsid w:val="4BFA0656"/>
    <w:rsid w:val="4CCC7536"/>
    <w:rsid w:val="4D3439E8"/>
    <w:rsid w:val="4D4E2809"/>
    <w:rsid w:val="4D730507"/>
    <w:rsid w:val="4D741DD3"/>
    <w:rsid w:val="4DC93207"/>
    <w:rsid w:val="4E010C4C"/>
    <w:rsid w:val="4E214B2B"/>
    <w:rsid w:val="4E4A3E48"/>
    <w:rsid w:val="4E5B77E0"/>
    <w:rsid w:val="4E8D5761"/>
    <w:rsid w:val="4EF54A85"/>
    <w:rsid w:val="4EF972C6"/>
    <w:rsid w:val="4F711E8F"/>
    <w:rsid w:val="501B3C66"/>
    <w:rsid w:val="504B40C5"/>
    <w:rsid w:val="50761696"/>
    <w:rsid w:val="50777D9A"/>
    <w:rsid w:val="50973F72"/>
    <w:rsid w:val="50987DC2"/>
    <w:rsid w:val="50A4703E"/>
    <w:rsid w:val="51282B99"/>
    <w:rsid w:val="5136104F"/>
    <w:rsid w:val="51465EDE"/>
    <w:rsid w:val="515B05A9"/>
    <w:rsid w:val="52071113"/>
    <w:rsid w:val="52085509"/>
    <w:rsid w:val="522774C4"/>
    <w:rsid w:val="522A7431"/>
    <w:rsid w:val="525A440D"/>
    <w:rsid w:val="52626449"/>
    <w:rsid w:val="53A60576"/>
    <w:rsid w:val="53AE4B87"/>
    <w:rsid w:val="540B6358"/>
    <w:rsid w:val="544E511A"/>
    <w:rsid w:val="54741940"/>
    <w:rsid w:val="54810E66"/>
    <w:rsid w:val="54C063E4"/>
    <w:rsid w:val="54C2556E"/>
    <w:rsid w:val="54CA2EDD"/>
    <w:rsid w:val="54D70AFE"/>
    <w:rsid w:val="55480EEF"/>
    <w:rsid w:val="569B7F91"/>
    <w:rsid w:val="56D21BED"/>
    <w:rsid w:val="5706126A"/>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CC766C"/>
    <w:rsid w:val="5CF74CE4"/>
    <w:rsid w:val="5D2077C1"/>
    <w:rsid w:val="5D5A7C63"/>
    <w:rsid w:val="5E256F6F"/>
    <w:rsid w:val="5EBD2BD2"/>
    <w:rsid w:val="5F2B00E2"/>
    <w:rsid w:val="5F6235A9"/>
    <w:rsid w:val="5F781C91"/>
    <w:rsid w:val="60DC439E"/>
    <w:rsid w:val="614125C2"/>
    <w:rsid w:val="61AA1D1F"/>
    <w:rsid w:val="624C5C52"/>
    <w:rsid w:val="62B77127"/>
    <w:rsid w:val="63A04D89"/>
    <w:rsid w:val="63DF08E4"/>
    <w:rsid w:val="645E4568"/>
    <w:rsid w:val="64C04AFD"/>
    <w:rsid w:val="654A3BC0"/>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90033"/>
    <w:rsid w:val="6ACC5E47"/>
    <w:rsid w:val="6AD43ED1"/>
    <w:rsid w:val="6B11024D"/>
    <w:rsid w:val="6B7D5B36"/>
    <w:rsid w:val="6C834DAA"/>
    <w:rsid w:val="6C993CCE"/>
    <w:rsid w:val="6CF120A8"/>
    <w:rsid w:val="6D72413D"/>
    <w:rsid w:val="6E590E1F"/>
    <w:rsid w:val="6FF50B81"/>
    <w:rsid w:val="70330B9C"/>
    <w:rsid w:val="709D17BE"/>
    <w:rsid w:val="714213DD"/>
    <w:rsid w:val="71721F7B"/>
    <w:rsid w:val="717F272E"/>
    <w:rsid w:val="72783A23"/>
    <w:rsid w:val="728027C6"/>
    <w:rsid w:val="73D62FA6"/>
    <w:rsid w:val="73FE7ACC"/>
    <w:rsid w:val="74556746"/>
    <w:rsid w:val="74743258"/>
    <w:rsid w:val="74897375"/>
    <w:rsid w:val="761B13C4"/>
    <w:rsid w:val="764B6A8A"/>
    <w:rsid w:val="76C17E06"/>
    <w:rsid w:val="76CA67BD"/>
    <w:rsid w:val="76E6298C"/>
    <w:rsid w:val="770021AC"/>
    <w:rsid w:val="774E6400"/>
    <w:rsid w:val="775B0046"/>
    <w:rsid w:val="792A77D6"/>
    <w:rsid w:val="793D482B"/>
    <w:rsid w:val="79404FCA"/>
    <w:rsid w:val="79700BEF"/>
    <w:rsid w:val="798D552B"/>
    <w:rsid w:val="7A090695"/>
    <w:rsid w:val="7A1D5951"/>
    <w:rsid w:val="7AE175F4"/>
    <w:rsid w:val="7B417685"/>
    <w:rsid w:val="7B5220F0"/>
    <w:rsid w:val="7BA169C0"/>
    <w:rsid w:val="7BC55243"/>
    <w:rsid w:val="7C2F4A9A"/>
    <w:rsid w:val="7C746181"/>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5">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3d90541e-4e87-485c-b386-5b47ae9a9d4f</errorID>
      <errorWord>法律、法规</errorWord>
      <group>L1_Word</group>
      <groupName>字词问题</groupName>
      <ability>L2_Typo</ability>
      <abilityName>字词错误</abilityName>
      <candidateList>
        <item>法律法规</item>
      </candidateList>
      <explain/>
      <paraID>5B818F07</paraID>
      <start>66</start>
      <end>71</end>
      <status>unmodified</status>
      <modifiedWord/>
      <trackRevisions>false</trackRevisions>
    </reviewItem>
    <reviewItem>
      <errorID>b67007cf-a534-40a6-ad28-cff5dec8aac4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41E788CA</paraID>
      <start>0</start>
      <end>8</end>
      <status>unmodified</status>
      <modifiedWord/>
      <trackRevisions>false</trackRevisions>
    </reviewItem>
    <reviewItem>
      <errorID>6adfc199-4ff8-4941-9c30-9fee2a2e9ffe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18CB1713</paraID>
      <start>2</start>
      <end>10</end>
      <status>unmodified</status>
      <modifiedWord/>
      <trackRevisions>false</trackRevisions>
    </reviewItem>
    <reviewItem>
      <errorID>5070696c-e605-4d41-abb7-952a540cff8d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6A72795B</paraID>
      <start>0</start>
      <end>2</end>
      <status>unmodified</status>
      <modifiedWord/>
      <trackRevisions>false</trackRevisions>
    </reviewItem>
    <reviewItem>
      <errorID>4edb01aa-755d-4c0a-a29f-51417ff3f020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28180F6F</paraID>
      <start>0</start>
      <end>2</end>
      <status>unmodified</status>
      <modifiedWord/>
      <trackRevisions>false</trackRevisions>
    </reviewItem>
    <reviewItem>
      <errorID>2620b669-59ca-4d6f-a3a8-fc543bc8bf9b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56B3D146</paraID>
      <start>0</start>
      <end>2</end>
      <status>unmodified</status>
      <modifiedWord/>
      <trackRevisions>false</trackRevisions>
    </reviewItem>
    <reviewItem>
      <errorID>31cbf500-8306-4f85-a2b7-7ec098a4015c</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BC0FEFC</paraID>
      <start>0</start>
      <end>9</end>
      <status>unmodified</status>
      <modifiedWord/>
      <trackRevisions>false</trackRevisions>
    </reviewItem>
    <reviewItem>
      <errorID>1722d769-260d-4723-8ada-6e44b4458d82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7CD97AAC</paraID>
      <start>0</start>
      <end>8</end>
      <status>unmodified</status>
      <modifiedWord/>
      <trackRevisions>false</trackRevisions>
    </reviewItem>
    <reviewItem>
      <errorID>bc7252c7-8983-41c1-88eb-0f26e874b569</errorID>
      <errorWord>......</errorWord>
      <group>L1_Punc</group>
      <groupName>标点问题</groupName>
      <ability>L2_Punc</ability>
      <abilityName>标点符号检查</abilityName>
      <candidateList>
        <item>……</item>
      </candidateList>
      <explain/>
      <paraID>6009E0A8</paraID>
      <start>0</start>
      <end>6</end>
      <status>unmodified</status>
      <modifiedWord/>
      <trackRevisions>false</trackRevisions>
    </reviewItem>
    <reviewItem>
      <errorID>8b9f7ab2-0018-4730-807e-6d11389fc212</errorID>
      <errorWord>(</errorWord>
      <group>L1_Format</group>
      <groupName>格式问题</groupName>
      <ability>L2_HalfPunc</ability>
      <abilityName>全半角检查</abilityName>
      <candidateList>
        <item>（</item>
      </candidateList>
      <explain>文本全半角错误。</explain>
      <paraID>1AB6A3E0</paraID>
      <start>8</start>
      <end>9</end>
      <status>unmodified</status>
      <modifiedWord/>
      <trackRevisions>false</trackRevisions>
    </reviewItem>
    <reviewItem>
      <errorID>dff1f6f7-8b69-479f-8f95-63d2d64a2eb6</errorID>
      <errorWord>)</errorWord>
      <group>L1_Format</group>
      <groupName>格式问题</groupName>
      <ability>L2_HalfPunc</ability>
      <abilityName>全半角检查</abilityName>
      <candidateList>
        <item>）</item>
      </candidateList>
      <explain>文本全半角错误。</explain>
      <paraID>1AB6A3E0</paraID>
      <start>11</start>
      <end>12</end>
      <status>unmodified</status>
      <modifiedWord/>
      <trackRevisions>false</trackRevisions>
    </reviewItem>
    <reviewItem>
      <errorID>e6618787-fac8-4b30-8de6-66781e94fb3c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458F4C52</paraID>
      <start>33</start>
      <end>41</end>
      <status>unmodified</status>
      <modifiedWord/>
      <trackRevisions>false</trackRevisions>
    </reviewItem>
    <reviewItem>
      <errorID>119f7dea-421e-434c-85cd-8bf368b5ef5a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7C8329D4</paraID>
      <start>70</start>
      <end>78</end>
      <status>unmodified</status>
      <modifiedWord/>
      <trackRevisions>false</trackRevisions>
    </reviewItem>
    <reviewItem>
      <errorID>200e2c03-acc2-4d49-ae86-673ba6bd5c8a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CE42E73</paraID>
      <start>5</start>
      <end>13</end>
      <status>unmodified</status>
      <modifiedWord/>
      <trackRevisions>false</trackRevisions>
    </reviewItem>
    <reviewItem>
      <errorID>fd01c56c-dddb-48e3-af04-cf13449f9ede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1C2251C6</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75def0-58d7-4895-a11c-e3387aa45713}">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2067</Words>
  <Characters>2891</Characters>
  <Lines>71</Lines>
  <Paragraphs>20</Paragraphs>
  <TotalTime>149</TotalTime>
  <ScaleCrop>false</ScaleCrop>
  <LinksUpToDate>false</LinksUpToDate>
  <CharactersWithSpaces>3382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2025-02-11T03:07:00Z</cp:lastPrinted>
  <dcterms:modified xsi:type="dcterms:W3CDTF">2026-03-05T02:29:51Z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KSOTemplateDocerSaveRecord">
    <vt:lpwstr>eyJoZGlkIjoiNjE4M2Y4MTRmZTY1YmM1NWFmMjQzN2Q0NTNmODdjNTEiLCJ1c2VySWQiOiIyMTg0MDY1MzkifQ==</vt:lpwstr>
  </property>
  <property fmtid="{D5CDD505-2E9C-101B-9397-08002B2CF9AE}" pid="4" name="ICV">
    <vt:lpwstr>744488F424F8466AA77AAEADD6132731_13</vt:lpwstr>
  </property>
</Properties>
</file>