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宋体" w:hAnsi="宋体" w:eastAsia="宋体" w:cs="宋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u w:val="none"/>
          <w:lang w:val="en-US" w:eastAsia="zh-CN"/>
        </w:rPr>
        <w:t>舒兰市统计局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color w:val="000000"/>
          <w:szCs w:val="32"/>
        </w:rPr>
      </w:pPr>
      <w:r>
        <w:rPr>
          <w:rFonts w:hint="eastAsia"/>
          <w:color w:val="000000"/>
          <w:szCs w:val="32"/>
        </w:rPr>
        <w:t>根据《中共吉林省委办公厅、吉林省人民政府办公厅关于印发</w:t>
      </w:r>
      <w:r>
        <w:rPr>
          <w:rFonts w:hint="eastAsia"/>
          <w:color w:val="000000"/>
          <w:szCs w:val="32"/>
          <w:lang w:eastAsia="zh-CN"/>
        </w:rPr>
        <w:t>〈</w:t>
      </w:r>
      <w:r>
        <w:rPr>
          <w:rFonts w:hint="eastAsia"/>
          <w:color w:val="000000"/>
          <w:szCs w:val="32"/>
        </w:rPr>
        <w:t>吉林省人民政府机构改革方案的实施意见</w:t>
      </w:r>
      <w:r>
        <w:rPr>
          <w:rFonts w:hint="eastAsia"/>
          <w:color w:val="000000"/>
          <w:szCs w:val="32"/>
          <w:lang w:eastAsia="zh-CN"/>
        </w:rPr>
        <w:t>〉的通知》（</w:t>
      </w:r>
      <w:r>
        <w:rPr>
          <w:rFonts w:hint="eastAsia"/>
          <w:color w:val="000000"/>
          <w:szCs w:val="32"/>
        </w:rPr>
        <w:t>吉办发 〔2008〕36号</w:t>
      </w:r>
      <w:r>
        <w:rPr>
          <w:rFonts w:hint="eastAsia"/>
          <w:color w:val="000000"/>
          <w:szCs w:val="32"/>
          <w:lang w:eastAsia="zh-CN"/>
        </w:rPr>
        <w:t>）</w:t>
      </w:r>
      <w:r>
        <w:rPr>
          <w:rFonts w:hint="eastAsia"/>
          <w:color w:val="000000"/>
          <w:szCs w:val="32"/>
        </w:rPr>
        <w:t>和省编办《关于印发</w:t>
      </w:r>
      <w:r>
        <w:rPr>
          <w:rFonts w:hint="eastAsia"/>
          <w:color w:val="000000"/>
          <w:szCs w:val="32"/>
          <w:lang w:eastAsia="zh-CN"/>
        </w:rPr>
        <w:t>〈</w:t>
      </w:r>
      <w:r>
        <w:rPr>
          <w:rFonts w:hint="eastAsia"/>
          <w:color w:val="000000"/>
          <w:szCs w:val="32"/>
        </w:rPr>
        <w:t>省以下垂直管理系统市</w:t>
      </w:r>
      <w:r>
        <w:rPr>
          <w:rFonts w:hint="eastAsia"/>
          <w:color w:val="000000"/>
          <w:szCs w:val="32"/>
          <w:lang w:eastAsia="zh-CN"/>
        </w:rPr>
        <w:t>（</w:t>
      </w:r>
      <w:r>
        <w:rPr>
          <w:rFonts w:hint="eastAsia"/>
          <w:color w:val="000000"/>
          <w:szCs w:val="32"/>
        </w:rPr>
        <w:t>州</w:t>
      </w:r>
      <w:r>
        <w:rPr>
          <w:rFonts w:hint="eastAsia"/>
          <w:color w:val="000000"/>
          <w:szCs w:val="32"/>
          <w:lang w:eastAsia="zh-CN"/>
        </w:rPr>
        <w:t>）</w:t>
      </w:r>
      <w:r>
        <w:rPr>
          <w:rFonts w:hint="eastAsia"/>
          <w:color w:val="000000"/>
          <w:szCs w:val="32"/>
        </w:rPr>
        <w:t>县</w:t>
      </w:r>
      <w:r>
        <w:rPr>
          <w:rFonts w:hint="eastAsia"/>
          <w:color w:val="000000"/>
          <w:szCs w:val="32"/>
          <w:lang w:eastAsia="zh-CN"/>
        </w:rPr>
        <w:t>（</w:t>
      </w:r>
      <w:r>
        <w:rPr>
          <w:rFonts w:hint="eastAsia"/>
          <w:color w:val="000000"/>
          <w:szCs w:val="32"/>
        </w:rPr>
        <w:t>市、区</w:t>
      </w:r>
      <w:r>
        <w:rPr>
          <w:rFonts w:hint="eastAsia"/>
          <w:color w:val="000000"/>
          <w:szCs w:val="32"/>
          <w:lang w:eastAsia="zh-CN"/>
        </w:rPr>
        <w:t>）</w:t>
      </w:r>
      <w:r>
        <w:rPr>
          <w:rFonts w:hint="eastAsia"/>
          <w:color w:val="000000"/>
          <w:szCs w:val="32"/>
        </w:rPr>
        <w:t>局机关机构改革指导意见</w:t>
      </w:r>
      <w:r>
        <w:rPr>
          <w:rFonts w:hint="eastAsia"/>
          <w:color w:val="000000"/>
          <w:szCs w:val="32"/>
          <w:lang w:eastAsia="zh-CN"/>
        </w:rPr>
        <w:t>〉的通知》（</w:t>
      </w:r>
      <w:r>
        <w:rPr>
          <w:rFonts w:hint="eastAsia"/>
          <w:color w:val="000000"/>
          <w:szCs w:val="32"/>
        </w:rPr>
        <w:t>吉编办</w:t>
      </w:r>
      <w:r>
        <w:rPr>
          <w:rFonts w:hint="eastAsia"/>
          <w:color w:val="000000"/>
          <w:szCs w:val="32"/>
          <w:lang w:eastAsia="zh-CN"/>
        </w:rPr>
        <w:t>〔2009〕51号），</w:t>
      </w:r>
      <w:r>
        <w:rPr>
          <w:rFonts w:hint="eastAsia"/>
          <w:color w:val="000000"/>
          <w:szCs w:val="32"/>
        </w:rPr>
        <w:t>设立舒兰市统计局，为吉林市统计局直属机构。</w:t>
      </w:r>
    </w:p>
    <w:p>
      <w:pPr>
        <w:ind w:firstLine="640" w:firstLineChars="200"/>
        <w:rPr>
          <w:rFonts w:hint="eastAsia"/>
          <w:color w:val="000000"/>
          <w:szCs w:val="32"/>
        </w:rPr>
      </w:pPr>
      <w:r>
        <w:rPr>
          <w:rFonts w:hint="eastAsia"/>
          <w:color w:val="000000"/>
          <w:szCs w:val="32"/>
        </w:rPr>
        <w:t>（一）贯彻执行国家统计方针、政策以及法律、法规，制定全市统计规划及统计调查计划；监督检查统计法律、法规的实施。组织领导全市统计工作，承担确保统计数据真实、准确、及时的责任。</w:t>
      </w:r>
    </w:p>
    <w:p>
      <w:pPr>
        <w:ind w:firstLine="640" w:firstLineChars="200"/>
        <w:rPr>
          <w:rFonts w:hint="eastAsia"/>
          <w:color w:val="000000"/>
          <w:szCs w:val="32"/>
        </w:rPr>
      </w:pPr>
      <w:r>
        <w:rPr>
          <w:rFonts w:hint="eastAsia"/>
          <w:color w:val="000000"/>
          <w:szCs w:val="32"/>
        </w:rPr>
        <w:t>（二）根据国家统一的基本统计制度，建立健全全市国民经济核算体系和统计指标体系，贯彻执行全省统一的基本统计报表制度和统计标准；汇编提供全市国民经济核算资料。</w:t>
      </w:r>
    </w:p>
    <w:p>
      <w:pPr>
        <w:ind w:firstLine="640" w:firstLineChars="200"/>
        <w:rPr>
          <w:rFonts w:hint="eastAsia"/>
          <w:color w:val="000000"/>
          <w:szCs w:val="32"/>
        </w:rPr>
      </w:pPr>
      <w:r>
        <w:rPr>
          <w:rFonts w:hint="eastAsia"/>
          <w:color w:val="000000"/>
          <w:szCs w:val="32"/>
        </w:rPr>
        <w:t>（三）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pPr>
        <w:ind w:firstLine="640" w:firstLineChars="200"/>
        <w:rPr>
          <w:rFonts w:hint="eastAsia"/>
          <w:color w:val="000000"/>
          <w:szCs w:val="32"/>
        </w:rPr>
      </w:pPr>
      <w:r>
        <w:rPr>
          <w:rFonts w:hint="eastAsia"/>
          <w:color w:val="000000"/>
          <w:szCs w:val="32"/>
        </w:rPr>
        <w:t>（四）统一核定、管理、公布全市基本统计资料，定期向社会公众发布全市国民经济和社会发展情况的统计信息。</w:t>
      </w:r>
    </w:p>
    <w:p>
      <w:pPr>
        <w:ind w:firstLine="640" w:firstLineChars="200"/>
        <w:rPr>
          <w:rFonts w:hint="eastAsia"/>
          <w:color w:val="000000"/>
          <w:szCs w:val="32"/>
        </w:rPr>
      </w:pPr>
      <w:r>
        <w:rPr>
          <w:rFonts w:hint="eastAsia"/>
          <w:color w:val="000000"/>
          <w:szCs w:val="32"/>
        </w:rPr>
        <w:t>（五）建立、完善和管理全市统计信息自动化系统和全市统计数据库体系。</w:t>
      </w:r>
    </w:p>
    <w:p>
      <w:pPr>
        <w:ind w:firstLine="640" w:firstLineChars="200"/>
        <w:rPr>
          <w:rFonts w:hint="eastAsia"/>
          <w:color w:val="000000"/>
          <w:szCs w:val="32"/>
        </w:rPr>
      </w:pPr>
      <w:r>
        <w:rPr>
          <w:rFonts w:hint="eastAsia"/>
          <w:color w:val="000000"/>
          <w:szCs w:val="32"/>
        </w:rPr>
        <w:t>（六）负责全市统计系统的干部人事、劳动工资、机构编制和财务经费，审计监督及资产设施管理。</w:t>
      </w:r>
    </w:p>
    <w:p>
      <w:pPr>
        <w:ind w:firstLine="640" w:firstLineChars="200"/>
        <w:rPr>
          <w:color w:val="000000"/>
          <w:sz w:val="21"/>
          <w:szCs w:val="21"/>
        </w:rPr>
      </w:pPr>
      <w:r>
        <w:rPr>
          <w:rFonts w:hint="eastAsia"/>
          <w:color w:val="000000"/>
          <w:szCs w:val="32"/>
        </w:rPr>
        <w:t>（七）承办吉林市统计局和舒兰市政府交办的其他事项。</w:t>
      </w:r>
    </w:p>
    <w:p>
      <w:pPr>
        <w:ind w:firstLine="640" w:firstLineChars="200"/>
      </w:pPr>
      <w:r>
        <w:rPr>
          <w:rFonts w:eastAsia="楷体_GB2312"/>
        </w:rPr>
        <w:t>二、机构设置</w:t>
      </w:r>
    </w:p>
    <w:p>
      <w:pPr>
        <w:pStyle w:val="27"/>
        <w:ind w:firstLine="640" w:firstLineChars="200"/>
        <w:rPr>
          <w:rFonts w:hint="eastAsia" w:eastAsia="仿宋_GB2312"/>
        </w:rPr>
      </w:pPr>
      <w:r>
        <w:rPr>
          <w:rFonts w:hint="eastAsia" w:eastAsia="仿宋_GB2312"/>
        </w:rPr>
        <w:t>根据上述职责，舒兰市统计局内设2个机构，分别为综合科、社会经济统计科。</w:t>
      </w:r>
    </w:p>
    <w:p>
      <w:pPr>
        <w:pStyle w:val="27"/>
        <w:ind w:firstLine="640" w:firstLineChars="200"/>
        <w:rPr>
          <w:rFonts w:eastAsia="仿宋_GB2312"/>
        </w:rPr>
      </w:pPr>
      <w:r>
        <w:rPr>
          <w:rFonts w:hint="eastAsia" w:eastAsia="仿宋_GB2312"/>
        </w:rPr>
        <w:t>无下设预算单位。</w:t>
      </w:r>
    </w:p>
    <w:p>
      <w:pPr>
        <w:pStyle w:val="27"/>
        <w:ind w:firstLine="640" w:firstLineChars="200"/>
        <w:rPr>
          <w:rFonts w:eastAsia="楷体"/>
        </w:rPr>
      </w:pPr>
    </w:p>
    <w:p>
      <w:pPr>
        <w:pStyle w:val="27"/>
        <w:ind w:firstLine="640" w:firstLineChars="200"/>
        <w:rPr>
          <w:rFonts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int="eastAsia" w:hAnsi="楷体" w:eastAsia="楷体"/>
        </w:rPr>
      </w:pPr>
    </w:p>
    <w:p>
      <w:pPr>
        <w:pStyle w:val="27"/>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138.46</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138.46</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394.25</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394.25</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138.46</w:t>
            </w:r>
          </w:p>
        </w:tc>
        <w:tc>
          <w:tcPr>
            <w:tcW w:w="984"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138.46</w:t>
            </w: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val="en-US"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23.71</w:t>
            </w:r>
          </w:p>
        </w:tc>
        <w:tc>
          <w:tcPr>
            <w:tcW w:w="1182"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23.71</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3.92</w:t>
            </w:r>
          </w:p>
        </w:tc>
        <w:tc>
          <w:tcPr>
            <w:tcW w:w="1182"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3.92</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9.01</w:t>
            </w:r>
          </w:p>
        </w:tc>
        <w:tc>
          <w:tcPr>
            <w:tcW w:w="1182"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9.01</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285.73</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285.73</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pPr>
              <w:jc w:val="center"/>
              <w:rPr>
                <w:rFonts w:hint="default" w:eastAsia="宋体"/>
                <w:sz w:val="20"/>
                <w:lang w:val="en-US" w:eastAsia="zh-CN"/>
              </w:rPr>
            </w:pPr>
            <w:r>
              <w:rPr>
                <w:rFonts w:hint="eastAsia" w:eastAsia="宋体"/>
                <w:sz w:val="20"/>
                <w:lang w:val="en-US" w:eastAsia="zh-CN"/>
              </w:rPr>
              <w:t>285.73</w:t>
            </w:r>
          </w:p>
        </w:tc>
        <w:tc>
          <w:tcPr>
            <w:tcW w:w="984" w:type="dxa"/>
            <w:gridSpan w:val="2"/>
            <w:tcBorders>
              <w:top w:val="nil"/>
              <w:left w:val="nil"/>
              <w:bottom w:val="single" w:color="auto" w:sz="4" w:space="0"/>
              <w:right w:val="single" w:color="auto" w:sz="4" w:space="0"/>
            </w:tcBorders>
            <w:noWrap w:val="0"/>
            <w:vAlign w:val="center"/>
          </w:tcPr>
          <w:p>
            <w:pPr>
              <w:jc w:val="center"/>
              <w:rPr>
                <w:rFonts w:hint="default" w:eastAsia="宋体"/>
                <w:sz w:val="20"/>
                <w:lang w:val="en-US" w:eastAsia="zh-CN"/>
              </w:rPr>
            </w:pPr>
            <w:r>
              <w:rPr>
                <w:rFonts w:hint="eastAsia" w:eastAsia="宋体"/>
                <w:sz w:val="20"/>
                <w:lang w:val="en-US" w:eastAsia="zh-CN"/>
              </w:rPr>
              <w:t>285.73</w:t>
            </w:r>
          </w:p>
        </w:tc>
        <w:tc>
          <w:tcPr>
            <w:tcW w:w="1134" w:type="dxa"/>
            <w:tcBorders>
              <w:top w:val="nil"/>
              <w:left w:val="single" w:color="auto" w:sz="4" w:space="0"/>
              <w:bottom w:val="single" w:color="auto" w:sz="4" w:space="0"/>
              <w:right w:val="nil"/>
            </w:tcBorders>
            <w:noWrap w:val="0"/>
            <w:vAlign w:val="center"/>
          </w:tcPr>
          <w:p>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424.19</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424.19</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b/>
                <w:bCs/>
                <w:kern w:val="0"/>
                <w:sz w:val="20"/>
                <w:lang w:val="en-US" w:eastAsia="zh-CN"/>
              </w:rPr>
            </w:pPr>
            <w:r>
              <w:rPr>
                <w:rFonts w:hint="eastAsia" w:eastAsia="宋体"/>
                <w:b w:val="0"/>
                <w:bCs w:val="0"/>
                <w:kern w:val="0"/>
                <w:sz w:val="20"/>
                <w:lang w:val="en-US" w:eastAsia="zh-CN"/>
              </w:rPr>
              <w:t>430.89</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430.89</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6.70</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6.70</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430.89</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430.89</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430.89</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430.89</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992"/>
        <w:gridCol w:w="825"/>
        <w:gridCol w:w="795"/>
        <w:gridCol w:w="810"/>
        <w:gridCol w:w="450"/>
        <w:gridCol w:w="465"/>
        <w:gridCol w:w="495"/>
        <w:gridCol w:w="435"/>
        <w:gridCol w:w="435"/>
        <w:gridCol w:w="450"/>
        <w:gridCol w:w="435"/>
        <w:gridCol w:w="840"/>
        <w:gridCol w:w="600"/>
        <w:gridCol w:w="457"/>
        <w:gridCol w:w="492"/>
        <w:gridCol w:w="1"/>
        <w:gridCol w:w="504"/>
        <w:gridCol w:w="376"/>
        <w:gridCol w:w="631"/>
      </w:tblGrid>
      <w:tr>
        <w:tblPrEx>
          <w:tblCellMar>
            <w:top w:w="0" w:type="dxa"/>
            <w:left w:w="108" w:type="dxa"/>
            <w:bottom w:w="0" w:type="dxa"/>
            <w:right w:w="108" w:type="dxa"/>
          </w:tblCellMar>
        </w:tblPrEx>
        <w:trPr>
          <w:trHeight w:val="335" w:hRule="atLeast"/>
          <w:jc w:val="center"/>
        </w:trPr>
        <w:tc>
          <w:tcPr>
            <w:tcW w:w="992" w:type="dxa"/>
            <w:tcBorders>
              <w:bottom w:val="single" w:color="000000" w:sz="4" w:space="0"/>
            </w:tcBorders>
            <w:noWrap w:val="0"/>
            <w:vAlign w:val="top"/>
          </w:tcPr>
          <w:p>
            <w:pPr>
              <w:autoSpaceDN w:val="0"/>
              <w:jc w:val="left"/>
              <w:textAlignment w:val="center"/>
              <w:rPr>
                <w:rFonts w:eastAsia="华文细黑"/>
                <w:color w:val="000000"/>
                <w:sz w:val="20"/>
              </w:rPr>
            </w:pPr>
          </w:p>
        </w:tc>
        <w:tc>
          <w:tcPr>
            <w:tcW w:w="4710" w:type="dxa"/>
            <w:gridSpan w:val="8"/>
            <w:tcBorders>
              <w:bottom w:val="single" w:color="000000" w:sz="4" w:space="0"/>
            </w:tcBorders>
            <w:noWrap w:val="0"/>
            <w:vAlign w:val="center"/>
          </w:tcPr>
          <w:p>
            <w:pPr>
              <w:autoSpaceDN w:val="0"/>
              <w:jc w:val="left"/>
              <w:textAlignment w:val="center"/>
              <w:rPr>
                <w:rFonts w:eastAsia="华文细黑"/>
                <w:color w:val="000000"/>
                <w:sz w:val="20"/>
              </w:rPr>
            </w:pPr>
          </w:p>
        </w:tc>
        <w:tc>
          <w:tcPr>
            <w:tcW w:w="1725" w:type="dxa"/>
            <w:gridSpan w:val="3"/>
            <w:noWrap w:val="0"/>
            <w:vAlign w:val="center"/>
          </w:tcPr>
          <w:p>
            <w:pPr>
              <w:autoSpaceDN w:val="0"/>
              <w:jc w:val="left"/>
              <w:textAlignment w:val="center"/>
              <w:rPr>
                <w:rFonts w:eastAsia="华文细黑"/>
                <w:color w:val="000000"/>
                <w:sz w:val="20"/>
              </w:rPr>
            </w:pPr>
          </w:p>
        </w:tc>
        <w:tc>
          <w:tcPr>
            <w:tcW w:w="600" w:type="dxa"/>
            <w:noWrap w:val="0"/>
            <w:vAlign w:val="center"/>
          </w:tcPr>
          <w:p>
            <w:pPr>
              <w:autoSpaceDN w:val="0"/>
              <w:jc w:val="left"/>
              <w:textAlignment w:val="center"/>
              <w:rPr>
                <w:rFonts w:eastAsia="华文细黑"/>
                <w:color w:val="000000"/>
                <w:sz w:val="20"/>
              </w:rPr>
            </w:pPr>
          </w:p>
        </w:tc>
        <w:tc>
          <w:tcPr>
            <w:tcW w:w="457" w:type="dxa"/>
            <w:noWrap w:val="0"/>
            <w:vAlign w:val="center"/>
          </w:tcPr>
          <w:p>
            <w:pPr>
              <w:autoSpaceDN w:val="0"/>
              <w:jc w:val="left"/>
              <w:textAlignment w:val="center"/>
              <w:rPr>
                <w:rFonts w:eastAsia="华文细黑"/>
                <w:color w:val="000000"/>
                <w:sz w:val="20"/>
              </w:rPr>
            </w:pPr>
          </w:p>
        </w:tc>
        <w:tc>
          <w:tcPr>
            <w:tcW w:w="493" w:type="dxa"/>
            <w:gridSpan w:val="2"/>
            <w:noWrap w:val="0"/>
            <w:vAlign w:val="bottom"/>
          </w:tcPr>
          <w:p>
            <w:pPr>
              <w:autoSpaceDN w:val="0"/>
              <w:jc w:val="right"/>
              <w:textAlignment w:val="bottom"/>
              <w:rPr>
                <w:rFonts w:eastAsia="宋体"/>
                <w:color w:val="000000"/>
                <w:sz w:val="20"/>
              </w:rPr>
            </w:pPr>
          </w:p>
        </w:tc>
        <w:tc>
          <w:tcPr>
            <w:tcW w:w="1511" w:type="dxa"/>
            <w:gridSpan w:val="3"/>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992" w:type="dxa"/>
            <w:vMerge w:val="restart"/>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25"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10" w:type="dxa"/>
            <w:gridSpan w:val="10"/>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61" w:type="dxa"/>
            <w:gridSpan w:val="7"/>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tblPrEx>
          <w:tblCellMar>
            <w:top w:w="0" w:type="dxa"/>
            <w:left w:w="108" w:type="dxa"/>
            <w:bottom w:w="0" w:type="dxa"/>
            <w:right w:w="108" w:type="dxa"/>
          </w:tblCellMar>
        </w:tblPrEx>
        <w:trPr>
          <w:trHeight w:val="517" w:hRule="atLeast"/>
          <w:jc w:val="center"/>
        </w:trPr>
        <w:tc>
          <w:tcPr>
            <w:tcW w:w="992"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825"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795"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25"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95" w:type="dxa"/>
            <w:vMerge w:val="restart"/>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95" w:type="dxa"/>
            <w:gridSpan w:val="5"/>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00"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54" w:type="dxa"/>
            <w:gridSpan w:val="4"/>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CellMar>
            <w:top w:w="0" w:type="dxa"/>
            <w:left w:w="108" w:type="dxa"/>
            <w:bottom w:w="0" w:type="dxa"/>
            <w:right w:w="108" w:type="dxa"/>
          </w:tblCellMar>
        </w:tblPrEx>
        <w:trPr>
          <w:trHeight w:val="6089" w:hRule="atLeast"/>
          <w:jc w:val="center"/>
        </w:trPr>
        <w:tc>
          <w:tcPr>
            <w:tcW w:w="99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lang w:eastAsia="zh-CN"/>
              </w:rPr>
            </w:pPr>
          </w:p>
        </w:tc>
        <w:tc>
          <w:tcPr>
            <w:tcW w:w="79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1"/>
                <w:szCs w:val="21"/>
                <w:shd w:val="clear" w:color="auto" w:fill="FFFFFF"/>
                <w:lang w:eastAsia="zh-CN"/>
              </w:rPr>
            </w:pPr>
          </w:p>
        </w:tc>
        <w:tc>
          <w:tcPr>
            <w:tcW w:w="81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50" w:type="dxa"/>
            <w:tcBorders>
              <w:top w:val="single" w:color="000000" w:sz="4" w:space="0"/>
              <w:left w:val="single" w:color="000000" w:sz="4" w:space="0"/>
              <w:bottom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9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left"/>
              <w:rPr>
                <w:rFonts w:hint="eastAsia" w:eastAsia="宋体"/>
                <w:color w:val="000000"/>
                <w:sz w:val="20"/>
                <w:szCs w:val="20"/>
                <w:shd w:val="clear" w:color="auto" w:fill="FFFFFF"/>
                <w:lang w:eastAsia="zh-CN"/>
              </w:rPr>
            </w:pPr>
          </w:p>
          <w:p>
            <w:pPr>
              <w:widowControl/>
              <w:ind w:left="113" w:right="113"/>
              <w:jc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76"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6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CellMar>
            <w:top w:w="0" w:type="dxa"/>
            <w:left w:w="108" w:type="dxa"/>
            <w:bottom w:w="0" w:type="dxa"/>
            <w:right w:w="108" w:type="dxa"/>
          </w:tblCellMar>
        </w:tblPrEx>
        <w:trPr>
          <w:trHeight w:val="517" w:hRule="atLeast"/>
          <w:jc w:val="center"/>
        </w:trPr>
        <w:tc>
          <w:tcPr>
            <w:tcW w:w="992"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舒兰市统计局</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430.89</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424.19</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138.46</w:t>
            </w:r>
          </w:p>
        </w:tc>
        <w:tc>
          <w:tcPr>
            <w:tcW w:w="45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285.73</w:t>
            </w: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6.70</w:t>
            </w: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6.70</w:t>
            </w:r>
          </w:p>
        </w:tc>
      </w:tr>
      <w:tr>
        <w:tblPrEx>
          <w:tblCellMar>
            <w:top w:w="0" w:type="dxa"/>
            <w:left w:w="108" w:type="dxa"/>
            <w:bottom w:w="0" w:type="dxa"/>
            <w:right w:w="108" w:type="dxa"/>
          </w:tblCellMar>
        </w:tblPrEx>
        <w:trPr>
          <w:trHeight w:val="517" w:hRule="atLeast"/>
          <w:jc w:val="center"/>
        </w:trPr>
        <w:tc>
          <w:tcPr>
            <w:tcW w:w="992"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trHeight w:val="530" w:hRule="atLeast"/>
          <w:jc w:val="center"/>
        </w:trPr>
        <w:tc>
          <w:tcPr>
            <w:tcW w:w="992"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430.89</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424.19</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138.46</w:t>
            </w:r>
          </w:p>
        </w:tc>
        <w:tc>
          <w:tcPr>
            <w:tcW w:w="45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95"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285.73</w:t>
            </w: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6.70</w:t>
            </w: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6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6.70</w:t>
            </w:r>
          </w:p>
        </w:tc>
      </w:tr>
    </w:tbl>
    <w:p>
      <w:pPr>
        <w:rPr>
          <w:rFonts w:hAnsi="楷体" w:eastAsia="楷体"/>
        </w:rPr>
      </w:pPr>
    </w:p>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10587" w:hRule="atLeast"/>
          <w:jc w:val="center"/>
        </w:trPr>
        <w:tc>
          <w:tcPr>
            <w:tcW w:w="10405" w:type="dxa"/>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632"/>
              <w:gridCol w:w="1125"/>
              <w:gridCol w:w="1125"/>
              <w:gridCol w:w="1125"/>
              <w:gridCol w:w="1102"/>
              <w:gridCol w:w="1266"/>
              <w:gridCol w:w="30"/>
              <w:gridCol w:w="1297"/>
              <w:gridCol w:w="138"/>
            </w:tblGrid>
            <w:tr>
              <w:tblPrEx>
                <w:tblCellMar>
                  <w:top w:w="15" w:type="dxa"/>
                  <w:left w:w="15" w:type="dxa"/>
                  <w:bottom w:w="15" w:type="dxa"/>
                  <w:right w:w="15" w:type="dxa"/>
                </w:tblCellMar>
              </w:tblPrEx>
              <w:trPr>
                <w:gridAfter w:val="1"/>
                <w:wAfter w:w="138" w:type="dxa"/>
                <w:trHeight w:val="636" w:hRule="atLeast"/>
              </w:trPr>
              <w:tc>
                <w:tcPr>
                  <w:tcW w:w="6007" w:type="dxa"/>
                  <w:gridSpan w:val="4"/>
                  <w:tcBorders>
                    <w:bottom w:val="single" w:color="000000" w:sz="4" w:space="0"/>
                  </w:tcBorders>
                  <w:noWrap w:val="0"/>
                  <w:vAlign w:val="center"/>
                </w:tcPr>
                <w:p>
                  <w:pPr>
                    <w:widowControl/>
                    <w:jc w:val="left"/>
                    <w:rPr>
                      <w:rFonts w:eastAsia="华文细黑"/>
                      <w:color w:val="000000"/>
                      <w:kern w:val="0"/>
                      <w:sz w:val="20"/>
                    </w:rPr>
                  </w:pPr>
                </w:p>
              </w:tc>
              <w:tc>
                <w:tcPr>
                  <w:tcW w:w="1102" w:type="dxa"/>
                  <w:tcBorders>
                    <w:bottom w:val="single" w:color="000000" w:sz="4" w:space="0"/>
                  </w:tcBorders>
                  <w:noWrap w:val="0"/>
                  <w:vAlign w:val="center"/>
                </w:tcPr>
                <w:p>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pPr>
                    <w:widowControl/>
                    <w:jc w:val="right"/>
                    <w:rPr>
                      <w:rFonts w:eastAsia="华文细黑"/>
                      <w:color w:val="000000"/>
                      <w:kern w:val="0"/>
                      <w:sz w:val="20"/>
                    </w:rPr>
                  </w:pPr>
                </w:p>
              </w:tc>
              <w:tc>
                <w:tcPr>
                  <w:tcW w:w="1297" w:type="dxa"/>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454" w:hRule="atLeast"/>
              </w:trPr>
              <w:tc>
                <w:tcPr>
                  <w:tcW w:w="2632"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25"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394.25</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88.01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306.24</w:t>
                  </w: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统计信息</w:t>
                  </w:r>
                  <w:r>
                    <w:rPr>
                      <w:rFonts w:eastAsia="宋体"/>
                      <w:color w:val="000000"/>
                      <w:kern w:val="0"/>
                      <w:sz w:val="20"/>
                    </w:rPr>
                    <w:t>事务</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394.25</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88.01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306.24</w:t>
                  </w: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88.01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88.01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96.96</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96.96</w:t>
                  </w: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专项普查活动</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209.28</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209.28</w:t>
                  </w: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23.71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行政事业单位养老支出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23.71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行政单位离退休</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8.06</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8.06</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机关事业单位基本养老保险缴费支出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10.43</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10.43</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5.22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lang w:val="en-US" w:eastAsia="zh-CN"/>
                    </w:rPr>
                    <w:t>卫生健康支出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3.92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eastAsia="宋体"/>
                      <w:color w:val="000000"/>
                      <w:kern w:val="0"/>
                      <w:sz w:val="20"/>
                    </w:rPr>
                  </w:pPr>
                  <w:r>
                    <w:rPr>
                      <w:rFonts w:hint="eastAsia" w:eastAsia="宋体"/>
                      <w:color w:val="000000"/>
                      <w:kern w:val="0"/>
                      <w:sz w:val="20"/>
                    </w:rPr>
                    <w:t>行政事业单位医疗</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3.92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行政单位医疗</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3.92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lang w:val="en-US" w:eastAsia="zh-CN"/>
                    </w:rPr>
                    <w:t>住房保障支出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9.01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9.01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eastAsia="宋体"/>
                      <w:color w:val="000000"/>
                      <w:kern w:val="0"/>
                      <w:sz w:val="20"/>
                    </w:rPr>
                  </w:pPr>
                  <w:r>
                    <w:rPr>
                      <w:rFonts w:hint="eastAsia" w:eastAsia="宋体"/>
                      <w:color w:val="000000"/>
                      <w:kern w:val="0"/>
                      <w:sz w:val="20"/>
                    </w:rPr>
                    <w:t>住房改革支出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9.01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9.01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eastAsia="宋体"/>
                      <w:color w:val="000000"/>
                      <w:kern w:val="0"/>
                      <w:sz w:val="20"/>
                    </w:rPr>
                  </w:pPr>
                  <w:r>
                    <w:rPr>
                      <w:rFonts w:hint="eastAsia" w:eastAsia="宋体"/>
                      <w:color w:val="000000"/>
                      <w:kern w:val="0"/>
                      <w:sz w:val="20"/>
                    </w:rPr>
                    <w:t>住房公积金</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9.01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9.01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430.89</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124.65</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306.24</w:t>
                  </w: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138.46</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138.46</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138.46</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138.46</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szCs w:val="22"/>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138.46</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138.46</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lang w:eastAsia="zh-CN"/>
                    </w:rPr>
                    <w:t>（一）</w:t>
                  </w:r>
                  <w:r>
                    <w:rPr>
                      <w:rFonts w:hint="eastAsia" w:eastAsia="宋体"/>
                      <w:color w:val="000000"/>
                      <w:kern w:val="0"/>
                      <w:sz w:val="20"/>
                    </w:rPr>
                    <w:t>一般公共服务支出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101.82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101.82</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23.71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23.71</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ascii="宋体" w:hAnsi="宋体" w:eastAsia="宋体" w:cs="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3.92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3.92</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kern w:val="0"/>
                      <w:sz w:val="20"/>
                    </w:rPr>
                    <w:t>（</w:t>
                  </w:r>
                  <w:r>
                    <w:rPr>
                      <w:rFonts w:hint="default" w:eastAsia="宋体"/>
                      <w:color w:val="000000"/>
                      <w:kern w:val="0"/>
                      <w:sz w:val="20"/>
                    </w:rPr>
                    <w:t>四</w:t>
                  </w:r>
                  <w:r>
                    <w:rPr>
                      <w:rFonts w:hint="eastAsia" w:eastAsia="宋体"/>
                      <w:color w:val="000000"/>
                      <w:kern w:val="0"/>
                      <w:sz w:val="20"/>
                    </w:rPr>
                    <w:t>）</w:t>
                  </w:r>
                  <w:r>
                    <w:rPr>
                      <w:rFonts w:hint="eastAsia" w:ascii="宋体" w:hAnsi="宋体" w:eastAsia="宋体" w:cs="宋体"/>
                      <w:color w:val="000000"/>
                      <w:kern w:val="0"/>
                      <w:sz w:val="20"/>
                      <w:lang w:val="en-US" w:eastAsia="zh-CN"/>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9.01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9.01</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r>
                    <w:rPr>
                      <w:rFonts w:hint="eastAsia" w:eastAsia="黑体"/>
                      <w:kern w:val="0"/>
                      <w:sz w:val="20"/>
                      <w:lang w:val="en-US" w:eastAsia="zh-CN"/>
                    </w:rPr>
                    <w:t>138.46</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黑体"/>
                      <w:kern w:val="0"/>
                      <w:sz w:val="20"/>
                      <w:lang w:val="en-US" w:eastAsia="zh-CN"/>
                    </w:rPr>
                  </w:pPr>
                  <w:r>
                    <w:rPr>
                      <w:rFonts w:hint="eastAsia" w:eastAsia="黑体"/>
                      <w:kern w:val="0"/>
                      <w:sz w:val="20"/>
                      <w:lang w:val="en-US" w:eastAsia="zh-CN"/>
                    </w:rPr>
                    <w:t>138.46</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138.46</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黑体"/>
                      <w:kern w:val="0"/>
                      <w:sz w:val="20"/>
                      <w:lang w:val="en-US" w:eastAsia="zh-CN"/>
                    </w:rPr>
                    <w:t>138.46</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bl>
          <w:p>
            <w:pPr>
              <w:widowControl/>
              <w:rPr>
                <w:rFonts w:eastAsia="方正小标宋简体"/>
                <w:kern w:val="0"/>
                <w:sz w:val="44"/>
                <w:szCs w:val="44"/>
              </w:rPr>
            </w:pPr>
          </w:p>
        </w:tc>
      </w:tr>
    </w:tbl>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eastAsia="宋体"/>
                      <w:color w:val="000000"/>
                      <w:kern w:val="0"/>
                      <w:sz w:val="20"/>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101.82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88.01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69.37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18.64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13.81</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101.82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88.01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69.37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18.64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13.81</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88.01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88.01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69.37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18.64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eastAsia="宋体"/>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 xml:space="preserve">      </w:t>
                  </w:r>
                  <w:r>
                    <w:rPr>
                      <w:rFonts w:hint="eastAsia" w:ascii="宋体" w:hAnsi="宋体" w:eastAsia="宋体" w:cs="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7.81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eastAsia="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eastAsia="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7.81</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eastAsia="宋体"/>
                      <w:color w:val="000000"/>
                      <w:kern w:val="0"/>
                      <w:sz w:val="20"/>
                    </w:rPr>
                  </w:pPr>
                  <w:r>
                    <w:rPr>
                      <w:rFonts w:hint="eastAsia" w:eastAsia="宋体"/>
                      <w:color w:val="000000"/>
                      <w:kern w:val="0"/>
                      <w:sz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6.00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eastAsia="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eastAsia="宋体"/>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6.00</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23.71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23.71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23.71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23.71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23.71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23.71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10.43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10.43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10.43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700" w:firstLineChars="350"/>
                    <w:jc w:val="left"/>
                    <w:rPr>
                      <w:rFonts w:hint="eastAsia"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lang w:val="en-US" w:eastAsia="zh-CN"/>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3.92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lang w:val="en-US" w:eastAsia="zh-CN"/>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9.01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szCs w:val="20"/>
                      <w:lang w:val="en-US" w:eastAsia="zh-CN"/>
                    </w:rPr>
                  </w:pPr>
                  <w:r>
                    <w:rPr>
                      <w:rFonts w:hint="eastAsia" w:eastAsia="宋体"/>
                      <w:color w:val="000000"/>
                      <w:kern w:val="0"/>
                      <w:sz w:val="20"/>
                      <w:szCs w:val="20"/>
                      <w:lang w:val="en-US" w:eastAsia="zh-CN"/>
                    </w:rPr>
                    <w:t>138.46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124.65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106.01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szCs w:val="20"/>
                    </w:rPr>
                  </w:pPr>
                  <w:r>
                    <w:rPr>
                      <w:rFonts w:hint="default" w:ascii="Arial" w:hAnsi="Arial" w:eastAsia="宋体" w:cs="Arial"/>
                      <w:i w:val="0"/>
                      <w:iCs w:val="0"/>
                      <w:color w:val="000000"/>
                      <w:kern w:val="0"/>
                      <w:sz w:val="20"/>
                      <w:szCs w:val="20"/>
                      <w:u w:val="none"/>
                      <w:lang w:val="en-US" w:eastAsia="zh-CN" w:bidi="ar"/>
                    </w:rPr>
                    <w:t>18.64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szCs w:val="20"/>
                    </w:rPr>
                  </w:pPr>
                  <w:r>
                    <w:rPr>
                      <w:rFonts w:hint="eastAsia" w:eastAsia="宋体"/>
                      <w:color w:val="000000"/>
                      <w:kern w:val="0"/>
                      <w:sz w:val="20"/>
                      <w:szCs w:val="20"/>
                    </w:rPr>
                    <w:t>13.81</w:t>
                  </w:r>
                </w:p>
              </w:tc>
            </w:tr>
          </w:tbl>
          <w:p>
            <w:pPr>
              <w:widowControl/>
              <w:jc w:val="center"/>
              <w:rPr>
                <w:rFonts w:eastAsia="方正小标宋简体"/>
                <w:kern w:val="0"/>
                <w:sz w:val="44"/>
                <w:szCs w:val="44"/>
              </w:rPr>
            </w:pPr>
          </w:p>
        </w:tc>
      </w:tr>
    </w:tbl>
    <w:p>
      <w:pPr>
        <w:ind w:firstLine="640" w:firstLineChars="200"/>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97.63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97.63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30.56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30.56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21.39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21.39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15.98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15.98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10.43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10.43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eastAsia="宋体"/>
                <w:color w:val="000000"/>
                <w:sz w:val="20"/>
              </w:rPr>
            </w:pPr>
            <w:r>
              <w:rPr>
                <w:rFonts w:hint="eastAsia" w:eastAsia="宋体"/>
                <w:color w:val="000000"/>
                <w:sz w:val="20"/>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5.22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5.22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3.82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3.82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9.01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9.01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1.12</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1.12</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18.05</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18.05</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1.91</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1.91</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ascii="宋体" w:hAnsi="宋体" w:eastAsia="宋体" w:cs="宋体"/>
                <w:kern w:val="0"/>
                <w:sz w:val="20"/>
                <w:szCs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2.00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0.50</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3.17</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3.17</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0.03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0.03</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1.03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1.03</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4.98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4.98</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4.43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4.43</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val="en-US" w:eastAsia="zh-CN"/>
              </w:rPr>
              <w:t>三</w:t>
            </w:r>
            <w:r>
              <w:rPr>
                <w:rFonts w:eastAsia="宋体"/>
                <w:color w:val="000000"/>
                <w:sz w:val="20"/>
              </w:rPr>
              <w:t>、</w:t>
            </w:r>
            <w:r>
              <w:rPr>
                <w:rFonts w:hint="eastAsia" w:eastAsia="宋体"/>
                <w:color w:val="000000"/>
                <w:sz w:val="20"/>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8.38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8.38</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8.06</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8.06</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0.32</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kern w:val="0"/>
                <w:sz w:val="20"/>
              </w:rPr>
            </w:pPr>
            <w:r>
              <w:rPr>
                <w:rFonts w:hint="eastAsia" w:eastAsia="宋体"/>
                <w:color w:val="000000"/>
                <w:sz w:val="20"/>
                <w:lang w:val="en-US" w:eastAsia="zh-CN"/>
              </w:rPr>
              <w:t>四</w:t>
            </w:r>
            <w:r>
              <w:rPr>
                <w:rFonts w:eastAsia="宋体"/>
                <w:color w:val="000000"/>
                <w:sz w:val="20"/>
              </w:rPr>
              <w:t>、</w:t>
            </w:r>
            <w:r>
              <w:rPr>
                <w:rFonts w:hint="eastAsia" w:ascii="宋体" w:hAnsi="宋体" w:eastAsia="宋体" w:cs="宋体"/>
                <w:color w:val="000000"/>
                <w:kern w:val="0"/>
                <w:sz w:val="20"/>
                <w:szCs w:val="20"/>
                <w:lang w:val="en-US" w:eastAsia="zh-CN"/>
              </w:rPr>
              <w:t>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0.59</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0.59</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0.59</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0.59</w:t>
            </w:r>
          </w:p>
        </w:tc>
      </w:tr>
    </w:tbl>
    <w:p>
      <w:pPr>
        <w:rPr>
          <w:sz w:val="16"/>
          <w:szCs w:val="16"/>
        </w:rPr>
      </w:pPr>
    </w:p>
    <w:p>
      <w:pPr>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default" w:eastAsia="仿宋_GB2312"/>
                <w:color w:val="000000"/>
                <w:kern w:val="0"/>
                <w:sz w:val="28"/>
                <w:szCs w:val="28"/>
                <w:lang w:val="en-US" w:eastAsia="zh-CN"/>
              </w:rPr>
            </w:pPr>
            <w:r>
              <w:rPr>
                <w:rFonts w:hint="eastAsia"/>
                <w:color w:val="000000"/>
                <w:kern w:val="0"/>
                <w:sz w:val="28"/>
                <w:szCs w:val="28"/>
                <w:lang w:val="en-US" w:eastAsia="zh-CN"/>
              </w:rPr>
              <w:t>说明：本单位2026年度无一般公共预算“三公”经费支出预算，故本表无数据。</w:t>
            </w: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left"/>
        <w:rPr>
          <w:color w:val="000000"/>
          <w:kern w:val="0"/>
          <w:sz w:val="28"/>
          <w:szCs w:val="28"/>
        </w:rPr>
      </w:pPr>
      <w:r>
        <w:rPr>
          <w:rFonts w:hint="eastAsia"/>
          <w:color w:val="000000"/>
          <w:kern w:val="0"/>
          <w:sz w:val="28"/>
          <w:szCs w:val="28"/>
        </w:rPr>
        <w:t>说明：本单位202</w:t>
      </w:r>
      <w:r>
        <w:rPr>
          <w:rFonts w:hint="eastAsia"/>
          <w:color w:val="000000"/>
          <w:kern w:val="0"/>
          <w:sz w:val="28"/>
          <w:szCs w:val="28"/>
          <w:lang w:val="en-US" w:eastAsia="zh-CN"/>
        </w:rPr>
        <w:t>6</w:t>
      </w:r>
      <w:r>
        <w:rPr>
          <w:rFonts w:hint="eastAsia"/>
          <w:color w:val="000000"/>
          <w:kern w:val="0"/>
          <w:sz w:val="28"/>
          <w:szCs w:val="28"/>
        </w:rPr>
        <w:t>年度无政府性基金</w:t>
      </w:r>
      <w:r>
        <w:rPr>
          <w:rFonts w:hint="eastAsia"/>
          <w:color w:val="000000"/>
          <w:kern w:val="0"/>
          <w:sz w:val="28"/>
          <w:szCs w:val="28"/>
          <w:lang w:val="en-US" w:eastAsia="zh-CN"/>
        </w:rPr>
        <w:t>支出</w:t>
      </w:r>
      <w:r>
        <w:rPr>
          <w:rFonts w:hint="eastAsia"/>
          <w:color w:val="000000"/>
          <w:kern w:val="0"/>
          <w:sz w:val="28"/>
          <w:szCs w:val="28"/>
        </w:rPr>
        <w:t>预算，故本表无数据。</w:t>
      </w:r>
    </w:p>
    <w:p>
      <w:pPr>
        <w:spacing w:line="700" w:lineRule="exact"/>
        <w:rPr>
          <w:rFonts w:hint="eastAsia" w:eastAsia="楷体"/>
          <w:kern w:val="0"/>
          <w:szCs w:val="32"/>
          <w:lang w:eastAsia="zh-CN"/>
        </w:rPr>
      </w:pPr>
    </w:p>
    <w:p>
      <w:pPr>
        <w:spacing w:line="700" w:lineRule="exact"/>
        <w:rPr>
          <w:rFonts w:eastAsia="楷体_GB2312"/>
          <w:kern w:val="0"/>
          <w:szCs w:val="32"/>
        </w:rPr>
      </w:pPr>
      <w:r>
        <w:rPr>
          <w:rFonts w:eastAsia="楷体_GB2312"/>
          <w:kern w:val="0"/>
          <w:szCs w:val="32"/>
        </w:rPr>
        <w:t xml:space="preserve"> </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
          <w:kern w:val="0"/>
          <w:szCs w:val="32"/>
        </w:rPr>
      </w:pPr>
    </w:p>
    <w:p>
      <w:pPr>
        <w:spacing w:line="700" w:lineRule="exact"/>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widowControl/>
        <w:jc w:val="left"/>
        <w:rPr>
          <w:rFonts w:hint="eastAsia"/>
          <w:color w:val="000000"/>
          <w:kern w:val="0"/>
          <w:sz w:val="28"/>
          <w:szCs w:val="28"/>
        </w:rPr>
      </w:pPr>
      <w:r>
        <w:rPr>
          <w:rFonts w:hint="eastAsia"/>
          <w:color w:val="000000"/>
          <w:kern w:val="0"/>
          <w:sz w:val="28"/>
          <w:szCs w:val="28"/>
        </w:rPr>
        <w:t>说明：本单位202</w:t>
      </w:r>
      <w:r>
        <w:rPr>
          <w:rFonts w:hint="eastAsia"/>
          <w:color w:val="000000"/>
          <w:kern w:val="0"/>
          <w:sz w:val="28"/>
          <w:szCs w:val="28"/>
          <w:lang w:val="en-US" w:eastAsia="zh-CN"/>
        </w:rPr>
        <w:t>6</w:t>
      </w:r>
      <w:r>
        <w:rPr>
          <w:rFonts w:hint="eastAsia"/>
          <w:color w:val="000000"/>
          <w:kern w:val="0"/>
          <w:sz w:val="28"/>
          <w:szCs w:val="28"/>
        </w:rPr>
        <w:t>年度无国有资本经营</w:t>
      </w:r>
      <w:r>
        <w:rPr>
          <w:rFonts w:hint="eastAsia"/>
          <w:color w:val="000000"/>
          <w:kern w:val="0"/>
          <w:sz w:val="28"/>
          <w:szCs w:val="28"/>
          <w:lang w:val="en-US" w:eastAsia="zh-CN"/>
        </w:rPr>
        <w:t>支出</w:t>
      </w:r>
      <w:r>
        <w:rPr>
          <w:rFonts w:hint="eastAsia"/>
          <w:color w:val="000000"/>
          <w:kern w:val="0"/>
          <w:sz w:val="28"/>
          <w:szCs w:val="28"/>
        </w:rPr>
        <w:t>预算，故本表无数据。</w:t>
      </w:r>
    </w:p>
    <w:p>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663"/>
        <w:gridCol w:w="478"/>
        <w:gridCol w:w="240"/>
        <w:gridCol w:w="737"/>
        <w:gridCol w:w="870"/>
        <w:gridCol w:w="780"/>
        <w:gridCol w:w="375"/>
        <w:gridCol w:w="390"/>
        <w:gridCol w:w="375"/>
        <w:gridCol w:w="870"/>
        <w:gridCol w:w="405"/>
        <w:gridCol w:w="375"/>
        <w:gridCol w:w="360"/>
        <w:gridCol w:w="375"/>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922" w:type="dxa"/>
            <w:gridSpan w:val="16"/>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44"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141" w:type="dxa"/>
            <w:gridSpan w:val="2"/>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737"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87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790"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200"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44"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381"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737" w:type="dxa"/>
            <w:vMerge w:val="restart"/>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70"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790" w:type="dxa"/>
            <w:gridSpan w:val="5"/>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200" w:type="dxa"/>
            <w:gridSpan w:val="5"/>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44"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663"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718" w:type="dxa"/>
            <w:gridSpan w:val="2"/>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737"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870"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1545"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75" w:type="dxa"/>
            <w:vMerge w:val="restart"/>
            <w:noWrap w:val="0"/>
            <w:vAlign w:val="center"/>
          </w:tcPr>
          <w:p>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70"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40"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060" w:type="dxa"/>
            <w:gridSpan w:val="2"/>
            <w:noWrap w:val="0"/>
            <w:vAlign w:val="center"/>
          </w:tcPr>
          <w:p>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944"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663"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18" w:type="dxa"/>
            <w:gridSpan w:val="2"/>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37"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70"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8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7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90"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7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870"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rPr>
            </w:pPr>
          </w:p>
        </w:tc>
        <w:tc>
          <w:tcPr>
            <w:tcW w:w="40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375"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8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4" w:type="dxa"/>
            <w:noWrap w:val="0"/>
            <w:vAlign w:val="center"/>
          </w:tcPr>
          <w:p>
            <w:pPr>
              <w:spacing w:line="240" w:lineRule="auto"/>
              <w:jc w:val="center"/>
              <w:rPr>
                <w:rFonts w:ascii="Calibri" w:hAnsi="Calibri" w:eastAsia="楷体"/>
                <w:kern w:val="0"/>
                <w:szCs w:val="32"/>
              </w:rPr>
            </w:pPr>
            <w:r>
              <w:rPr>
                <w:rFonts w:hint="eastAsia" w:ascii="宋体" w:hAnsi="宋体" w:eastAsia="宋体" w:cs="宋体"/>
                <w:kern w:val="0"/>
                <w:sz w:val="20"/>
                <w:szCs w:val="20"/>
                <w:highlight w:val="none"/>
                <w:lang w:val="en-US" w:eastAsia="zh-CN"/>
              </w:rPr>
              <w:t>31部门特定目标类项目</w:t>
            </w:r>
          </w:p>
        </w:tc>
        <w:tc>
          <w:tcPr>
            <w:tcW w:w="663" w:type="dxa"/>
            <w:noWrap w:val="0"/>
            <w:vAlign w:val="center"/>
          </w:tcPr>
          <w:p>
            <w:pPr>
              <w:spacing w:line="240" w:lineRule="auto"/>
              <w:jc w:val="center"/>
              <w:rPr>
                <w:rFonts w:ascii="Calibri" w:hAnsi="Calibri" w:eastAsia="楷体"/>
                <w:kern w:val="0"/>
                <w:szCs w:val="32"/>
              </w:rPr>
            </w:pPr>
          </w:p>
        </w:tc>
        <w:tc>
          <w:tcPr>
            <w:tcW w:w="718" w:type="dxa"/>
            <w:gridSpan w:val="2"/>
            <w:noWrap w:val="0"/>
            <w:vAlign w:val="center"/>
          </w:tcPr>
          <w:p>
            <w:pPr>
              <w:spacing w:line="240" w:lineRule="auto"/>
              <w:jc w:val="center"/>
              <w:rPr>
                <w:rFonts w:ascii="Calibri" w:hAnsi="Calibri" w:eastAsia="楷体"/>
                <w:kern w:val="0"/>
                <w:szCs w:val="32"/>
              </w:rPr>
            </w:pPr>
          </w:p>
        </w:tc>
        <w:tc>
          <w:tcPr>
            <w:tcW w:w="737"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306.24</w:t>
            </w:r>
          </w:p>
        </w:tc>
        <w:tc>
          <w:tcPr>
            <w:tcW w:w="78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13.81</w:t>
            </w:r>
          </w:p>
        </w:tc>
        <w:tc>
          <w:tcPr>
            <w:tcW w:w="375" w:type="dxa"/>
            <w:noWrap w:val="0"/>
            <w:vAlign w:val="center"/>
          </w:tcPr>
          <w:p>
            <w:pPr>
              <w:spacing w:line="240" w:lineRule="auto"/>
              <w:jc w:val="center"/>
              <w:rPr>
                <w:rFonts w:ascii="Calibri" w:hAnsi="Calibri" w:eastAsia="楷体"/>
                <w:kern w:val="0"/>
                <w:szCs w:val="32"/>
              </w:rPr>
            </w:pPr>
          </w:p>
        </w:tc>
        <w:tc>
          <w:tcPr>
            <w:tcW w:w="390"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285.73</w:t>
            </w:r>
          </w:p>
        </w:tc>
        <w:tc>
          <w:tcPr>
            <w:tcW w:w="405"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360"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685"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4" w:type="dxa"/>
            <w:noWrap w:val="0"/>
            <w:vAlign w:val="center"/>
          </w:tcPr>
          <w:p>
            <w:pPr>
              <w:spacing w:line="240" w:lineRule="auto"/>
              <w:jc w:val="center"/>
              <w:rPr>
                <w:rFonts w:ascii="Calibri" w:hAnsi="Calibri" w:eastAsia="楷体"/>
                <w:kern w:val="0"/>
                <w:szCs w:val="32"/>
              </w:rPr>
            </w:pPr>
          </w:p>
        </w:tc>
        <w:tc>
          <w:tcPr>
            <w:tcW w:w="663" w:type="dxa"/>
            <w:noWrap w:val="0"/>
            <w:vAlign w:val="center"/>
          </w:tcPr>
          <w:p>
            <w:pPr>
              <w:spacing w:line="240" w:lineRule="auto"/>
              <w:jc w:val="center"/>
              <w:rPr>
                <w:rFonts w:ascii="Calibri" w:hAnsi="Calibri" w:eastAsia="楷体"/>
                <w:kern w:val="0"/>
                <w:szCs w:val="32"/>
              </w:rPr>
            </w:pPr>
            <w:r>
              <w:rPr>
                <w:rFonts w:hint="eastAsia" w:ascii="宋体" w:hAnsi="宋体" w:eastAsia="宋体" w:cs="宋体"/>
                <w:kern w:val="0"/>
                <w:sz w:val="20"/>
                <w:szCs w:val="20"/>
                <w:lang w:val="en-US" w:eastAsia="zh-CN"/>
              </w:rPr>
              <w:t>专项统计业务</w:t>
            </w:r>
          </w:p>
        </w:tc>
        <w:tc>
          <w:tcPr>
            <w:tcW w:w="718" w:type="dxa"/>
            <w:gridSpan w:val="2"/>
            <w:noWrap w:val="0"/>
            <w:vAlign w:val="center"/>
          </w:tcPr>
          <w:p>
            <w:pPr>
              <w:spacing w:line="240" w:lineRule="auto"/>
              <w:jc w:val="center"/>
              <w:rPr>
                <w:rFonts w:ascii="Calibri" w:hAnsi="Calibri" w:eastAsia="楷体"/>
                <w:kern w:val="0"/>
                <w:szCs w:val="32"/>
              </w:rPr>
            </w:pPr>
          </w:p>
        </w:tc>
        <w:tc>
          <w:tcPr>
            <w:tcW w:w="737"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96.96</w:t>
            </w:r>
          </w:p>
        </w:tc>
        <w:tc>
          <w:tcPr>
            <w:tcW w:w="78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7.81</w:t>
            </w:r>
          </w:p>
        </w:tc>
        <w:tc>
          <w:tcPr>
            <w:tcW w:w="375" w:type="dxa"/>
            <w:noWrap w:val="0"/>
            <w:vAlign w:val="center"/>
          </w:tcPr>
          <w:p>
            <w:pPr>
              <w:spacing w:line="240" w:lineRule="auto"/>
              <w:jc w:val="center"/>
              <w:rPr>
                <w:rFonts w:ascii="Calibri" w:hAnsi="Calibri" w:eastAsia="楷体"/>
                <w:kern w:val="0"/>
                <w:szCs w:val="32"/>
              </w:rPr>
            </w:pPr>
          </w:p>
        </w:tc>
        <w:tc>
          <w:tcPr>
            <w:tcW w:w="390"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85.76</w:t>
            </w:r>
          </w:p>
        </w:tc>
        <w:tc>
          <w:tcPr>
            <w:tcW w:w="405"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360"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685"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4" w:type="dxa"/>
            <w:noWrap w:val="0"/>
            <w:vAlign w:val="center"/>
          </w:tcPr>
          <w:p>
            <w:pPr>
              <w:spacing w:line="240" w:lineRule="auto"/>
              <w:jc w:val="center"/>
              <w:rPr>
                <w:rFonts w:ascii="Calibri" w:hAnsi="Calibri" w:eastAsia="楷体"/>
                <w:kern w:val="0"/>
                <w:szCs w:val="32"/>
              </w:rPr>
            </w:pPr>
          </w:p>
        </w:tc>
        <w:tc>
          <w:tcPr>
            <w:tcW w:w="663" w:type="dxa"/>
            <w:noWrap w:val="0"/>
            <w:vAlign w:val="center"/>
          </w:tcPr>
          <w:p>
            <w:pPr>
              <w:spacing w:line="240" w:lineRule="auto"/>
              <w:jc w:val="center"/>
              <w:rPr>
                <w:rFonts w:ascii="Calibri" w:hAnsi="Calibri" w:eastAsia="楷体"/>
                <w:kern w:val="0"/>
                <w:szCs w:val="32"/>
              </w:rPr>
            </w:pPr>
          </w:p>
        </w:tc>
        <w:tc>
          <w:tcPr>
            <w:tcW w:w="718" w:type="dxa"/>
            <w:gridSpan w:val="2"/>
            <w:noWrap w:val="0"/>
            <w:vAlign w:val="center"/>
          </w:tcPr>
          <w:p>
            <w:pPr>
              <w:spacing w:line="240" w:lineRule="auto"/>
              <w:jc w:val="center"/>
              <w:rPr>
                <w:rFonts w:ascii="Calibri" w:hAnsi="Calibri" w:eastAsia="楷体"/>
                <w:kern w:val="0"/>
                <w:szCs w:val="32"/>
              </w:rPr>
            </w:pPr>
            <w:r>
              <w:rPr>
                <w:rFonts w:hint="eastAsia" w:ascii="宋体" w:hAnsi="宋体" w:eastAsia="宋体" w:cs="宋体"/>
                <w:kern w:val="0"/>
                <w:sz w:val="20"/>
                <w:szCs w:val="20"/>
                <w:lang w:val="en-US" w:eastAsia="zh-CN"/>
              </w:rPr>
              <w:t>综合统计业务费</w:t>
            </w:r>
          </w:p>
        </w:tc>
        <w:tc>
          <w:tcPr>
            <w:tcW w:w="737" w:type="dxa"/>
            <w:noWrap w:val="0"/>
            <w:vAlign w:val="center"/>
          </w:tcPr>
          <w:p>
            <w:pPr>
              <w:spacing w:line="240" w:lineRule="auto"/>
              <w:jc w:val="center"/>
              <w:rPr>
                <w:rFonts w:ascii="Calibri" w:hAnsi="Calibri" w:eastAsia="楷体"/>
                <w:kern w:val="0"/>
                <w:szCs w:val="32"/>
              </w:rPr>
            </w:pPr>
            <w:r>
              <w:rPr>
                <w:rFonts w:hint="eastAsia" w:ascii="宋体" w:hAnsi="宋体" w:eastAsia="宋体" w:cs="宋体"/>
                <w:kern w:val="0"/>
                <w:sz w:val="20"/>
                <w:szCs w:val="20"/>
                <w:lang w:val="en-US" w:eastAsia="zh-CN"/>
              </w:rPr>
              <w:t>舒兰市统计局</w:t>
            </w:r>
          </w:p>
        </w:tc>
        <w:tc>
          <w:tcPr>
            <w:tcW w:w="87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96.96</w:t>
            </w:r>
          </w:p>
        </w:tc>
        <w:tc>
          <w:tcPr>
            <w:tcW w:w="780" w:type="dxa"/>
            <w:noWrap w:val="0"/>
            <w:vAlign w:val="center"/>
          </w:tcPr>
          <w:p>
            <w:pPr>
              <w:spacing w:line="240" w:lineRule="auto"/>
              <w:jc w:val="center"/>
              <w:rPr>
                <w:rFonts w:ascii="Calibri" w:hAnsi="Calibri" w:eastAsia="楷体"/>
                <w:kern w:val="0"/>
                <w:szCs w:val="32"/>
              </w:rPr>
            </w:pPr>
            <w:r>
              <w:rPr>
                <w:rFonts w:hint="eastAsia" w:asciiTheme="minorEastAsia" w:hAnsiTheme="minorEastAsia" w:eastAsiaTheme="minorEastAsia" w:cstheme="minorEastAsia"/>
                <w:kern w:val="0"/>
                <w:sz w:val="20"/>
                <w:szCs w:val="20"/>
                <w:lang w:val="en-US" w:eastAsia="zh-CN"/>
              </w:rPr>
              <w:t>7.81</w:t>
            </w:r>
          </w:p>
        </w:tc>
        <w:tc>
          <w:tcPr>
            <w:tcW w:w="375" w:type="dxa"/>
            <w:noWrap w:val="0"/>
            <w:vAlign w:val="center"/>
          </w:tcPr>
          <w:p>
            <w:pPr>
              <w:spacing w:line="240" w:lineRule="auto"/>
              <w:jc w:val="center"/>
              <w:rPr>
                <w:rFonts w:ascii="Calibri" w:hAnsi="Calibri" w:eastAsia="楷体"/>
                <w:kern w:val="0"/>
                <w:szCs w:val="32"/>
              </w:rPr>
            </w:pPr>
          </w:p>
        </w:tc>
        <w:tc>
          <w:tcPr>
            <w:tcW w:w="390"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85.76</w:t>
            </w:r>
          </w:p>
        </w:tc>
        <w:tc>
          <w:tcPr>
            <w:tcW w:w="405"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360"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685"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4" w:type="dxa"/>
            <w:noWrap w:val="0"/>
            <w:vAlign w:val="center"/>
          </w:tcPr>
          <w:p>
            <w:pPr>
              <w:spacing w:line="240" w:lineRule="auto"/>
              <w:jc w:val="center"/>
              <w:rPr>
                <w:rFonts w:ascii="Calibri" w:hAnsi="Calibri" w:eastAsia="楷体"/>
                <w:kern w:val="0"/>
                <w:szCs w:val="32"/>
              </w:rPr>
            </w:pPr>
          </w:p>
        </w:tc>
        <w:tc>
          <w:tcPr>
            <w:tcW w:w="663" w:type="dxa"/>
            <w:noWrap w:val="0"/>
            <w:vAlign w:val="center"/>
          </w:tcPr>
          <w:p>
            <w:pPr>
              <w:spacing w:line="240" w:lineRule="auto"/>
              <w:jc w:val="center"/>
              <w:rPr>
                <w:rFonts w:hint="default" w:ascii="Calibri" w:hAnsi="Calibri" w:eastAsia="楷体"/>
                <w:kern w:val="0"/>
                <w:szCs w:val="32"/>
                <w:lang w:val="en-US"/>
              </w:rPr>
            </w:pPr>
            <w:r>
              <w:rPr>
                <w:rFonts w:hint="eastAsia" w:ascii="宋体" w:hAnsi="宋体" w:eastAsia="宋体" w:cs="宋体"/>
                <w:kern w:val="0"/>
                <w:sz w:val="20"/>
                <w:szCs w:val="20"/>
                <w:lang w:val="en-US" w:eastAsia="zh-CN"/>
              </w:rPr>
              <w:t>专项普查活动</w:t>
            </w:r>
          </w:p>
        </w:tc>
        <w:tc>
          <w:tcPr>
            <w:tcW w:w="718" w:type="dxa"/>
            <w:gridSpan w:val="2"/>
            <w:noWrap w:val="0"/>
            <w:vAlign w:val="center"/>
          </w:tcPr>
          <w:p>
            <w:pPr>
              <w:spacing w:line="240" w:lineRule="auto"/>
              <w:jc w:val="center"/>
              <w:rPr>
                <w:rFonts w:ascii="Calibri" w:hAnsi="Calibri" w:eastAsia="楷体"/>
                <w:kern w:val="0"/>
                <w:szCs w:val="32"/>
              </w:rPr>
            </w:pPr>
          </w:p>
        </w:tc>
        <w:tc>
          <w:tcPr>
            <w:tcW w:w="737"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spacing w:line="240" w:lineRule="auto"/>
              <w:jc w:val="center"/>
              <w:rPr>
                <w:rFonts w:ascii="Calibri" w:hAnsi="Calibri" w:eastAsia="楷体"/>
                <w:kern w:val="0"/>
                <w:szCs w:val="32"/>
              </w:rPr>
            </w:pPr>
            <w:r>
              <w:rPr>
                <w:rFonts w:hint="eastAsia" w:asciiTheme="minorEastAsia" w:hAnsiTheme="minorEastAsia" w:eastAsiaTheme="minorEastAsia" w:cstheme="minorEastAsia"/>
                <w:kern w:val="0"/>
                <w:sz w:val="20"/>
                <w:szCs w:val="20"/>
                <w:lang w:val="en-US" w:eastAsia="zh-CN"/>
              </w:rPr>
              <w:t>209.28</w:t>
            </w:r>
          </w:p>
        </w:tc>
        <w:tc>
          <w:tcPr>
            <w:tcW w:w="78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6.00</w:t>
            </w:r>
          </w:p>
        </w:tc>
        <w:tc>
          <w:tcPr>
            <w:tcW w:w="375" w:type="dxa"/>
            <w:noWrap w:val="0"/>
            <w:vAlign w:val="center"/>
          </w:tcPr>
          <w:p>
            <w:pPr>
              <w:spacing w:line="240" w:lineRule="auto"/>
              <w:jc w:val="center"/>
              <w:rPr>
                <w:rFonts w:ascii="Calibri" w:hAnsi="Calibri" w:eastAsia="楷体"/>
                <w:kern w:val="0"/>
                <w:szCs w:val="32"/>
              </w:rPr>
            </w:pPr>
          </w:p>
        </w:tc>
        <w:tc>
          <w:tcPr>
            <w:tcW w:w="390"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199.97</w:t>
            </w:r>
          </w:p>
        </w:tc>
        <w:tc>
          <w:tcPr>
            <w:tcW w:w="405"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360"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685"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4" w:type="dxa"/>
            <w:noWrap w:val="0"/>
            <w:vAlign w:val="center"/>
          </w:tcPr>
          <w:p>
            <w:pPr>
              <w:spacing w:line="240" w:lineRule="auto"/>
              <w:jc w:val="center"/>
              <w:rPr>
                <w:rFonts w:ascii="Calibri" w:hAnsi="Calibri" w:eastAsia="楷体"/>
                <w:kern w:val="0"/>
                <w:szCs w:val="32"/>
              </w:rPr>
            </w:pPr>
          </w:p>
        </w:tc>
        <w:tc>
          <w:tcPr>
            <w:tcW w:w="663" w:type="dxa"/>
            <w:noWrap w:val="0"/>
            <w:vAlign w:val="center"/>
          </w:tcPr>
          <w:p>
            <w:pPr>
              <w:spacing w:line="240" w:lineRule="auto"/>
              <w:jc w:val="center"/>
              <w:rPr>
                <w:rFonts w:ascii="Calibri" w:hAnsi="Calibri" w:eastAsia="楷体"/>
                <w:kern w:val="0"/>
                <w:szCs w:val="32"/>
              </w:rPr>
            </w:pPr>
          </w:p>
        </w:tc>
        <w:tc>
          <w:tcPr>
            <w:tcW w:w="718" w:type="dxa"/>
            <w:gridSpan w:val="2"/>
            <w:noWrap w:val="0"/>
            <w:vAlign w:val="center"/>
          </w:tcPr>
          <w:p>
            <w:pPr>
              <w:spacing w:line="240" w:lineRule="auto"/>
              <w:jc w:val="center"/>
              <w:rPr>
                <w:rFonts w:ascii="Calibri" w:hAnsi="Calibri" w:eastAsia="楷体"/>
                <w:kern w:val="0"/>
                <w:szCs w:val="32"/>
              </w:rPr>
            </w:pPr>
            <w:r>
              <w:rPr>
                <w:rFonts w:hint="eastAsia" w:ascii="宋体" w:hAnsi="宋体" w:eastAsia="宋体" w:cs="宋体"/>
                <w:kern w:val="0"/>
                <w:sz w:val="20"/>
                <w:szCs w:val="20"/>
                <w:lang w:val="en-US" w:eastAsia="zh-CN"/>
              </w:rPr>
              <w:t>大型普查综合业务费</w:t>
            </w:r>
          </w:p>
        </w:tc>
        <w:tc>
          <w:tcPr>
            <w:tcW w:w="737" w:type="dxa"/>
            <w:noWrap w:val="0"/>
            <w:vAlign w:val="center"/>
          </w:tcPr>
          <w:p>
            <w:pPr>
              <w:spacing w:line="240" w:lineRule="auto"/>
              <w:jc w:val="center"/>
              <w:rPr>
                <w:rFonts w:ascii="Calibri" w:hAnsi="Calibri" w:eastAsia="楷体"/>
                <w:kern w:val="0"/>
                <w:szCs w:val="32"/>
              </w:rPr>
            </w:pPr>
            <w:r>
              <w:rPr>
                <w:rFonts w:hint="eastAsia" w:ascii="宋体" w:hAnsi="宋体" w:eastAsia="宋体" w:cs="宋体"/>
                <w:kern w:val="0"/>
                <w:sz w:val="20"/>
                <w:szCs w:val="20"/>
                <w:lang w:val="en-US" w:eastAsia="zh-CN"/>
              </w:rPr>
              <w:t>舒兰市统计局</w:t>
            </w:r>
          </w:p>
        </w:tc>
        <w:tc>
          <w:tcPr>
            <w:tcW w:w="870" w:type="dxa"/>
            <w:noWrap w:val="0"/>
            <w:vAlign w:val="center"/>
          </w:tcPr>
          <w:p>
            <w:pPr>
              <w:spacing w:line="240" w:lineRule="auto"/>
              <w:jc w:val="center"/>
              <w:rPr>
                <w:rFonts w:ascii="Calibri" w:hAnsi="Calibri" w:eastAsia="楷体"/>
                <w:kern w:val="0"/>
                <w:szCs w:val="32"/>
              </w:rPr>
            </w:pPr>
            <w:r>
              <w:rPr>
                <w:rFonts w:hint="eastAsia" w:asciiTheme="minorEastAsia" w:hAnsiTheme="minorEastAsia" w:eastAsiaTheme="minorEastAsia" w:cstheme="minorEastAsia"/>
                <w:kern w:val="0"/>
                <w:sz w:val="20"/>
                <w:szCs w:val="20"/>
                <w:lang w:val="en-US" w:eastAsia="zh-CN"/>
              </w:rPr>
              <w:t>209.28</w:t>
            </w:r>
          </w:p>
        </w:tc>
        <w:tc>
          <w:tcPr>
            <w:tcW w:w="78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6.00</w:t>
            </w:r>
          </w:p>
        </w:tc>
        <w:tc>
          <w:tcPr>
            <w:tcW w:w="375" w:type="dxa"/>
            <w:noWrap w:val="0"/>
            <w:vAlign w:val="center"/>
          </w:tcPr>
          <w:p>
            <w:pPr>
              <w:spacing w:line="240" w:lineRule="auto"/>
              <w:jc w:val="center"/>
              <w:rPr>
                <w:rFonts w:ascii="Calibri" w:hAnsi="Calibri" w:eastAsia="楷体"/>
                <w:kern w:val="0"/>
                <w:szCs w:val="32"/>
              </w:rPr>
            </w:pPr>
          </w:p>
        </w:tc>
        <w:tc>
          <w:tcPr>
            <w:tcW w:w="390"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199.97</w:t>
            </w:r>
          </w:p>
        </w:tc>
        <w:tc>
          <w:tcPr>
            <w:tcW w:w="405"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360"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685"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4" w:type="dxa"/>
            <w:noWrap w:val="0"/>
            <w:vAlign w:val="center"/>
          </w:tcPr>
          <w:p>
            <w:pPr>
              <w:autoSpaceDN w:val="0"/>
              <w:spacing w:line="240" w:lineRule="auto"/>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63" w:type="dxa"/>
            <w:noWrap w:val="0"/>
            <w:vAlign w:val="center"/>
          </w:tcPr>
          <w:p>
            <w:pPr>
              <w:autoSpaceDN w:val="0"/>
              <w:spacing w:line="240" w:lineRule="auto"/>
              <w:jc w:val="center"/>
              <w:textAlignment w:val="center"/>
              <w:rPr>
                <w:rFonts w:ascii="Calibri" w:hAnsi="Calibri" w:eastAsia="华文细黑"/>
                <w:color w:val="000000"/>
                <w:sz w:val="20"/>
                <w:szCs w:val="22"/>
              </w:rPr>
            </w:pPr>
          </w:p>
        </w:tc>
        <w:tc>
          <w:tcPr>
            <w:tcW w:w="718" w:type="dxa"/>
            <w:gridSpan w:val="2"/>
            <w:noWrap w:val="0"/>
            <w:vAlign w:val="center"/>
          </w:tcPr>
          <w:p>
            <w:pPr>
              <w:spacing w:line="240" w:lineRule="auto"/>
              <w:jc w:val="center"/>
              <w:rPr>
                <w:rFonts w:ascii="Calibri" w:hAnsi="Calibri" w:eastAsia="楷体"/>
                <w:kern w:val="0"/>
                <w:szCs w:val="32"/>
              </w:rPr>
            </w:pPr>
          </w:p>
        </w:tc>
        <w:tc>
          <w:tcPr>
            <w:tcW w:w="737"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306.24</w:t>
            </w:r>
          </w:p>
        </w:tc>
        <w:tc>
          <w:tcPr>
            <w:tcW w:w="780" w:type="dxa"/>
            <w:noWrap w:val="0"/>
            <w:vAlign w:val="center"/>
          </w:tcPr>
          <w:p>
            <w:pPr>
              <w:spacing w:line="240" w:lineRule="auto"/>
              <w:jc w:val="center"/>
              <w:rPr>
                <w:rFonts w:ascii="Calibri" w:hAnsi="Calibri" w:eastAsia="楷体"/>
                <w:kern w:val="0"/>
                <w:szCs w:val="32"/>
              </w:rPr>
            </w:pPr>
            <w:r>
              <w:rPr>
                <w:rFonts w:hint="eastAsia" w:asciiTheme="minorEastAsia" w:hAnsiTheme="minorEastAsia" w:eastAsiaTheme="minorEastAsia" w:cstheme="minorEastAsia"/>
                <w:kern w:val="0"/>
                <w:sz w:val="20"/>
                <w:szCs w:val="20"/>
                <w:lang w:val="en-US" w:eastAsia="zh-CN"/>
              </w:rPr>
              <w:t>13.81</w:t>
            </w:r>
          </w:p>
        </w:tc>
        <w:tc>
          <w:tcPr>
            <w:tcW w:w="375" w:type="dxa"/>
            <w:noWrap w:val="0"/>
            <w:vAlign w:val="center"/>
          </w:tcPr>
          <w:p>
            <w:pPr>
              <w:spacing w:line="240" w:lineRule="auto"/>
              <w:jc w:val="center"/>
              <w:rPr>
                <w:rFonts w:ascii="Calibri" w:hAnsi="Calibri" w:eastAsia="楷体"/>
                <w:kern w:val="0"/>
                <w:szCs w:val="32"/>
              </w:rPr>
            </w:pPr>
          </w:p>
        </w:tc>
        <w:tc>
          <w:tcPr>
            <w:tcW w:w="390"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spacing w:line="240" w:lineRule="auto"/>
              <w:jc w:val="center"/>
              <w:rPr>
                <w:rFonts w:hint="default" w:ascii="Calibri" w:hAnsi="Calibri" w:eastAsia="楷体"/>
                <w:kern w:val="0"/>
                <w:szCs w:val="32"/>
                <w:lang w:val="en-US"/>
              </w:rPr>
            </w:pPr>
            <w:r>
              <w:rPr>
                <w:rFonts w:hint="eastAsia" w:asciiTheme="minorEastAsia" w:hAnsiTheme="minorEastAsia" w:eastAsiaTheme="minorEastAsia" w:cstheme="minorEastAsia"/>
                <w:kern w:val="0"/>
                <w:sz w:val="20"/>
                <w:szCs w:val="20"/>
                <w:lang w:val="en-US" w:eastAsia="zh-CN"/>
              </w:rPr>
              <w:t>285.73</w:t>
            </w:r>
          </w:p>
        </w:tc>
        <w:tc>
          <w:tcPr>
            <w:tcW w:w="405"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360" w:type="dxa"/>
            <w:noWrap w:val="0"/>
            <w:vAlign w:val="center"/>
          </w:tcPr>
          <w:p>
            <w:pPr>
              <w:spacing w:line="240" w:lineRule="auto"/>
              <w:jc w:val="center"/>
              <w:rPr>
                <w:rFonts w:ascii="Calibri" w:hAnsi="Calibri" w:eastAsia="楷体"/>
                <w:kern w:val="0"/>
                <w:szCs w:val="32"/>
              </w:rPr>
            </w:pPr>
          </w:p>
        </w:tc>
        <w:tc>
          <w:tcPr>
            <w:tcW w:w="375" w:type="dxa"/>
            <w:noWrap w:val="0"/>
            <w:vAlign w:val="center"/>
          </w:tcPr>
          <w:p>
            <w:pPr>
              <w:spacing w:line="240" w:lineRule="auto"/>
              <w:jc w:val="center"/>
              <w:rPr>
                <w:rFonts w:ascii="Calibri" w:hAnsi="Calibri" w:eastAsia="楷体"/>
                <w:kern w:val="0"/>
                <w:szCs w:val="32"/>
              </w:rPr>
            </w:pPr>
          </w:p>
        </w:tc>
        <w:tc>
          <w:tcPr>
            <w:tcW w:w="685" w:type="dxa"/>
            <w:noWrap w:val="0"/>
            <w:vAlign w:val="center"/>
          </w:tcPr>
          <w:p>
            <w:pPr>
              <w:spacing w:line="240" w:lineRule="auto"/>
              <w:jc w:val="center"/>
              <w:rPr>
                <w:rFonts w:ascii="Calibri" w:hAnsi="Calibri" w:eastAsia="楷体"/>
                <w:kern w:val="0"/>
                <w:szCs w:val="32"/>
              </w:rPr>
            </w:pPr>
            <w:r>
              <w:rPr>
                <w:rFonts w:hint="eastAsia" w:asciiTheme="minorEastAsia" w:hAnsiTheme="minorEastAsia" w:eastAsiaTheme="minorEastAsia" w:cstheme="minorEastAsia"/>
                <w:kern w:val="0"/>
                <w:sz w:val="20"/>
                <w:szCs w:val="20"/>
                <w:lang w:val="en-US" w:eastAsia="zh-CN"/>
              </w:rPr>
              <w:t>6.70</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widowControl/>
        <w:jc w:val="left"/>
        <w:rPr>
          <w:rFonts w:hint="eastAsia"/>
          <w:color w:val="000000"/>
          <w:kern w:val="0"/>
          <w:sz w:val="28"/>
          <w:szCs w:val="28"/>
        </w:rPr>
      </w:pPr>
    </w:p>
    <w:p>
      <w:pPr>
        <w:rPr>
          <w:rFonts w:eastAsia="楷体"/>
          <w:kern w:val="0"/>
          <w:szCs w:val="32"/>
        </w:rPr>
      </w:pPr>
    </w:p>
    <w:p>
      <w:pPr>
        <w:ind w:firstLine="640" w:firstLineChars="200"/>
        <w:rPr>
          <w:rFonts w:eastAsia="楷体"/>
          <w:kern w:val="0"/>
          <w:szCs w:val="32"/>
        </w:rPr>
      </w:pPr>
    </w:p>
    <w:p>
      <w:pPr>
        <w:ind w:firstLine="640" w:firstLineChars="200"/>
        <w:rPr>
          <w:rFonts w:hAnsi="楷体" w:eastAsia="楷体"/>
        </w:rPr>
      </w:pPr>
    </w:p>
    <w:p>
      <w:pPr>
        <w:ind w:firstLine="640" w:firstLineChars="200"/>
        <w:rPr>
          <w:rFonts w:hAnsi="楷体" w:eastAsia="楷体"/>
        </w:rPr>
      </w:pPr>
    </w:p>
    <w:tbl>
      <w:tblPr>
        <w:tblStyle w:val="10"/>
        <w:tblW w:w="9459"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60"/>
        <w:gridCol w:w="855"/>
        <w:gridCol w:w="1680"/>
        <w:gridCol w:w="690"/>
        <w:gridCol w:w="705"/>
        <w:gridCol w:w="1020"/>
        <w:gridCol w:w="1728"/>
        <w:gridCol w:w="927"/>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459"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名称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年度资金总额（万元）</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45"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舒兰市统计局</w:t>
            </w:r>
          </w:p>
        </w:tc>
        <w:tc>
          <w:tcPr>
            <w:tcW w:w="660"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大型普查综合业务费</w:t>
            </w:r>
          </w:p>
        </w:tc>
        <w:tc>
          <w:tcPr>
            <w:tcW w:w="855"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209.28</w:t>
            </w:r>
          </w:p>
        </w:tc>
        <w:tc>
          <w:tcPr>
            <w:tcW w:w="1680"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按省市1%人口抽样调查工作整体安排，保质保量的完成各阶段工作，按时发放调查员劳务费</w:t>
            </w:r>
          </w:p>
        </w:tc>
        <w:tc>
          <w:tcPr>
            <w:tcW w:w="690" w:type="dxa"/>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调查样本数</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反映完成调查所需的样本数量</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w:t>
            </w:r>
            <w:r>
              <w:rPr>
                <w:rFonts w:hint="eastAsia" w:ascii="宋体" w:hAnsi="宋体" w:eastAsia="宋体" w:cs="宋体"/>
                <w:kern w:val="0"/>
                <w:sz w:val="20"/>
                <w:szCs w:val="20"/>
                <w:vertAlign w:val="baseline"/>
              </w:rPr>
              <w:t>80个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85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16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90"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705"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020" w:type="dxa"/>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两员补贴发放费用</w:t>
            </w:r>
          </w:p>
        </w:tc>
        <w:tc>
          <w:tcPr>
            <w:tcW w:w="1728" w:type="dxa"/>
            <w:noWrap w:val="0"/>
            <w:vAlign w:val="center"/>
          </w:tcPr>
          <w:p>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两员补贴发放费用</w:t>
            </w:r>
          </w:p>
        </w:tc>
        <w:tc>
          <w:tcPr>
            <w:tcW w:w="927"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=6万元</w:t>
            </w:r>
          </w:p>
        </w:tc>
        <w:tc>
          <w:tcPr>
            <w:tcW w:w="549"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85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16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90" w:type="dxa"/>
            <w:noWrap w:val="0"/>
            <w:vAlign w:val="center"/>
          </w:tcPr>
          <w:p>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效益指标</w:t>
            </w:r>
          </w:p>
        </w:tc>
        <w:tc>
          <w:tcPr>
            <w:tcW w:w="705"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020" w:type="dxa"/>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普查员、普查指导员补贴发放覆盖率</w:t>
            </w:r>
          </w:p>
        </w:tc>
        <w:tc>
          <w:tcPr>
            <w:tcW w:w="1728" w:type="dxa"/>
            <w:noWrap w:val="0"/>
            <w:vAlign w:val="center"/>
          </w:tcPr>
          <w:p>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反映普查员、普查指导员补贴发放覆盖率情况</w:t>
            </w:r>
          </w:p>
        </w:tc>
        <w:tc>
          <w:tcPr>
            <w:tcW w:w="927"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=100%</w:t>
            </w:r>
          </w:p>
        </w:tc>
        <w:tc>
          <w:tcPr>
            <w:tcW w:w="549"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60" w:type="dxa"/>
            <w:vMerge w:val="restart"/>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综合统计业务费</w:t>
            </w:r>
          </w:p>
        </w:tc>
        <w:tc>
          <w:tcPr>
            <w:tcW w:w="855" w:type="dxa"/>
            <w:vMerge w:val="restart"/>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96.96</w:t>
            </w:r>
          </w:p>
        </w:tc>
        <w:tc>
          <w:tcPr>
            <w:tcW w:w="1680" w:type="dxa"/>
            <w:vMerge w:val="restart"/>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照国家、吉林省、吉林市统计局工作要求及舒兰市委市政府统计数需求，组织实施全年规模以上工业、资质建筑业、限额以上贸易业、重点服务业、粮食产量抽样调查及人口变动调查任务，做好各专业统计数据的审核验收及上报工作，形成经济月刊、运行服务表及统计年鉴，为市委市政府提供经济运行分析预测所需的统计数据，为社会各界提供行业发展所需的统计服务</w:t>
            </w:r>
          </w:p>
        </w:tc>
        <w:tc>
          <w:tcPr>
            <w:tcW w:w="690"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705"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统计专报篇数</w:t>
            </w:r>
          </w:p>
        </w:tc>
        <w:tc>
          <w:tcPr>
            <w:tcW w:w="1728" w:type="dxa"/>
            <w:noWrap w:val="0"/>
            <w:vAlign w:val="center"/>
          </w:tcPr>
          <w:p>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反映统计专报篇数情况</w:t>
            </w:r>
          </w:p>
        </w:tc>
        <w:tc>
          <w:tcPr>
            <w:tcW w:w="927"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4篇</w:t>
            </w:r>
          </w:p>
        </w:tc>
        <w:tc>
          <w:tcPr>
            <w:tcW w:w="549"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85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16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90"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705"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统计信息发布条数</w:t>
            </w:r>
          </w:p>
        </w:tc>
        <w:tc>
          <w:tcPr>
            <w:tcW w:w="1728" w:type="dxa"/>
            <w:noWrap w:val="0"/>
            <w:vAlign w:val="center"/>
          </w:tcPr>
          <w:p>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反映数据发布情况</w:t>
            </w:r>
          </w:p>
        </w:tc>
        <w:tc>
          <w:tcPr>
            <w:tcW w:w="927"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6条</w:t>
            </w:r>
          </w:p>
        </w:tc>
        <w:tc>
          <w:tcPr>
            <w:tcW w:w="549"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85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16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90"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705"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统计分析报告篇数</w:t>
            </w:r>
          </w:p>
        </w:tc>
        <w:tc>
          <w:tcPr>
            <w:tcW w:w="1728" w:type="dxa"/>
            <w:noWrap w:val="0"/>
            <w:vAlign w:val="center"/>
          </w:tcPr>
          <w:p>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反映统计分析报告篇数情况</w:t>
            </w:r>
          </w:p>
        </w:tc>
        <w:tc>
          <w:tcPr>
            <w:tcW w:w="927"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4篇</w:t>
            </w:r>
          </w:p>
        </w:tc>
        <w:tc>
          <w:tcPr>
            <w:tcW w:w="549"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85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16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90"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705"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统计培训人次</w:t>
            </w:r>
          </w:p>
        </w:tc>
        <w:tc>
          <w:tcPr>
            <w:tcW w:w="1728" w:type="dxa"/>
            <w:noWrap w:val="0"/>
            <w:vAlign w:val="center"/>
          </w:tcPr>
          <w:p>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反映统计培训人次情况</w:t>
            </w:r>
          </w:p>
        </w:tc>
        <w:tc>
          <w:tcPr>
            <w:tcW w:w="927"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50人（次）</w:t>
            </w:r>
          </w:p>
        </w:tc>
        <w:tc>
          <w:tcPr>
            <w:tcW w:w="549"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85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16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90"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成本指标</w:t>
            </w:r>
          </w:p>
        </w:tc>
        <w:tc>
          <w:tcPr>
            <w:tcW w:w="705"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统计年鉴印刷成本费用</w:t>
            </w:r>
          </w:p>
        </w:tc>
        <w:tc>
          <w:tcPr>
            <w:tcW w:w="172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编印2025年度统计年鉴印刷成本费用</w:t>
            </w:r>
          </w:p>
        </w:tc>
        <w:tc>
          <w:tcPr>
            <w:tcW w:w="9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3.08万元</w:t>
            </w:r>
          </w:p>
        </w:tc>
        <w:tc>
          <w:tcPr>
            <w:tcW w:w="54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85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168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90"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705" w:type="dxa"/>
            <w:noWrap w:val="0"/>
            <w:vAlign w:val="center"/>
          </w:tcPr>
          <w:p>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向社会公众提供统计公报</w:t>
            </w:r>
          </w:p>
        </w:tc>
        <w:tc>
          <w:tcPr>
            <w:tcW w:w="1728" w:type="dxa"/>
            <w:noWrap w:val="0"/>
            <w:vAlign w:val="center"/>
          </w:tcPr>
          <w:p>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向社会公众提供统计公报篇数</w:t>
            </w:r>
          </w:p>
        </w:tc>
        <w:tc>
          <w:tcPr>
            <w:tcW w:w="927"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=1篇</w:t>
            </w:r>
          </w:p>
        </w:tc>
        <w:tc>
          <w:tcPr>
            <w:tcW w:w="549"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30</w:t>
            </w:r>
          </w:p>
        </w:tc>
      </w:tr>
    </w:tbl>
    <w:p>
      <w:pPr>
        <w:spacing w:line="700" w:lineRule="exact"/>
        <w:rPr>
          <w:rFonts w:hint="eastAsia" w:eastAsia="楷体"/>
          <w:kern w:val="0"/>
          <w:szCs w:val="32"/>
        </w:rPr>
      </w:pPr>
      <w:r>
        <w:rPr>
          <w:rFonts w:hint="eastAsia" w:eastAsia="楷体"/>
          <w:kern w:val="0"/>
          <w:szCs w:val="32"/>
        </w:rPr>
        <w:br w:type="page"/>
      </w: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w:t>
      </w:r>
      <w:r>
        <w:rPr>
          <w:rFonts w:hint="eastAsia"/>
          <w:szCs w:val="32"/>
        </w:rPr>
        <w:t>、上年结转结余</w:t>
      </w:r>
      <w:r>
        <w:rPr>
          <w:rFonts w:hint="eastAsia"/>
          <w:szCs w:val="32"/>
          <w:lang w:val="en-US" w:eastAsia="zh-CN"/>
        </w:rPr>
        <w:t>等</w:t>
      </w:r>
      <w:r>
        <w:rPr>
          <w:szCs w:val="32"/>
        </w:rPr>
        <w:t>；支出包括：一般公共服务支出、社会保障和就业支出、</w:t>
      </w:r>
      <w:r>
        <w:rPr>
          <w:rFonts w:hint="eastAsia"/>
          <w:szCs w:val="32"/>
          <w:lang w:val="en-US" w:eastAsia="zh-CN"/>
        </w:rPr>
        <w:t>卫生健康</w:t>
      </w:r>
      <w:r>
        <w:rPr>
          <w:szCs w:val="32"/>
        </w:rPr>
        <w:t>支出、住房保障支出等。20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430.89</w:t>
      </w:r>
      <w:r>
        <w:rPr>
          <w:szCs w:val="32"/>
        </w:rPr>
        <w:t>万元</w:t>
      </w:r>
      <w:r>
        <w:rPr>
          <w:rFonts w:hint="eastAsia"/>
          <w:szCs w:val="32"/>
          <w:lang w:eastAsia="zh-CN"/>
        </w:rPr>
        <w:t>，其中：本年预算</w:t>
      </w:r>
      <w:r>
        <w:rPr>
          <w:rFonts w:hint="eastAsia"/>
          <w:szCs w:val="32"/>
          <w:lang w:val="en-US" w:eastAsia="zh-CN"/>
        </w:rPr>
        <w:t>424.19</w:t>
      </w:r>
      <w:r>
        <w:rPr>
          <w:rFonts w:hint="eastAsia"/>
          <w:szCs w:val="32"/>
          <w:lang w:eastAsia="zh-CN"/>
        </w:rPr>
        <w:t>万元；上年结转</w:t>
      </w:r>
      <w:r>
        <w:rPr>
          <w:rFonts w:hint="eastAsia"/>
          <w:szCs w:val="32"/>
          <w:lang w:val="en-US" w:eastAsia="zh-CN"/>
        </w:rPr>
        <w:t>6.70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w:t>
      </w:r>
      <w:r>
        <w:rPr>
          <w:color w:val="auto"/>
          <w:szCs w:val="32"/>
        </w:rPr>
        <w:t>算增加</w:t>
      </w:r>
      <w:r>
        <w:rPr>
          <w:rFonts w:hint="eastAsia"/>
          <w:color w:val="auto"/>
          <w:szCs w:val="32"/>
          <w:lang w:val="en-US" w:eastAsia="zh-CN"/>
        </w:rPr>
        <w:t>291.10</w:t>
      </w:r>
      <w:r>
        <w:rPr>
          <w:color w:val="auto"/>
          <w:szCs w:val="32"/>
        </w:rPr>
        <w:t>万元</w:t>
      </w:r>
      <w:r>
        <w:rPr>
          <w:szCs w:val="32"/>
        </w:rPr>
        <w:t>，主要原因是</w:t>
      </w:r>
      <w:r>
        <w:rPr>
          <w:rFonts w:hint="eastAsia"/>
          <w:color w:val="auto"/>
          <w:szCs w:val="32"/>
          <w:lang w:val="en-US" w:eastAsia="zh-CN"/>
        </w:rPr>
        <w:t>本年预算包含单位资金，即地方财政配套农业普查等项目经费，致使本年预算较上年增加</w:t>
      </w:r>
      <w:r>
        <w:rPr>
          <w:color w:val="auto"/>
          <w:szCs w:val="32"/>
        </w:rPr>
        <w:t>。</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430.89</w:t>
      </w:r>
      <w:r>
        <w:rPr>
          <w:szCs w:val="32"/>
        </w:rPr>
        <w:t>万元，其中：本年收入</w:t>
      </w:r>
      <w:r>
        <w:rPr>
          <w:rFonts w:hint="eastAsia"/>
          <w:szCs w:val="32"/>
          <w:lang w:val="en-US" w:eastAsia="zh-CN"/>
        </w:rPr>
        <w:t>424.19</w:t>
      </w:r>
      <w:r>
        <w:rPr>
          <w:szCs w:val="32"/>
        </w:rPr>
        <w:t>万元，占</w:t>
      </w:r>
      <w:r>
        <w:rPr>
          <w:rFonts w:hint="eastAsia"/>
          <w:szCs w:val="32"/>
          <w:lang w:val="en-US" w:eastAsia="zh-CN"/>
        </w:rPr>
        <w:t>98.45</w:t>
      </w:r>
      <w:r>
        <w:rPr>
          <w:szCs w:val="32"/>
        </w:rPr>
        <w:t>%；上年结转</w:t>
      </w:r>
      <w:r>
        <w:rPr>
          <w:rFonts w:hint="eastAsia"/>
          <w:szCs w:val="32"/>
          <w:lang w:eastAsia="zh-CN"/>
        </w:rPr>
        <w:t>结余</w:t>
      </w:r>
      <w:r>
        <w:rPr>
          <w:rFonts w:hint="eastAsia"/>
          <w:szCs w:val="32"/>
          <w:lang w:val="en-US" w:eastAsia="zh-CN"/>
        </w:rPr>
        <w:t>6.70</w:t>
      </w:r>
      <w:r>
        <w:rPr>
          <w:szCs w:val="32"/>
        </w:rPr>
        <w:t>万元，占</w:t>
      </w:r>
      <w:r>
        <w:rPr>
          <w:rFonts w:hint="eastAsia"/>
          <w:szCs w:val="32"/>
          <w:lang w:val="en-US" w:eastAsia="zh-CN"/>
        </w:rPr>
        <w:t>1.55</w:t>
      </w:r>
      <w:r>
        <w:rPr>
          <w:szCs w:val="32"/>
        </w:rPr>
        <w:t>%。本年收入中，一般公共预算拨款收入</w:t>
      </w:r>
      <w:r>
        <w:rPr>
          <w:rFonts w:hint="eastAsia"/>
          <w:szCs w:val="32"/>
          <w:lang w:val="en-US" w:eastAsia="zh-CN"/>
        </w:rPr>
        <w:t>138.46</w:t>
      </w:r>
      <w:r>
        <w:rPr>
          <w:szCs w:val="32"/>
        </w:rPr>
        <w:t>万元，占</w:t>
      </w:r>
      <w:r>
        <w:rPr>
          <w:rFonts w:hint="eastAsia"/>
          <w:szCs w:val="32"/>
          <w:lang w:val="en-US" w:eastAsia="zh-CN"/>
        </w:rPr>
        <w:t>32.64</w:t>
      </w:r>
      <w:r>
        <w:rPr>
          <w:szCs w:val="32"/>
        </w:rPr>
        <w:t>%；其他收入</w:t>
      </w:r>
      <w:r>
        <w:rPr>
          <w:rFonts w:hint="eastAsia"/>
          <w:szCs w:val="32"/>
          <w:lang w:val="en-US" w:eastAsia="zh-CN"/>
        </w:rPr>
        <w:t>285.73</w:t>
      </w:r>
      <w:r>
        <w:rPr>
          <w:szCs w:val="32"/>
        </w:rPr>
        <w:t>万元，占</w:t>
      </w:r>
      <w:r>
        <w:rPr>
          <w:rFonts w:hint="eastAsia"/>
          <w:szCs w:val="32"/>
          <w:lang w:val="en-US" w:eastAsia="zh-CN"/>
        </w:rPr>
        <w:t>67.36</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6.70</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430.89</w:t>
      </w:r>
      <w:r>
        <w:rPr>
          <w:szCs w:val="32"/>
        </w:rPr>
        <w:t>万元，其中：基本支出</w:t>
      </w:r>
      <w:r>
        <w:rPr>
          <w:rFonts w:hint="eastAsia"/>
          <w:szCs w:val="32"/>
          <w:lang w:val="en-US" w:eastAsia="zh-CN"/>
        </w:rPr>
        <w:t>124.65</w:t>
      </w:r>
      <w:r>
        <w:rPr>
          <w:szCs w:val="32"/>
        </w:rPr>
        <w:t>万元，占</w:t>
      </w:r>
      <w:r>
        <w:rPr>
          <w:rFonts w:hint="eastAsia"/>
          <w:szCs w:val="32"/>
          <w:lang w:val="en-US" w:eastAsia="zh-CN"/>
        </w:rPr>
        <w:t>28.93</w:t>
      </w:r>
      <w:r>
        <w:rPr>
          <w:szCs w:val="32"/>
        </w:rPr>
        <w:t>%；项目支出</w:t>
      </w:r>
      <w:r>
        <w:rPr>
          <w:rFonts w:hint="eastAsia"/>
          <w:szCs w:val="32"/>
          <w:lang w:val="en-US" w:eastAsia="zh-CN"/>
        </w:rPr>
        <w:t>306.24</w:t>
      </w:r>
      <w:r>
        <w:rPr>
          <w:szCs w:val="32"/>
        </w:rPr>
        <w:t>万元，占</w:t>
      </w:r>
      <w:r>
        <w:rPr>
          <w:rFonts w:hint="eastAsia"/>
          <w:szCs w:val="32"/>
          <w:lang w:val="en-US" w:eastAsia="zh-CN"/>
        </w:rPr>
        <w:t>71.07</w:t>
      </w:r>
      <w:r>
        <w:rPr>
          <w:szCs w:val="32"/>
        </w:rPr>
        <w:t>%。</w:t>
      </w:r>
    </w:p>
    <w:p>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138.46</w:t>
      </w:r>
      <w:r>
        <w:rPr>
          <w:szCs w:val="32"/>
        </w:rPr>
        <w:t>万元，其中：</w:t>
      </w:r>
      <w:r>
        <w:rPr>
          <w:rFonts w:hint="eastAsia"/>
          <w:szCs w:val="32"/>
        </w:rPr>
        <w:t>本年</w:t>
      </w:r>
      <w:r>
        <w:rPr>
          <w:rFonts w:hint="eastAsia"/>
          <w:szCs w:val="32"/>
          <w:lang w:eastAsia="zh-CN"/>
        </w:rPr>
        <w:t>预算</w:t>
      </w:r>
      <w:r>
        <w:rPr>
          <w:rFonts w:hint="eastAsia"/>
          <w:szCs w:val="32"/>
          <w:lang w:val="en-US" w:eastAsia="zh-CN"/>
        </w:rPr>
        <w:t>138.46</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101.82</w:t>
      </w:r>
      <w:r>
        <w:rPr>
          <w:szCs w:val="32"/>
        </w:rPr>
        <w:t>万元，</w:t>
      </w:r>
      <w:r>
        <w:rPr>
          <w:kern w:val="0"/>
          <w:szCs w:val="32"/>
        </w:rPr>
        <w:t>社会保障和就业支出</w:t>
      </w:r>
      <w:r>
        <w:rPr>
          <w:rFonts w:hint="eastAsia"/>
          <w:szCs w:val="32"/>
          <w:lang w:val="en-US" w:eastAsia="zh-CN"/>
        </w:rPr>
        <w:t>23.71</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3.92</w:t>
      </w:r>
      <w:r>
        <w:rPr>
          <w:szCs w:val="32"/>
        </w:rPr>
        <w:t>万元，</w:t>
      </w:r>
      <w:r>
        <w:rPr>
          <w:kern w:val="0"/>
          <w:szCs w:val="32"/>
        </w:rPr>
        <w:t>住房保障支出</w:t>
      </w:r>
      <w:r>
        <w:rPr>
          <w:rFonts w:hint="eastAsia"/>
          <w:szCs w:val="32"/>
          <w:lang w:val="en-US" w:eastAsia="zh-CN"/>
        </w:rPr>
        <w:t>9.01</w:t>
      </w:r>
      <w:r>
        <w:rPr>
          <w:szCs w:val="32"/>
        </w:rPr>
        <w:t>万元。</w:t>
      </w:r>
    </w:p>
    <w:p>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138.46</w:t>
      </w:r>
      <w:r>
        <w:rPr>
          <w:szCs w:val="32"/>
        </w:rPr>
        <w:t>万元，其中：基本支出</w:t>
      </w:r>
      <w:r>
        <w:rPr>
          <w:rFonts w:hint="eastAsia"/>
          <w:szCs w:val="32"/>
          <w:lang w:val="en-US" w:eastAsia="zh-CN"/>
        </w:rPr>
        <w:t>124.65</w:t>
      </w:r>
      <w:r>
        <w:rPr>
          <w:szCs w:val="32"/>
        </w:rPr>
        <w:t>万元，占</w:t>
      </w:r>
      <w:r>
        <w:rPr>
          <w:rFonts w:hint="eastAsia"/>
          <w:szCs w:val="32"/>
          <w:lang w:val="en-US" w:eastAsia="zh-CN"/>
        </w:rPr>
        <w:t>90.03</w:t>
      </w:r>
      <w:r>
        <w:rPr>
          <w:szCs w:val="32"/>
        </w:rPr>
        <w:t>%；项目支出</w:t>
      </w:r>
      <w:r>
        <w:rPr>
          <w:rFonts w:hint="eastAsia"/>
          <w:szCs w:val="32"/>
          <w:lang w:val="en-US" w:eastAsia="zh-CN"/>
        </w:rPr>
        <w:t>13.81</w:t>
      </w:r>
      <w:r>
        <w:rPr>
          <w:szCs w:val="32"/>
        </w:rPr>
        <w:t>万元，占</w:t>
      </w:r>
      <w:r>
        <w:rPr>
          <w:rFonts w:hint="eastAsia"/>
          <w:szCs w:val="32"/>
          <w:lang w:val="en-US" w:eastAsia="zh-CN"/>
        </w:rPr>
        <w:t>9.97</w:t>
      </w:r>
      <w:r>
        <w:rPr>
          <w:szCs w:val="32"/>
        </w:rPr>
        <w:t>%。基本支出中，人员经费</w:t>
      </w:r>
      <w:r>
        <w:rPr>
          <w:rFonts w:hint="eastAsia"/>
          <w:szCs w:val="32"/>
          <w:lang w:val="en-US" w:eastAsia="zh-CN"/>
        </w:rPr>
        <w:t>106.01</w:t>
      </w:r>
      <w:r>
        <w:rPr>
          <w:szCs w:val="32"/>
        </w:rPr>
        <w:t>万元，占</w:t>
      </w:r>
      <w:r>
        <w:rPr>
          <w:rFonts w:hint="eastAsia"/>
          <w:szCs w:val="32"/>
          <w:lang w:val="en-US" w:eastAsia="zh-CN"/>
        </w:rPr>
        <w:t>85.05</w:t>
      </w:r>
      <w:r>
        <w:rPr>
          <w:szCs w:val="32"/>
        </w:rPr>
        <w:t>%；公用经费</w:t>
      </w:r>
      <w:r>
        <w:rPr>
          <w:rFonts w:hint="eastAsia"/>
          <w:szCs w:val="32"/>
          <w:lang w:val="en-US" w:eastAsia="zh-CN"/>
        </w:rPr>
        <w:t>18.64</w:t>
      </w:r>
      <w:r>
        <w:rPr>
          <w:szCs w:val="32"/>
        </w:rPr>
        <w:t>万元，占</w:t>
      </w:r>
      <w:r>
        <w:rPr>
          <w:rFonts w:hint="eastAsia"/>
          <w:szCs w:val="32"/>
          <w:lang w:val="en-US" w:eastAsia="zh-CN"/>
        </w:rPr>
        <w:t>14.95</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101.82</w:t>
      </w:r>
      <w:r>
        <w:rPr>
          <w:szCs w:val="32"/>
        </w:rPr>
        <w:t>万元，占</w:t>
      </w:r>
      <w:r>
        <w:rPr>
          <w:rFonts w:hint="eastAsia"/>
          <w:szCs w:val="32"/>
          <w:lang w:val="en-US" w:eastAsia="zh-CN"/>
        </w:rPr>
        <w:t>73.54</w:t>
      </w:r>
      <w:r>
        <w:rPr>
          <w:szCs w:val="32"/>
        </w:rPr>
        <w:t>%，主要用于</w:t>
      </w:r>
      <w:r>
        <w:rPr>
          <w:rFonts w:hint="eastAsia"/>
          <w:szCs w:val="32"/>
        </w:rPr>
        <w:t>保障本单位人员工资发放和机关运行正常开展</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23.71</w:t>
      </w:r>
      <w:r>
        <w:rPr>
          <w:szCs w:val="32"/>
        </w:rPr>
        <w:t>万元，占</w:t>
      </w:r>
      <w:r>
        <w:rPr>
          <w:rFonts w:hint="eastAsia"/>
          <w:szCs w:val="32"/>
          <w:lang w:val="en-US" w:eastAsia="zh-CN"/>
        </w:rPr>
        <w:t>17.12</w:t>
      </w:r>
      <w:r>
        <w:rPr>
          <w:szCs w:val="32"/>
        </w:rPr>
        <w:t>%，主要用于</w:t>
      </w:r>
      <w:r>
        <w:rPr>
          <w:rFonts w:hint="eastAsia"/>
          <w:szCs w:val="32"/>
        </w:rPr>
        <w:t>保障机关事业单位基本养老保险缴费、机关事业单位职业年金缴费</w:t>
      </w:r>
      <w:r>
        <w:rPr>
          <w:rFonts w:hint="eastAsia"/>
          <w:szCs w:val="32"/>
          <w:lang w:eastAsia="zh-CN"/>
        </w:rPr>
        <w:t>、</w:t>
      </w:r>
      <w:r>
        <w:rPr>
          <w:rFonts w:hint="eastAsia"/>
          <w:szCs w:val="32"/>
        </w:rPr>
        <w:t>退休职工生活补贴及取暖补贴</w:t>
      </w:r>
      <w:r>
        <w:rPr>
          <w:szCs w:val="32"/>
        </w:rPr>
        <w:t>。</w:t>
      </w:r>
    </w:p>
    <w:p>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3.92</w:t>
      </w:r>
      <w:r>
        <w:rPr>
          <w:szCs w:val="32"/>
        </w:rPr>
        <w:t>万元，占</w:t>
      </w:r>
      <w:r>
        <w:rPr>
          <w:rFonts w:hint="eastAsia"/>
          <w:szCs w:val="32"/>
          <w:lang w:val="en-US" w:eastAsia="zh-CN"/>
        </w:rPr>
        <w:t>2.83</w:t>
      </w:r>
      <w:r>
        <w:rPr>
          <w:szCs w:val="32"/>
        </w:rPr>
        <w:t>%，主要用于</w:t>
      </w:r>
      <w:r>
        <w:rPr>
          <w:rFonts w:hint="eastAsia"/>
          <w:szCs w:val="32"/>
        </w:rPr>
        <w:t>缴纳在职</w:t>
      </w:r>
      <w:r>
        <w:rPr>
          <w:rFonts w:hint="eastAsia"/>
          <w:szCs w:val="32"/>
          <w:lang w:val="en-US" w:eastAsia="zh-CN"/>
        </w:rPr>
        <w:t>及退休</w:t>
      </w:r>
      <w:r>
        <w:rPr>
          <w:rFonts w:hint="eastAsia"/>
          <w:color w:val="auto"/>
          <w:szCs w:val="32"/>
        </w:rPr>
        <w:t>人员</w:t>
      </w:r>
      <w:r>
        <w:rPr>
          <w:rFonts w:hint="eastAsia"/>
          <w:szCs w:val="32"/>
        </w:rPr>
        <w:t>基本医疗保险</w:t>
      </w:r>
      <w:r>
        <w:rPr>
          <w:szCs w:val="32"/>
        </w:rPr>
        <w:t>。</w:t>
      </w:r>
    </w:p>
    <w:p>
      <w:pPr>
        <w:spacing w:line="520" w:lineRule="exact"/>
        <w:ind w:firstLine="640" w:firstLineChars="200"/>
        <w:rPr>
          <w:szCs w:val="32"/>
        </w:rPr>
      </w:pPr>
      <w:r>
        <w:rPr>
          <w:szCs w:val="32"/>
        </w:rPr>
        <w:t>住房保障（类）支出</w:t>
      </w:r>
      <w:r>
        <w:rPr>
          <w:rFonts w:hint="eastAsia"/>
          <w:szCs w:val="32"/>
          <w:lang w:val="en-US" w:eastAsia="zh-CN"/>
        </w:rPr>
        <w:t>9.01</w:t>
      </w:r>
      <w:r>
        <w:rPr>
          <w:szCs w:val="32"/>
        </w:rPr>
        <w:t>万元，占</w:t>
      </w:r>
      <w:r>
        <w:rPr>
          <w:rFonts w:hint="eastAsia"/>
          <w:szCs w:val="32"/>
          <w:lang w:val="en-US" w:eastAsia="zh-CN"/>
        </w:rPr>
        <w:t>6.51</w:t>
      </w:r>
      <w:r>
        <w:rPr>
          <w:szCs w:val="32"/>
        </w:rPr>
        <w:t>%，主要用于</w:t>
      </w:r>
      <w:r>
        <w:rPr>
          <w:rFonts w:hint="eastAsia"/>
          <w:szCs w:val="32"/>
        </w:rPr>
        <w:t>缴纳在职人员住房公积金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124.65</w:t>
      </w:r>
      <w:r>
        <w:rPr>
          <w:szCs w:val="32"/>
        </w:rPr>
        <w:t>万元，其中：</w:t>
      </w:r>
    </w:p>
    <w:p>
      <w:pPr>
        <w:ind w:firstLine="640" w:firstLineChars="200"/>
        <w:rPr>
          <w:kern w:val="0"/>
          <w:szCs w:val="32"/>
        </w:rPr>
      </w:pPr>
      <w:r>
        <w:rPr>
          <w:szCs w:val="32"/>
        </w:rPr>
        <w:t>人员经费</w:t>
      </w:r>
      <w:r>
        <w:rPr>
          <w:rFonts w:hint="eastAsia"/>
          <w:szCs w:val="32"/>
          <w:lang w:val="en-US" w:eastAsia="zh-CN"/>
        </w:rPr>
        <w:t>106.01</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pPr>
        <w:ind w:firstLine="640" w:firstLineChars="200"/>
        <w:rPr>
          <w:kern w:val="0"/>
          <w:szCs w:val="32"/>
        </w:rPr>
      </w:pPr>
      <w:r>
        <w:rPr>
          <w:kern w:val="0"/>
          <w:szCs w:val="32"/>
        </w:rPr>
        <w:t>公用经费</w:t>
      </w:r>
      <w:r>
        <w:rPr>
          <w:rFonts w:hint="eastAsia"/>
          <w:szCs w:val="32"/>
          <w:lang w:val="en-US" w:eastAsia="zh-CN"/>
        </w:rPr>
        <w:t>18.64</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rFonts w:hint="eastAsia"/>
          <w:kern w:val="0"/>
          <w:szCs w:val="32"/>
          <w:lang w:eastAsia="zh-CN"/>
        </w:rPr>
        <w:t>、</w:t>
      </w:r>
      <w:r>
        <w:rPr>
          <w:kern w:val="0"/>
          <w:szCs w:val="32"/>
        </w:rPr>
        <w:t>工会经费、其他交通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rFonts w:hint="eastAsia"/>
          <w:szCs w:val="32"/>
          <w:lang w:eastAsia="zh-CN"/>
        </w:rPr>
        <w:t>。</w:t>
      </w:r>
    </w:p>
    <w:p>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rFonts w:hint="eastAsia"/>
          <w:szCs w:val="32"/>
          <w:lang w:eastAsia="zh-CN"/>
        </w:rPr>
        <w:t>。</w:t>
      </w:r>
    </w:p>
    <w:p>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rPr>
        <w:t>与2025年预算数持平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szCs w:val="32"/>
        </w:rPr>
        <w:t>。</w:t>
      </w:r>
      <w:r>
        <w:rPr>
          <w:rFonts w:hint="eastAsia"/>
          <w:szCs w:val="32"/>
          <w:lang w:val="en-US" w:eastAsia="zh-CN"/>
        </w:rPr>
        <w:t xml:space="preserve">         </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rPr>
          <w:rFonts w:eastAsia="楷体"/>
          <w:szCs w:val="32"/>
        </w:rPr>
      </w:pPr>
      <w:r>
        <w:rPr>
          <w:rFonts w:hint="eastAsia"/>
          <w:szCs w:val="32"/>
        </w:rPr>
        <w:t>本单位无政府性基金预算拨款。</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pPr>
        <w:ind w:firstLine="640"/>
        <w:rPr>
          <w:szCs w:val="32"/>
        </w:rPr>
      </w:pPr>
      <w:r>
        <w:rPr>
          <w:rFonts w:hint="eastAsia"/>
          <w:szCs w:val="32"/>
        </w:rPr>
        <w:t>本单位无国有资本经营预算拨款。</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本单位1</w:t>
      </w:r>
      <w:r>
        <w:rPr>
          <w:szCs w:val="32"/>
        </w:rPr>
        <w:t>家行政单位的机关运行经费财政拨款预算</w:t>
      </w:r>
      <w:r>
        <w:rPr>
          <w:rFonts w:hint="eastAsia"/>
          <w:szCs w:val="32"/>
        </w:rPr>
        <w:t>18.64</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0.01</w:t>
      </w:r>
      <w:r>
        <w:rPr>
          <w:szCs w:val="32"/>
        </w:rPr>
        <w:t>万元，增长</w:t>
      </w:r>
      <w:r>
        <w:rPr>
          <w:rFonts w:hint="eastAsia"/>
          <w:szCs w:val="32"/>
          <w:lang w:val="en-US" w:eastAsia="zh-CN"/>
        </w:rPr>
        <w:t>0.05</w:t>
      </w:r>
      <w:r>
        <w:rPr>
          <w:szCs w:val="32"/>
        </w:rPr>
        <w:t>%</w:t>
      </w:r>
      <w:r>
        <w:rPr>
          <w:rFonts w:hint="eastAsia"/>
          <w:szCs w:val="32"/>
        </w:rPr>
        <w:t>，主要原因是</w:t>
      </w:r>
      <w:r>
        <w:rPr>
          <w:rFonts w:hint="eastAsia"/>
          <w:szCs w:val="32"/>
          <w:lang w:val="en-US" w:eastAsia="zh-CN"/>
        </w:rPr>
        <w:t>财政核定预算数较上年增加</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0</w:t>
      </w:r>
      <w:r>
        <w:rPr>
          <w:szCs w:val="32"/>
        </w:rPr>
        <w:t>万元，其中：政府采购货物预算</w:t>
      </w:r>
      <w:r>
        <w:rPr>
          <w:rFonts w:hint="eastAsia"/>
          <w:szCs w:val="32"/>
          <w:lang w:val="en-US" w:eastAsia="zh-CN"/>
        </w:rPr>
        <w:t>0</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0</w:t>
      </w:r>
      <w:r>
        <w:rPr>
          <w:szCs w:val="32"/>
        </w:rPr>
        <w:t>万元。</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306.24</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w:t>
      </w:r>
      <w:r>
        <w:rPr>
          <w:rFonts w:hint="eastAsia"/>
          <w:szCs w:val="32"/>
        </w:rPr>
        <w:t>使用本年财政拨款</w:t>
      </w:r>
      <w:r>
        <w:rPr>
          <w:rFonts w:hint="eastAsia"/>
          <w:szCs w:val="32"/>
          <w:lang w:val="en-US" w:eastAsia="zh-CN"/>
        </w:rPr>
        <w:t>13.81</w:t>
      </w:r>
      <w:r>
        <w:rPr>
          <w:rFonts w:hint="eastAsia"/>
          <w:szCs w:val="32"/>
        </w:rPr>
        <w:t>万元，财政拨款结转0万元；使用单位资金</w:t>
      </w:r>
      <w:r>
        <w:rPr>
          <w:rFonts w:hint="eastAsia"/>
          <w:szCs w:val="32"/>
          <w:lang w:val="en-US" w:eastAsia="zh-CN"/>
        </w:rPr>
        <w:t>285.73</w:t>
      </w:r>
      <w:r>
        <w:rPr>
          <w:rFonts w:hint="eastAsia"/>
          <w:szCs w:val="32"/>
        </w:rPr>
        <w:t>万元，非财政拨款结转</w:t>
      </w:r>
      <w:r>
        <w:rPr>
          <w:rFonts w:hint="eastAsia"/>
          <w:szCs w:val="32"/>
          <w:lang w:val="en-US" w:eastAsia="zh-CN"/>
        </w:rPr>
        <w:t>6.70</w:t>
      </w:r>
      <w:r>
        <w:rPr>
          <w:rFonts w:hint="eastAsia"/>
          <w:szCs w:val="32"/>
        </w:rPr>
        <w:t>万元。</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w:t>
      </w:r>
      <w:r>
        <w:t>202</w:t>
      </w:r>
      <w:r>
        <w:rPr>
          <w:rFonts w:hint="eastAsia"/>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306.24</w:t>
      </w:r>
      <w:r>
        <w:rPr>
          <w:rFonts w:hint="eastAsia" w:ascii="宋体" w:hAnsi="宋体"/>
        </w:rPr>
        <w:t>万元。</w:t>
      </w:r>
    </w:p>
    <w:p>
      <w:pPr>
        <w:ind w:firstLine="645"/>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rPr>
          <w:szCs w:val="32"/>
        </w:rPr>
      </w:pPr>
    </w:p>
    <w:p>
      <w:pPr>
        <w:jc w:val="center"/>
        <w:rPr>
          <w:rFonts w:eastAsia="黑体"/>
        </w:rPr>
      </w:pPr>
      <w:r>
        <w:rPr>
          <w:rFonts w:eastAsia="黑体"/>
        </w:rPr>
        <w:t>第四部分 名词解释</w:t>
      </w:r>
      <w:bookmarkStart w:id="0" w:name="_GoBack"/>
      <w:bookmarkEnd w:id="0"/>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ODljNzk3MzYyZTUwZTg2NmU0MTQ1OTVhOTkyNDU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3ADB"/>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65621E"/>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5F24B1"/>
    <w:rsid w:val="069872E2"/>
    <w:rsid w:val="06BD5BC7"/>
    <w:rsid w:val="06F008FF"/>
    <w:rsid w:val="077E1262"/>
    <w:rsid w:val="079E5032"/>
    <w:rsid w:val="09015F14"/>
    <w:rsid w:val="091C5C63"/>
    <w:rsid w:val="09421190"/>
    <w:rsid w:val="097A5436"/>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EBD60F9"/>
    <w:rsid w:val="0ECB0794"/>
    <w:rsid w:val="0F3E0406"/>
    <w:rsid w:val="0F980230"/>
    <w:rsid w:val="0FD62F63"/>
    <w:rsid w:val="0FDE2A27"/>
    <w:rsid w:val="10446F5E"/>
    <w:rsid w:val="10AE7F82"/>
    <w:rsid w:val="10C93B35"/>
    <w:rsid w:val="11177619"/>
    <w:rsid w:val="112605C8"/>
    <w:rsid w:val="112A6D4B"/>
    <w:rsid w:val="11A6707B"/>
    <w:rsid w:val="11B35B2F"/>
    <w:rsid w:val="12E711B7"/>
    <w:rsid w:val="136D62BD"/>
    <w:rsid w:val="136E4388"/>
    <w:rsid w:val="13F21722"/>
    <w:rsid w:val="1441443C"/>
    <w:rsid w:val="14BF0043"/>
    <w:rsid w:val="14C12787"/>
    <w:rsid w:val="151D1FE6"/>
    <w:rsid w:val="15593E10"/>
    <w:rsid w:val="157A5D4B"/>
    <w:rsid w:val="159F7E25"/>
    <w:rsid w:val="15F848D0"/>
    <w:rsid w:val="160E1FA5"/>
    <w:rsid w:val="160F2600"/>
    <w:rsid w:val="16C829AB"/>
    <w:rsid w:val="16DD34F5"/>
    <w:rsid w:val="176D1177"/>
    <w:rsid w:val="17765BCA"/>
    <w:rsid w:val="17775522"/>
    <w:rsid w:val="17A027D8"/>
    <w:rsid w:val="17CC2625"/>
    <w:rsid w:val="19132BE0"/>
    <w:rsid w:val="191F4716"/>
    <w:rsid w:val="1954649C"/>
    <w:rsid w:val="1A7F43B0"/>
    <w:rsid w:val="1A817DF8"/>
    <w:rsid w:val="1A8A6135"/>
    <w:rsid w:val="1A8F455C"/>
    <w:rsid w:val="1ADC594E"/>
    <w:rsid w:val="1ADD0AA9"/>
    <w:rsid w:val="1AEB5252"/>
    <w:rsid w:val="1B8A03E4"/>
    <w:rsid w:val="1B9C1459"/>
    <w:rsid w:val="1C852172"/>
    <w:rsid w:val="1CA40C0C"/>
    <w:rsid w:val="1CB07F9C"/>
    <w:rsid w:val="1CFF4A32"/>
    <w:rsid w:val="1D003925"/>
    <w:rsid w:val="1D833200"/>
    <w:rsid w:val="1E3A3FD0"/>
    <w:rsid w:val="1EB55C07"/>
    <w:rsid w:val="1F05713F"/>
    <w:rsid w:val="1F351A10"/>
    <w:rsid w:val="1F857EA5"/>
    <w:rsid w:val="1FED47E9"/>
    <w:rsid w:val="206816AC"/>
    <w:rsid w:val="21134335"/>
    <w:rsid w:val="226E581D"/>
    <w:rsid w:val="22A4003E"/>
    <w:rsid w:val="23135C25"/>
    <w:rsid w:val="23EC61F6"/>
    <w:rsid w:val="244C188B"/>
    <w:rsid w:val="244C543C"/>
    <w:rsid w:val="24624768"/>
    <w:rsid w:val="24A8271E"/>
    <w:rsid w:val="254029E1"/>
    <w:rsid w:val="259B5BC5"/>
    <w:rsid w:val="25EF7FBC"/>
    <w:rsid w:val="25F62C4E"/>
    <w:rsid w:val="26643D6C"/>
    <w:rsid w:val="26FE109D"/>
    <w:rsid w:val="2700280A"/>
    <w:rsid w:val="27073E1E"/>
    <w:rsid w:val="274C3A9B"/>
    <w:rsid w:val="275341B2"/>
    <w:rsid w:val="27B04AB3"/>
    <w:rsid w:val="282C3BA1"/>
    <w:rsid w:val="28A63332"/>
    <w:rsid w:val="28C96E8E"/>
    <w:rsid w:val="29527C78"/>
    <w:rsid w:val="29C45F24"/>
    <w:rsid w:val="2C020890"/>
    <w:rsid w:val="2D405AAC"/>
    <w:rsid w:val="2D9038E4"/>
    <w:rsid w:val="2DA260B1"/>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1D95ED6"/>
    <w:rsid w:val="32332703"/>
    <w:rsid w:val="32CF2C5D"/>
    <w:rsid w:val="32EE2C61"/>
    <w:rsid w:val="331D05A5"/>
    <w:rsid w:val="33391D55"/>
    <w:rsid w:val="335402B5"/>
    <w:rsid w:val="339466B2"/>
    <w:rsid w:val="33BE4517"/>
    <w:rsid w:val="34555AF5"/>
    <w:rsid w:val="349D092C"/>
    <w:rsid w:val="34FF687B"/>
    <w:rsid w:val="35381056"/>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615702"/>
    <w:rsid w:val="3BA0106F"/>
    <w:rsid w:val="3BC92948"/>
    <w:rsid w:val="3BE370D4"/>
    <w:rsid w:val="3C1A026D"/>
    <w:rsid w:val="3C29381E"/>
    <w:rsid w:val="3C711E1D"/>
    <w:rsid w:val="3C7F463D"/>
    <w:rsid w:val="3CAE3960"/>
    <w:rsid w:val="3CEF6494"/>
    <w:rsid w:val="3D365BF6"/>
    <w:rsid w:val="3D7F7007"/>
    <w:rsid w:val="3DB008AA"/>
    <w:rsid w:val="3DF23324"/>
    <w:rsid w:val="3EA14040"/>
    <w:rsid w:val="3EC75624"/>
    <w:rsid w:val="3EDE0226"/>
    <w:rsid w:val="3EE8108D"/>
    <w:rsid w:val="3F8201A3"/>
    <w:rsid w:val="3FB427C9"/>
    <w:rsid w:val="402675EA"/>
    <w:rsid w:val="40B80EFF"/>
    <w:rsid w:val="40C2412A"/>
    <w:rsid w:val="41251DF1"/>
    <w:rsid w:val="41432DC5"/>
    <w:rsid w:val="41A35364"/>
    <w:rsid w:val="41C31686"/>
    <w:rsid w:val="41C837BC"/>
    <w:rsid w:val="421301F4"/>
    <w:rsid w:val="421643AC"/>
    <w:rsid w:val="42982B4E"/>
    <w:rsid w:val="429F5D0C"/>
    <w:rsid w:val="42D83665"/>
    <w:rsid w:val="434A6B47"/>
    <w:rsid w:val="436B1E42"/>
    <w:rsid w:val="44050988"/>
    <w:rsid w:val="4412373D"/>
    <w:rsid w:val="456D114B"/>
    <w:rsid w:val="45EB670F"/>
    <w:rsid w:val="46311C13"/>
    <w:rsid w:val="46AB7C0D"/>
    <w:rsid w:val="46D44808"/>
    <w:rsid w:val="46DA5E03"/>
    <w:rsid w:val="46ED776B"/>
    <w:rsid w:val="47987502"/>
    <w:rsid w:val="479D2523"/>
    <w:rsid w:val="47CF49E6"/>
    <w:rsid w:val="4866767E"/>
    <w:rsid w:val="48674ED2"/>
    <w:rsid w:val="487708E6"/>
    <w:rsid w:val="48B540F2"/>
    <w:rsid w:val="493F6F72"/>
    <w:rsid w:val="49645F71"/>
    <w:rsid w:val="499F5C68"/>
    <w:rsid w:val="4A52465C"/>
    <w:rsid w:val="4A5C4AC6"/>
    <w:rsid w:val="4A662FBF"/>
    <w:rsid w:val="4AAA260D"/>
    <w:rsid w:val="4AF16062"/>
    <w:rsid w:val="4B0A57E5"/>
    <w:rsid w:val="4B646DDD"/>
    <w:rsid w:val="4B7F44F8"/>
    <w:rsid w:val="4BAC24C5"/>
    <w:rsid w:val="4BFA0656"/>
    <w:rsid w:val="4CC61682"/>
    <w:rsid w:val="4CF15EA5"/>
    <w:rsid w:val="4D3439E8"/>
    <w:rsid w:val="4D4E2809"/>
    <w:rsid w:val="4D730507"/>
    <w:rsid w:val="4D741DD3"/>
    <w:rsid w:val="4DC93207"/>
    <w:rsid w:val="4E010C4C"/>
    <w:rsid w:val="4E214B2B"/>
    <w:rsid w:val="4E8D5761"/>
    <w:rsid w:val="4EF54A85"/>
    <w:rsid w:val="4EF972C6"/>
    <w:rsid w:val="4FF52BAA"/>
    <w:rsid w:val="501B3C66"/>
    <w:rsid w:val="504B40C5"/>
    <w:rsid w:val="50987DC2"/>
    <w:rsid w:val="50A4703E"/>
    <w:rsid w:val="51047479"/>
    <w:rsid w:val="51282B99"/>
    <w:rsid w:val="5136104F"/>
    <w:rsid w:val="51465EDE"/>
    <w:rsid w:val="515B05A9"/>
    <w:rsid w:val="52071113"/>
    <w:rsid w:val="52085509"/>
    <w:rsid w:val="522774C4"/>
    <w:rsid w:val="522A7431"/>
    <w:rsid w:val="525A440D"/>
    <w:rsid w:val="52626449"/>
    <w:rsid w:val="52E82B11"/>
    <w:rsid w:val="53AE4B87"/>
    <w:rsid w:val="544E511A"/>
    <w:rsid w:val="54741940"/>
    <w:rsid w:val="54810E66"/>
    <w:rsid w:val="54C063E4"/>
    <w:rsid w:val="54C2556E"/>
    <w:rsid w:val="54D70AFE"/>
    <w:rsid w:val="55480EEF"/>
    <w:rsid w:val="55D911AB"/>
    <w:rsid w:val="569B7F91"/>
    <w:rsid w:val="56D21BED"/>
    <w:rsid w:val="572651B2"/>
    <w:rsid w:val="57AE5C26"/>
    <w:rsid w:val="57DD75A9"/>
    <w:rsid w:val="5801059F"/>
    <w:rsid w:val="58256ABD"/>
    <w:rsid w:val="58C27FDB"/>
    <w:rsid w:val="59472AC7"/>
    <w:rsid w:val="59D514A6"/>
    <w:rsid w:val="59DE3233"/>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3636E3"/>
    <w:rsid w:val="614125C2"/>
    <w:rsid w:val="61AA1D1F"/>
    <w:rsid w:val="624C5C52"/>
    <w:rsid w:val="63DF08E4"/>
    <w:rsid w:val="642409C5"/>
    <w:rsid w:val="64C04AFD"/>
    <w:rsid w:val="655B219F"/>
    <w:rsid w:val="656277AA"/>
    <w:rsid w:val="65CA788D"/>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5B40CA"/>
    <w:rsid w:val="6B7D5B36"/>
    <w:rsid w:val="6C834DAA"/>
    <w:rsid w:val="6C993CCE"/>
    <w:rsid w:val="6CF120A8"/>
    <w:rsid w:val="6D035033"/>
    <w:rsid w:val="6D696F8E"/>
    <w:rsid w:val="6D72413D"/>
    <w:rsid w:val="6FF50B81"/>
    <w:rsid w:val="70330B9C"/>
    <w:rsid w:val="709D17BE"/>
    <w:rsid w:val="714213DD"/>
    <w:rsid w:val="717F272E"/>
    <w:rsid w:val="72113D4E"/>
    <w:rsid w:val="72783A23"/>
    <w:rsid w:val="728027C6"/>
    <w:rsid w:val="73D62FA6"/>
    <w:rsid w:val="73FE7ACC"/>
    <w:rsid w:val="74556746"/>
    <w:rsid w:val="74743258"/>
    <w:rsid w:val="761B13C4"/>
    <w:rsid w:val="764B6A8A"/>
    <w:rsid w:val="76C17E06"/>
    <w:rsid w:val="76CA67BD"/>
    <w:rsid w:val="76E6298C"/>
    <w:rsid w:val="770021AC"/>
    <w:rsid w:val="774E6400"/>
    <w:rsid w:val="775B0046"/>
    <w:rsid w:val="77E2133C"/>
    <w:rsid w:val="77E872FF"/>
    <w:rsid w:val="789620BC"/>
    <w:rsid w:val="79700BEF"/>
    <w:rsid w:val="798D552B"/>
    <w:rsid w:val="7A090695"/>
    <w:rsid w:val="7A1D5951"/>
    <w:rsid w:val="7AE175F4"/>
    <w:rsid w:val="7B417685"/>
    <w:rsid w:val="7B5220F0"/>
    <w:rsid w:val="7BA169C0"/>
    <w:rsid w:val="7BC55243"/>
    <w:rsid w:val="7C093CE8"/>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3"/>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autoRedefine/>
    <w:qFormat/>
    <w:uiPriority w:val="0"/>
    <w:rPr>
      <w:rFonts w:eastAsia="仿宋_GB2312"/>
      <w:kern w:val="2"/>
      <w:sz w:val="18"/>
      <w:szCs w:val="18"/>
    </w:rPr>
  </w:style>
  <w:style w:type="character" w:customStyle="1" w:styleId="14">
    <w:name w:val="页脚 字符"/>
    <w:link w:val="6"/>
    <w:autoRedefine/>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autoRedefine/>
    <w:qFormat/>
    <w:uiPriority w:val="0"/>
    <w:rPr>
      <w:rFonts w:hint="default" w:ascii="华文细黑" w:hAnsi="华文细黑" w:eastAsia="华文细黑" w:cs="华文细黑"/>
      <w:color w:val="000000"/>
      <w:sz w:val="20"/>
      <w:szCs w:val="20"/>
      <w:u w:val="none"/>
    </w:rPr>
  </w:style>
  <w:style w:type="character" w:customStyle="1" w:styleId="17">
    <w:name w:val="font21"/>
    <w:autoRedefine/>
    <w:qFormat/>
    <w:uiPriority w:val="0"/>
    <w:rPr>
      <w:rFonts w:hint="default" w:ascii="Arial" w:hAnsi="Arial" w:cs="Arial"/>
      <w:color w:val="000000"/>
      <w:sz w:val="20"/>
      <w:szCs w:val="20"/>
      <w:u w:val="none"/>
    </w:rPr>
  </w:style>
  <w:style w:type="character" w:customStyle="1" w:styleId="18">
    <w:name w:val="font01"/>
    <w:autoRedefine/>
    <w:qFormat/>
    <w:uiPriority w:val="0"/>
    <w:rPr>
      <w:rFonts w:hint="default" w:ascii="Times New Roman" w:hAnsi="Times New Roman" w:cs="Times New Roman"/>
      <w:color w:val="000000"/>
      <w:sz w:val="24"/>
      <w:szCs w:val="24"/>
      <w:u w:val="none"/>
    </w:rPr>
  </w:style>
  <w:style w:type="character" w:customStyle="1" w:styleId="19">
    <w:name w:val="font11"/>
    <w:autoRedefine/>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7">
    <w:name w:val="p0"/>
    <w:basedOn w:val="1"/>
    <w:autoRedefine/>
    <w:qFormat/>
    <w:uiPriority w:val="0"/>
    <w:pPr>
      <w:widowControl/>
    </w:pPr>
    <w:rPr>
      <w:rFonts w:eastAsia="宋体"/>
      <w:kern w:val="0"/>
      <w:szCs w:val="32"/>
    </w:rPr>
  </w:style>
  <w:style w:type="paragraph" w:customStyle="1" w:styleId="28">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autoRedefine/>
    <w:qFormat/>
    <w:uiPriority w:val="0"/>
    <w:rPr>
      <w:rFonts w:eastAsia="宋体"/>
      <w:sz w:val="21"/>
      <w:szCs w:val="21"/>
    </w:rPr>
  </w:style>
  <w:style w:type="paragraph" w:customStyle="1" w:styleId="72">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ca9e1526-1ff3-4cdb-a647-067cbd36994b</errorID>
      <errorWord>&lt;</errorWord>
      <group>L1_Format</group>
      <groupName>格式问题</groupName>
      <ability>L2_HalfPunc</ability>
      <abilityName>全半角检查</abilityName>
      <candidateList>
        <item>〈</item>
      </candidateList>
      <explain>文本全半角错误。</explain>
      <paraID>71808644</paraID>
      <start>27</start>
      <end>28</end>
      <status>modified</status>
      <modifiedWord>〈</modifiedWord>
      <trackRevisions>false</trackRevisions>
    </reviewItem>
    <reviewItem>
      <errorID>266382a5-30e3-4e4e-9771-f3f151f1032c</errorID>
      <errorWord>&gt;的通知》</errorWord>
      <group>L1_Punc</group>
      <groupName>标点问题</groupName>
      <ability>L2_Punc</ability>
      <abilityName>标点符号检查</abilityName>
      <candidateList>
        <item>〉的通知》</item>
      </candidateList>
      <explain/>
      <paraID>71808644</paraID>
      <start>46</start>
      <end>51</end>
      <status>modified</status>
      <modifiedWord>〉的通知》</modifiedWord>
      <trackRevisions>false</trackRevisions>
    </reviewItem>
    <reviewItem>
      <errorID>2050bf0a-fccd-4a25-a1f8-9ae42a6ac764</errorID>
      <errorWord>省编办</errorWord>
      <group>L1_Political</group>
      <groupName>政治性问题</groupName>
      <ability>L2_Unpolitical</ability>
      <abilityName>政治敏感错误</abilityName>
      <candidateList>
        <item>省委编办</item>
      </candidateList>
      <explain>机关单位名称不规范，请注意审核。</explain>
      <paraID>71808644</paraID>
      <start>67</start>
      <end>70</end>
      <status>ignored</status>
      <modifiedWord/>
      <trackRevisions>false</trackRevisions>
    </reviewItem>
    <reviewItem>
      <errorID>8e14d323-5196-416f-8b42-784b309d2df1</errorID>
      <errorWord>&lt;</errorWord>
      <group>L1_Format</group>
      <groupName>格式问题</groupName>
      <ability>L2_HalfPunc</ability>
      <abilityName>全半角检查</abilityName>
      <candidateList>
        <item>〈</item>
      </candidateList>
      <explain>文本全半角错误。</explain>
      <paraID>71808644</paraID>
      <start>75</start>
      <end>76</end>
      <status>modified</status>
      <modifiedWord>〈</modifiedWord>
      <trackRevisions>false</trackRevisions>
    </reviewItem>
    <reviewItem>
      <errorID>5798dae4-7b2f-4f42-8744-c7a54e86b2fe</errorID>
      <errorWord>&gt;的通知》</errorWord>
      <group>L1_Punc</group>
      <groupName>标点问题</groupName>
      <ability>L2_Punc</ability>
      <abilityName>标点符号检查</abilityName>
      <candidateList>
        <item>〉的通知》</item>
      </candidateList>
      <explain/>
      <paraID>71808644</paraID>
      <start>106</start>
      <end>111</end>
      <status>modified</status>
      <modifiedWord>〉的通知》</modifiedWord>
      <trackRevisions>false</trackRevisions>
    </reviewItem>
    <reviewItem>
      <errorID>5ac15930-61d6-4e76-8e06-6154e6a8d8fa</errorID>
      <errorWord>法律、法规</errorWord>
      <group>L1_Word</group>
      <groupName>字词问题</groupName>
      <ability>L2_Typo</ability>
      <abilityName>字词错误</abilityName>
      <candidateList>
        <item>法律法规</item>
      </candidateList>
      <explain/>
      <paraID> A72DF8D</paraID>
      <start>18</start>
      <end>23</end>
      <status>ignored</status>
      <modifiedWord/>
      <trackRevisions>false</trackRevisions>
    </reviewItem>
    <reviewItem>
      <errorID>b002a9d9-f109-4084-b594-4aeaba56aa40</errorID>
      <errorWord>法律、法规</errorWord>
      <group>L1_Word</group>
      <groupName>字词问题</groupName>
      <ability>L2_Typo</ability>
      <abilityName>字词错误</abilityName>
      <candidateList>
        <item>法律法规</item>
      </candidateList>
      <explain/>
      <paraID> A72DF8D</paraID>
      <start>46</start>
      <end>51</end>
      <status>ignored</status>
      <modifiedWord/>
      <trackRevisions>false</trackRevisions>
    </reviewItem>
    <reviewItem>
      <errorID>512f259c-4fb3-4fbf-9d50-c1a1d93e810c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273F78C6</paraID>
      <start>0</start>
      <end>8</end>
      <status>ignored</status>
      <modifiedWord/>
      <trackRevisions>false</trackRevisions>
    </reviewItem>
    <reviewItem>
      <errorID>71fba4bb-df25-4ca4-aa2f-00dd4591c4d1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71B236A5</paraID>
      <start>2</start>
      <end>10</end>
      <status>ignored</status>
      <modifiedWord/>
      <trackRevisions>false</trackRevisions>
    </reviewItem>
    <reviewItem>
      <errorID>1dbbd231-7e92-40f1-81ab-b5ddc4ae6c8a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26827961</paraID>
      <start>0</start>
      <end>2</end>
      <status>ignored</status>
      <modifiedWord/>
      <trackRevisions>false</trackRevisions>
    </reviewItem>
    <reviewItem>
      <errorID>5c119bbc-5626-4d28-992c-0bbb3860a870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2BA017A5</paraID>
      <start>0</start>
      <end>2</end>
      <status>ignored</status>
      <modifiedWord/>
      <trackRevisions>false</trackRevisions>
    </reviewItem>
    <reviewItem>
      <errorID>43d79ace-0ef0-482c-bf0f-02376f737932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6518940E</paraID>
      <start>0</start>
      <end>2</end>
      <status>ignored</status>
      <modifiedWord/>
      <trackRevisions>false</trackRevisions>
    </reviewItem>
    <reviewItem>
      <errorID>e7c06968-adf5-4e9f-bd1c-be3ea83eabd5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1DCFF37</paraID>
      <start>0</start>
      <end>8</end>
      <status>ignored</status>
      <modifiedWord/>
      <trackRevisions>false</trackRevisions>
    </reviewItem>
    <reviewItem>
      <errorID>3406b2c6-77f3-40f8-8025-fd2a237812a5</errorID>
      <errorWord>......</errorWord>
      <group>L1_Punc</group>
      <groupName>标点问题</groupName>
      <ability>L2_Punc</ability>
      <abilityName>标点符号检查</abilityName>
      <candidateList>
        <item>……</item>
      </candidateList>
      <explain/>
      <paraID> BA0D26E</paraID>
      <start>0</start>
      <end>6</end>
      <status>ignored</status>
      <modifiedWord/>
      <trackRevisions>false</trackRevisions>
    </reviewItem>
    <reviewItem>
      <errorID>d872cac8-a53e-4495-b97e-317a124a520e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6F526BB4</paraID>
      <start>22</start>
      <end>23</end>
      <status>ignored</status>
      <modifiedWord/>
      <trackRevisions>false</trackRevisions>
    </reviewItem>
    <reviewItem>
      <errorID>f9e09c30-e97d-413e-9b55-af33d6dfd871</errorID>
      <errorWord>市委市政府</errorWord>
      <group>L1_Word</group>
      <groupName>字词问题</groupName>
      <ability>L2_Typo</ability>
      <abilityName>字词错误</abilityName>
      <candidateList>
        <item>市委、市政府</item>
      </candidateList>
      <explain/>
      <paraID>569BC95D</paraID>
      <start>22</start>
      <end>27</end>
      <status>ignored</status>
      <modifiedWord/>
      <trackRevisions>false</trackRevisions>
    </reviewItem>
    <reviewItem>
      <errorID>125463bc-2dd3-42d8-8ae4-d9e545e67122</errorID>
      <errorWord>数</errorWord>
      <group>L1_Word</group>
      <groupName>字词问题</groupName>
      <ability>L2_Typo</ability>
      <abilityName>字词错误</abilityName>
      <candidateList>
        <item>数据</item>
      </candidateList>
      <explain/>
      <paraID>569BC95D</paraID>
      <start>29</start>
      <end>30</end>
      <status>ignored</status>
      <modifiedWord/>
      <trackRevisions>false</trackRevisions>
    </reviewItem>
    <reviewItem>
      <errorID>621b62c8-cf95-4283-80c3-df5265fc301d</errorID>
      <errorWord>市委市政府</errorWord>
      <group>L1_Word</group>
      <groupName>字词问题</groupName>
      <ability>L2_Typo</ability>
      <abilityName>字词错误</abilityName>
      <candidateList>
        <item>市委、市政府</item>
      </candidateList>
      <explain/>
      <paraID>569BC95D</paraID>
      <start>123</start>
      <end>128</end>
      <status>ignored</status>
      <modifiedWord/>
      <trackRevisions>false</trackRevisions>
    </reviewItem>
    <reviewItem>
      <errorID>734ad198-17a9-475d-bcfc-b4e3e18d3087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72144352</paraID>
      <start>33</start>
      <end>41</end>
      <status>ignored</status>
      <modifiedWord/>
      <trackRevisions>false</trackRevisions>
    </reviewItem>
    <reviewItem>
      <errorID>5aa2ca8e-52ef-4d32-86e6-bcf7c665e7e7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1690D60D</paraID>
      <start>66</start>
      <end>74</end>
      <status>ignored</status>
      <modifiedWord/>
      <trackRevisions>false</trackRevisions>
    </reviewItem>
    <reviewItem>
      <errorID>ce53766c-15da-4ad3-824a-c7fa2da08b0b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D306C12</paraID>
      <start>5</start>
      <end>13</end>
      <status>ignored</status>
      <modifiedWord/>
      <trackRevisions>false</trackRevisions>
    </reviewItem>
    <reviewItem>
      <errorID>3aaecfe2-bc2d-4b9e-8ac5-b2e7dbb20cda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454E7674</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7a17c-2d3b-461f-bc2b-f06246be0004}">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5974</Words>
  <Characters>7230</Characters>
  <Lines>71</Lines>
  <Paragraphs>20</Paragraphs>
  <TotalTime>77</TotalTime>
  <ScaleCrop>false</ScaleCrop>
  <LinksUpToDate>false</LinksUpToDate>
  <CharactersWithSpaces>7854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Healer Pan</cp:lastModifiedBy>
  <cp:lastPrinted>2025-02-11T03:07:00Z</cp:lastPrinted>
  <dcterms:modified xsi:type="dcterms:W3CDTF">2026-03-05T02:05:49Z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eyJoZGlkIjoiNTEyMTk2ZjM5ZjVlZjhkMDJlNjE3MGYxZjk5YjZkYjkiLCJ1c2VySWQiOiI0MjM5NDU0ODAifQ==</vt:lpwstr>
  </property>
  <property fmtid="{D5CDD505-2E9C-101B-9397-08002B2CF9AE}" pid="4" name="ICV">
    <vt:lpwstr>58D6B799480B432D9B149A646303DF38_13</vt:lpwstr>
  </property>
</Properties>
</file>