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lang w:eastAsia="zh-CN"/>
        </w:rPr>
        <w:t>公主岭市统计局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（一）贯彻执行国家统计方针、政策以及法律、法规，制定全市统计规划及统计调查计划；监督检查统计法律、法规的实施。组织领导全市统计工作，承担确保统计数据真实、准确、及时的责任。</w:t>
      </w:r>
    </w:p>
    <w:p>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w:t>
      </w:r>
    </w:p>
    <w:p>
      <w:pPr>
        <w:ind w:firstLine="640" w:firstLineChars="200"/>
        <w:rPr>
          <w:rFonts w:hint="eastAsia"/>
          <w:color w:val="000000"/>
          <w:szCs w:val="32"/>
        </w:rPr>
      </w:pPr>
      <w:r>
        <w:rPr>
          <w:rFonts w:hint="eastAsia"/>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w:t>
      </w:r>
    </w:p>
    <w:p>
      <w:pPr>
        <w:ind w:firstLine="640" w:firstLineChars="200"/>
        <w:rPr>
          <w:rFonts w:hint="eastAsia"/>
          <w:color w:val="000000"/>
          <w:szCs w:val="32"/>
        </w:rPr>
      </w:pPr>
      <w:r>
        <w:rPr>
          <w:rFonts w:hint="eastAsia"/>
          <w:color w:val="000000"/>
          <w:szCs w:val="32"/>
        </w:rPr>
        <w:t>（四）统一核定、管理、公布全市基本统计资料，定期向社会公众发布全市国民经济和社会发展情况的统计信息。</w:t>
      </w:r>
    </w:p>
    <w:p>
      <w:pPr>
        <w:ind w:firstLine="640" w:firstLineChars="200"/>
        <w:rPr>
          <w:rFonts w:hint="eastAsia"/>
          <w:color w:val="000000"/>
          <w:szCs w:val="32"/>
        </w:rPr>
      </w:pPr>
      <w:r>
        <w:rPr>
          <w:rFonts w:hint="eastAsia"/>
          <w:color w:val="000000"/>
          <w:szCs w:val="32"/>
        </w:rPr>
        <w:t>（五）建立、完善和管理全市统计信息自动化系统和全市统计数据库体系。</w:t>
      </w:r>
    </w:p>
    <w:p>
      <w:pPr>
        <w:ind w:firstLine="640" w:firstLineChars="200"/>
        <w:rPr>
          <w:rFonts w:hint="eastAsia"/>
          <w:color w:val="000000"/>
          <w:szCs w:val="32"/>
        </w:rPr>
      </w:pPr>
      <w:r>
        <w:rPr>
          <w:rFonts w:hint="eastAsia"/>
          <w:color w:val="000000"/>
          <w:szCs w:val="32"/>
        </w:rPr>
        <w:t>（六）负责全市统计系统的干部人事、劳动工资、机构编制和财务经费、审计监督及资产设施管理。</w:t>
      </w:r>
    </w:p>
    <w:p>
      <w:pPr>
        <w:ind w:firstLine="640" w:firstLineChars="200"/>
        <w:rPr>
          <w:rFonts w:hint="eastAsia"/>
          <w:color w:val="000000"/>
          <w:szCs w:val="32"/>
        </w:rPr>
      </w:pPr>
      <w:r>
        <w:rPr>
          <w:rFonts w:hint="eastAsia"/>
          <w:color w:val="000000"/>
          <w:szCs w:val="32"/>
        </w:rPr>
        <w:t>（七）领导局属事业单位。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（八）承办长春市统计局和公主岭市政府交办的其他事项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eastAsia="楷体_GB2312"/>
        </w:rPr>
        <w:t>二、机构设置</w:t>
      </w:r>
    </w:p>
    <w:p>
      <w:pPr>
        <w:pStyle w:val="27"/>
        <w:ind w:firstLine="640" w:firstLineChars="200"/>
        <w:rPr>
          <w:rFonts w:eastAsia="楷体"/>
        </w:rPr>
      </w:pPr>
      <w:r>
        <w:rPr>
          <w:rFonts w:hint="eastAsia" w:eastAsia="仿宋_GB2312"/>
        </w:rPr>
        <w:t>根据上述职责，公主岭市统计局内设3个机构。分别为：办公室、综合统计科、社会经济统计科。本单位无下设预算单位。</w:t>
      </w: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260.00</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260.00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224.65</w:t>
            </w:r>
          </w:p>
        </w:tc>
        <w:tc>
          <w:tcPr>
            <w:tcW w:w="1182"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224.65</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260.00</w:t>
            </w:r>
          </w:p>
        </w:tc>
        <w:tc>
          <w:tcPr>
            <w:tcW w:w="984" w:type="dxa"/>
            <w:gridSpan w:val="2"/>
            <w:tcBorders>
              <w:top w:val="nil"/>
              <w:left w:val="nil"/>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260.00</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kern w:val="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37.52</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37.52</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kern w:val="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12.91</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12.91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11.23</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11.23</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26.31</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26.31</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26.31</w:t>
            </w: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26.31</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pPr>
              <w:widowControl/>
              <w:jc w:val="right"/>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286.31</w:t>
            </w: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right"/>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286.31</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hint="default" w:eastAsia="宋体"/>
                <w:b/>
                <w:bCs/>
                <w:kern w:val="0"/>
                <w:sz w:val="20"/>
                <w:lang w:val="en-US" w:eastAsia="zh-CN"/>
              </w:rPr>
            </w:pPr>
            <w:r>
              <w:rPr>
                <w:rFonts w:hint="eastAsia" w:eastAsia="宋体"/>
                <w:b/>
                <w:bCs/>
                <w:kern w:val="0"/>
                <w:sz w:val="20"/>
                <w:lang w:val="en-US" w:eastAsia="zh-CN"/>
              </w:rPr>
              <w:t>286.31</w:t>
            </w: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right"/>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286.31</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pPr>
              <w:widowControl/>
              <w:jc w:val="right"/>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286.31</w:t>
            </w: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right"/>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286.31</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286.31</w:t>
            </w: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right"/>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286.31</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5"/>
        <w:gridCol w:w="876"/>
        <w:gridCol w:w="840"/>
        <w:gridCol w:w="888"/>
        <w:gridCol w:w="804"/>
        <w:gridCol w:w="492"/>
        <w:gridCol w:w="528"/>
        <w:gridCol w:w="480"/>
        <w:gridCol w:w="516"/>
        <w:gridCol w:w="408"/>
        <w:gridCol w:w="420"/>
        <w:gridCol w:w="720"/>
        <w:gridCol w:w="444"/>
        <w:gridCol w:w="408"/>
        <w:gridCol w:w="361"/>
        <w:gridCol w:w="395"/>
        <w:gridCol w:w="312"/>
        <w:gridCol w:w="341"/>
      </w:tblGrid>
      <w:tr>
        <w:tblPrEx>
          <w:tblCellMar>
            <w:top w:w="0" w:type="dxa"/>
            <w:left w:w="108" w:type="dxa"/>
            <w:bottom w:w="0" w:type="dxa"/>
            <w:right w:w="108" w:type="dxa"/>
          </w:tblCellMar>
        </w:tblPrEx>
        <w:trPr>
          <w:trHeight w:val="335" w:hRule="atLeast"/>
          <w:jc w:val="center"/>
        </w:trPr>
        <w:tc>
          <w:tcPr>
            <w:tcW w:w="1255" w:type="dxa"/>
            <w:tcBorders>
              <w:bottom w:val="single" w:color="000000" w:sz="4" w:space="0"/>
            </w:tcBorders>
            <w:noWrap w:val="0"/>
            <w:vAlign w:val="top"/>
          </w:tcPr>
          <w:p>
            <w:pPr>
              <w:autoSpaceDN w:val="0"/>
              <w:jc w:val="left"/>
              <w:textAlignment w:val="center"/>
              <w:rPr>
                <w:rFonts w:eastAsia="华文细黑"/>
                <w:color w:val="000000"/>
                <w:sz w:val="20"/>
              </w:rPr>
            </w:pPr>
          </w:p>
        </w:tc>
        <w:tc>
          <w:tcPr>
            <w:tcW w:w="5424"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548" w:type="dxa"/>
            <w:gridSpan w:val="3"/>
            <w:noWrap w:val="0"/>
            <w:vAlign w:val="center"/>
          </w:tcPr>
          <w:p>
            <w:pPr>
              <w:autoSpaceDN w:val="0"/>
              <w:jc w:val="left"/>
              <w:textAlignment w:val="center"/>
              <w:rPr>
                <w:rFonts w:eastAsia="华文细黑"/>
                <w:color w:val="000000"/>
                <w:sz w:val="20"/>
              </w:rPr>
            </w:pPr>
          </w:p>
        </w:tc>
        <w:tc>
          <w:tcPr>
            <w:tcW w:w="444" w:type="dxa"/>
            <w:noWrap w:val="0"/>
            <w:vAlign w:val="center"/>
          </w:tcPr>
          <w:p>
            <w:pPr>
              <w:autoSpaceDN w:val="0"/>
              <w:jc w:val="left"/>
              <w:textAlignment w:val="center"/>
              <w:rPr>
                <w:rFonts w:eastAsia="华文细黑"/>
                <w:color w:val="000000"/>
                <w:sz w:val="20"/>
              </w:rPr>
            </w:pPr>
          </w:p>
        </w:tc>
        <w:tc>
          <w:tcPr>
            <w:tcW w:w="408" w:type="dxa"/>
            <w:noWrap w:val="0"/>
            <w:vAlign w:val="center"/>
          </w:tcPr>
          <w:p>
            <w:pPr>
              <w:autoSpaceDN w:val="0"/>
              <w:jc w:val="left"/>
              <w:textAlignment w:val="center"/>
              <w:rPr>
                <w:rFonts w:eastAsia="华文细黑"/>
                <w:color w:val="000000"/>
                <w:sz w:val="20"/>
              </w:rPr>
            </w:pPr>
          </w:p>
        </w:tc>
        <w:tc>
          <w:tcPr>
            <w:tcW w:w="361" w:type="dxa"/>
            <w:noWrap w:val="0"/>
            <w:vAlign w:val="bottom"/>
          </w:tcPr>
          <w:p>
            <w:pPr>
              <w:autoSpaceDN w:val="0"/>
              <w:jc w:val="right"/>
              <w:textAlignment w:val="bottom"/>
              <w:rPr>
                <w:rFonts w:eastAsia="宋体"/>
                <w:color w:val="000000"/>
                <w:sz w:val="20"/>
              </w:rPr>
            </w:pPr>
          </w:p>
        </w:tc>
        <w:tc>
          <w:tcPr>
            <w:tcW w:w="1048"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255"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76"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6096"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261"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1255"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76"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40"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2184"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28"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44"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44"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164"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653"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125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87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88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804"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28"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4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6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39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1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34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1255"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r>
              <w:rPr>
                <w:rFonts w:hint="eastAsia" w:eastAsia="宋体"/>
                <w:color w:val="000000"/>
                <w:sz w:val="20"/>
                <w:shd w:val="clear" w:color="auto" w:fill="FFFFFF"/>
              </w:rPr>
              <w:t>公主岭市统计局</w:t>
            </w:r>
          </w:p>
        </w:tc>
        <w:tc>
          <w:tcPr>
            <w:tcW w:w="8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lang w:val="en-US" w:eastAsia="zh-CN"/>
              </w:rPr>
            </w:pPr>
            <w:r>
              <w:rPr>
                <w:rFonts w:hint="eastAsia" w:asciiTheme="minorEastAsia" w:hAnsiTheme="minorEastAsia" w:eastAsiaTheme="minorEastAsia" w:cstheme="minorEastAsia"/>
                <w:color w:val="000000"/>
                <w:sz w:val="20"/>
                <w:shd w:val="clear" w:color="auto" w:fill="FFFFFF"/>
                <w:lang w:val="en-US" w:eastAsia="zh-CN"/>
              </w:rPr>
              <w:t>286.31</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lang w:val="en-US" w:eastAsia="zh-CN"/>
              </w:rPr>
            </w:pPr>
            <w:r>
              <w:rPr>
                <w:rFonts w:hint="eastAsia" w:asciiTheme="minorEastAsia" w:hAnsiTheme="minorEastAsia" w:eastAsiaTheme="minorEastAsia" w:cstheme="minorEastAsia"/>
                <w:color w:val="000000"/>
                <w:sz w:val="20"/>
                <w:shd w:val="clear" w:color="auto" w:fill="FFFFFF"/>
                <w:lang w:val="en-US" w:eastAsia="zh-CN"/>
              </w:rPr>
              <w:t>286.31</w:t>
            </w:r>
          </w:p>
        </w:tc>
        <w:tc>
          <w:tcPr>
            <w:tcW w:w="8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lang w:val="en-US" w:eastAsia="zh-CN"/>
              </w:rPr>
            </w:pPr>
            <w:r>
              <w:rPr>
                <w:rFonts w:hint="eastAsia" w:asciiTheme="minorEastAsia" w:hAnsiTheme="minorEastAsia" w:eastAsiaTheme="minorEastAsia" w:cstheme="minorEastAsia"/>
                <w:color w:val="000000"/>
                <w:sz w:val="20"/>
                <w:shd w:val="clear" w:color="auto" w:fill="FFFFFF"/>
                <w:lang w:val="en-US" w:eastAsia="zh-CN"/>
              </w:rPr>
              <w:t>260.00</w:t>
            </w:r>
          </w:p>
        </w:tc>
        <w:tc>
          <w:tcPr>
            <w:tcW w:w="80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rPr>
            </w:pPr>
          </w:p>
        </w:tc>
        <w:tc>
          <w:tcPr>
            <w:tcW w:w="528"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sz w:val="20"/>
                <w:shd w:val="clear" w:color="auto" w:fill="FFFFFF"/>
                <w:lang w:val="en-US" w:eastAsia="zh-CN"/>
              </w:rPr>
            </w:pPr>
            <w:r>
              <w:rPr>
                <w:rFonts w:hint="eastAsia" w:asciiTheme="minorEastAsia" w:hAnsiTheme="minorEastAsia" w:eastAsiaTheme="minorEastAsia" w:cstheme="minorEastAsia"/>
                <w:color w:val="000000"/>
                <w:sz w:val="20"/>
                <w:shd w:val="clear" w:color="auto" w:fill="FFFFFF"/>
                <w:lang w:val="en-US" w:eastAsia="zh-CN"/>
              </w:rPr>
              <w:t>26.31</w:t>
            </w:r>
          </w:p>
        </w:tc>
        <w:tc>
          <w:tcPr>
            <w:tcW w:w="4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30" w:hRule="atLeast"/>
          <w:jc w:val="center"/>
        </w:trPr>
        <w:tc>
          <w:tcPr>
            <w:tcW w:w="1255"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r>
              <w:rPr>
                <w:rFonts w:hint="eastAsia" w:asciiTheme="minorEastAsia" w:hAnsiTheme="minorEastAsia" w:eastAsiaTheme="minorEastAsia" w:cstheme="minorEastAsia"/>
                <w:color w:val="000000"/>
                <w:sz w:val="20"/>
                <w:shd w:val="clear" w:color="auto" w:fill="FFFFFF"/>
                <w:lang w:val="en-US" w:eastAsia="zh-CN"/>
              </w:rPr>
              <w:t>286.31</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r>
              <w:rPr>
                <w:rFonts w:hint="eastAsia" w:asciiTheme="minorEastAsia" w:hAnsiTheme="minorEastAsia" w:eastAsiaTheme="minorEastAsia" w:cstheme="minorEastAsia"/>
                <w:color w:val="000000"/>
                <w:sz w:val="20"/>
                <w:shd w:val="clear" w:color="auto" w:fill="FFFFFF"/>
                <w:lang w:val="en-US" w:eastAsia="zh-CN"/>
              </w:rPr>
              <w:t>286.31</w:t>
            </w:r>
          </w:p>
        </w:tc>
        <w:tc>
          <w:tcPr>
            <w:tcW w:w="8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r>
              <w:rPr>
                <w:rFonts w:hint="eastAsia" w:asciiTheme="minorEastAsia" w:hAnsiTheme="minorEastAsia" w:eastAsiaTheme="minorEastAsia" w:cstheme="minorEastAsia"/>
                <w:color w:val="000000"/>
                <w:sz w:val="20"/>
                <w:shd w:val="clear" w:color="auto" w:fill="FFFFFF"/>
                <w:lang w:val="en-US" w:eastAsia="zh-CN"/>
              </w:rPr>
              <w:t>260.00</w:t>
            </w:r>
          </w:p>
        </w:tc>
        <w:tc>
          <w:tcPr>
            <w:tcW w:w="80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p>
        </w:tc>
        <w:tc>
          <w:tcPr>
            <w:tcW w:w="528"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Theme="minorEastAsia" w:hAnsiTheme="minorEastAsia" w:eastAsiaTheme="minorEastAsia" w:cstheme="minorEastAsia"/>
                <w:color w:val="000000"/>
                <w:kern w:val="2"/>
                <w:sz w:val="20"/>
                <w:shd w:val="clear" w:color="auto" w:fill="FFFFFF"/>
                <w:lang w:val="en-US" w:eastAsia="zh-CN" w:bidi="ar-SA"/>
              </w:rPr>
            </w:pPr>
            <w:r>
              <w:rPr>
                <w:rFonts w:hint="eastAsia" w:asciiTheme="minorEastAsia" w:hAnsiTheme="minorEastAsia" w:eastAsiaTheme="minorEastAsia" w:cstheme="minorEastAsia"/>
                <w:color w:val="000000"/>
                <w:sz w:val="20"/>
                <w:shd w:val="clear" w:color="auto" w:fill="FFFFFF"/>
                <w:lang w:val="en-US" w:eastAsia="zh-CN"/>
              </w:rPr>
              <w:t>26.31</w:t>
            </w:r>
          </w:p>
        </w:tc>
        <w:tc>
          <w:tcPr>
            <w:tcW w:w="4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6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4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96"/>
              <w:gridCol w:w="1297"/>
              <w:gridCol w:w="138"/>
            </w:tblGrid>
            <w:tr>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pPr>
                    <w:widowControl/>
                    <w:jc w:val="left"/>
                    <w:rPr>
                      <w:rFonts w:eastAsia="华文细黑"/>
                      <w:color w:val="000000"/>
                      <w:kern w:val="0"/>
                      <w:sz w:val="20"/>
                    </w:rPr>
                  </w:pPr>
                </w:p>
              </w:tc>
              <w:tc>
                <w:tcPr>
                  <w:tcW w:w="1297" w:type="dxa"/>
                  <w:tcBorders>
                    <w:bottom w:val="single" w:color="000000" w:sz="4" w:space="0"/>
                  </w:tcBorders>
                  <w:noWrap w:val="0"/>
                  <w:vAlign w:val="center"/>
                </w:tcPr>
                <w:p>
                  <w:pPr>
                    <w:widowControl/>
                    <w:jc w:val="right"/>
                    <w:rPr>
                      <w:rFonts w:eastAsia="华文细黑"/>
                      <w:color w:val="000000"/>
                      <w:kern w:val="0"/>
                      <w:sz w:val="20"/>
                    </w:rPr>
                  </w:pPr>
                </w:p>
              </w:tc>
              <w:tc>
                <w:tcPr>
                  <w:tcW w:w="1296" w:type="dxa"/>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907" w:hRule="atLeast"/>
              </w:trPr>
              <w:tc>
                <w:tcPr>
                  <w:tcW w:w="214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56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224.65</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110.52</w:t>
                  </w:r>
                </w:p>
              </w:tc>
              <w:tc>
                <w:tcPr>
                  <w:tcW w:w="10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114.13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224.65</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110.52</w:t>
                  </w:r>
                </w:p>
              </w:tc>
              <w:tc>
                <w:tcPr>
                  <w:tcW w:w="10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114.13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110.52</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110.52</w:t>
                  </w:r>
                </w:p>
              </w:tc>
              <w:tc>
                <w:tcPr>
                  <w:tcW w:w="10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eastAsia="宋体"/>
                      <w:color w:val="000000"/>
                      <w:kern w:val="0"/>
                      <w:sz w:val="20"/>
                    </w:rPr>
                  </w:pPr>
                  <w:r>
                    <w:rPr>
                      <w:rFonts w:hint="eastAsia" w:eastAsia="宋体"/>
                      <w:color w:val="000000"/>
                      <w:kern w:val="0"/>
                      <w:sz w:val="20"/>
                      <w:lang w:val="en-US"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37.47</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37.47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eastAsia="宋体"/>
                      <w:color w:val="000000"/>
                      <w:kern w:val="0"/>
                      <w:sz w:val="20"/>
                      <w:lang w:val="en-US" w:eastAsia="zh-CN"/>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76.66</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0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76.66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hint="eastAsia" w:eastAsia="宋体"/>
                      <w:color w:val="000000"/>
                      <w:kern w:val="0"/>
                      <w:sz w:val="20"/>
                      <w:lang w:val="en-US" w:eastAsia="zh-CN"/>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37.52</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37.52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37.52</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37.52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18.51</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18.51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12.67</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12.67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6.34</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6.34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hint="eastAsia" w:eastAsia="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12.91</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12.91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12.91</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12.91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12.91</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12.91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hint="eastAsia" w:eastAsia="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11.23</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11.23</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11.23</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Theme="minorEastAsia" w:hAnsiTheme="minorEastAsia" w:eastAsiaTheme="minorEastAsia" w:cstheme="minorEastAsia"/>
                      <w:color w:val="000000"/>
                      <w:kern w:val="0"/>
                      <w:sz w:val="20"/>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华文细黑"/>
                      <w:color w:val="000000"/>
                      <w:kern w:val="0"/>
                      <w:sz w:val="20"/>
                      <w:lang w:eastAsia="zh-CN"/>
                    </w:rPr>
                    <w:t>合计</w:t>
                  </w:r>
                </w:p>
              </w:tc>
              <w:tc>
                <w:tcPr>
                  <w:tcW w:w="12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286.31</w:t>
                  </w:r>
                </w:p>
              </w:tc>
              <w:tc>
                <w:tcPr>
                  <w:tcW w:w="13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172.18</w:t>
                  </w:r>
                </w:p>
              </w:tc>
              <w:tc>
                <w:tcPr>
                  <w:tcW w:w="10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eastAsia="zh-CN"/>
                    </w:rPr>
                    <w:t>114.13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r>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rPr>
                    <w:t>260.00</w:t>
                  </w:r>
                </w:p>
              </w:tc>
              <w:tc>
                <w:tcPr>
                  <w:tcW w:w="112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rPr>
                    <w:t>260.00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pacing w:beforeLines="0" w:afterLines="0"/>
                    <w:jc w:val="right"/>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260.00</w:t>
                  </w:r>
                </w:p>
              </w:tc>
              <w:tc>
                <w:tcPr>
                  <w:tcW w:w="114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pacing w:beforeLines="0" w:afterLines="0"/>
                    <w:jc w:val="right"/>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260.00</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szCs w:val="22"/>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rPr>
                    <w:t>260.00</w:t>
                  </w:r>
                </w:p>
              </w:tc>
              <w:tc>
                <w:tcPr>
                  <w:tcW w:w="112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jc w:val="right"/>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rPr>
                    <w:t>260.00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hint="eastAsia" w:eastAsia="宋体"/>
                      <w:color w:val="000000"/>
                      <w:kern w:val="0"/>
                      <w:sz w:val="20"/>
                      <w:lang w:eastAsia="zh-CN"/>
                    </w:rPr>
                    <w:t>（</w:t>
                  </w: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pacing w:beforeLines="0" w:afterLines="0"/>
                    <w:jc w:val="right"/>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198.34</w:t>
                  </w:r>
                </w:p>
              </w:tc>
              <w:tc>
                <w:tcPr>
                  <w:tcW w:w="114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pacing w:beforeLines="0" w:afterLines="0"/>
                    <w:jc w:val="right"/>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198.34</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（二）社会保障和就业支出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37.52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37.52</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heme="minorEastAsia" w:hAnsiTheme="minorEastAsia" w:eastAsiaTheme="minorEastAsia" w:cstheme="minorEastAsia"/>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Theme="minorEastAsia" w:hAnsiTheme="minorEastAsia" w:eastAsiaTheme="minorEastAsia" w:cs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Theme="minorEastAsia" w:hAnsiTheme="minorEastAsia" w:eastAsiaTheme="minorEastAsia" w:cs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Theme="minorEastAsia" w:hAnsiTheme="minorEastAsia" w:eastAsiaTheme="minorEastAsia" w:cs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Theme="minorEastAsia" w:hAnsiTheme="minorEastAsia" w:eastAsiaTheme="minorEastAsia" w:cs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Theme="minorEastAsia" w:hAnsiTheme="minorEastAsia" w:eastAsiaTheme="minorEastAsia" w:cs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Theme="minorEastAsia" w:hAnsiTheme="minorEastAsia" w:eastAsiaTheme="minorEastAsia" w:cs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Theme="minorEastAsia" w:hAnsiTheme="minorEastAsia" w:eastAsiaTheme="minorEastAsia" w:cs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Theme="minorEastAsia" w:hAnsiTheme="minorEastAsia" w:eastAsiaTheme="minorEastAsia" w:cstheme="minorEastAsia"/>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hint="eastAsia" w:asciiTheme="minorEastAsia" w:hAnsiTheme="minorEastAsia" w:eastAsiaTheme="minorEastAsia" w:cstheme="minorEastAsia"/>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Theme="minorEastAsia" w:hAnsiTheme="minorEastAsia" w:eastAsiaTheme="minorEastAsia" w:cstheme="minorEastAsia"/>
                      <w:i w:val="0"/>
                      <w:iCs w:val="0"/>
                      <w:color w:val="000000"/>
                      <w:kern w:val="0"/>
                      <w:sz w:val="20"/>
                      <w:szCs w:val="20"/>
                      <w:u w:val="none"/>
                      <w:lang w:val="en-US" w:eastAsia="zh-CN" w:bidi="ar"/>
                    </w:rPr>
                    <w:t>260.00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Theme="minorEastAsia" w:hAnsiTheme="minorEastAsia" w:eastAsiaTheme="minorEastAsia" w:cstheme="minorEastAsia"/>
                      <w:i w:val="0"/>
                      <w:iCs w:val="0"/>
                      <w:color w:val="000000"/>
                      <w:kern w:val="0"/>
                      <w:sz w:val="20"/>
                      <w:szCs w:val="20"/>
                      <w:u w:val="none"/>
                      <w:lang w:val="en-US" w:eastAsia="zh-CN" w:bidi="ar"/>
                    </w:rPr>
                    <w:t>260.00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260.00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260.00</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198.34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85.40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25.12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87.82</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198.34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85.40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25.12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87.82</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85.40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25.12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20.68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20.68</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67.14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67.14</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Theme="minorEastAsia" w:hAnsiTheme="minorEastAsia" w:eastAsiaTheme="minorEastAsia" w:cstheme="minorEastAsia"/>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default" w:ascii="华文细黑" w:hAnsi="华文细黑" w:eastAsia="华文细黑" w:cs="华文细黑"/>
                      <w:i w:val="0"/>
                      <w:iCs w:val="0"/>
                      <w:color w:val="000000"/>
                      <w:kern w:val="0"/>
                      <w:sz w:val="16"/>
                      <w:szCs w:val="16"/>
                      <w:u w:val="none"/>
                      <w:lang w:val="en-US" w:eastAsia="zh-CN" w:bidi="ar"/>
                    </w:rPr>
                  </w:pPr>
                  <w:r>
                    <w:rPr>
                      <w:rFonts w:hint="eastAsia" w:eastAsia="华文细黑"/>
                      <w:color w:val="000000"/>
                      <w:kern w:val="0"/>
                      <w:sz w:val="20"/>
                      <w:lang w:val="en-US"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260.00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172.18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147.06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25.12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87.82</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128.14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128.14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24.79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24.79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20.41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20.41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6.34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4.57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4.57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8.22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其他社会保障缴费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0.12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0.12</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11.23</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1.92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1.92</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24.36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24.36</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3.41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3.41</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0.24</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2.66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2.66</w:t>
            </w:r>
          </w:p>
        </w:tc>
      </w:tr>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预算续</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会议费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0.30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1.23</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6.06</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7.29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7.29</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18.92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18.92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18.51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18.51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0.41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0.41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0.76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0.76</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0.76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0.76</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0"/>
                <w:szCs w:val="20"/>
              </w:rPr>
            </w:pPr>
            <w:r>
              <w:rPr>
                <w:rFonts w:eastAsia="华文细黑"/>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172.18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147.06</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25.12</w:t>
            </w:r>
          </w:p>
        </w:tc>
      </w:tr>
    </w:tbl>
    <w:p>
      <w:pPr>
        <w:rPr>
          <w:rFonts w:hAnsi="楷体" w:eastAsia="楷体"/>
        </w:rPr>
      </w:pPr>
    </w:p>
    <w:p>
      <w:pPr>
        <w:rPr>
          <w:rFonts w:hAnsi="楷体"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spacing w:line="700" w:lineRule="exact"/>
              <w:jc w:val="both"/>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说明：本单位2026年度一般公共预算“三公”经费预算，故本表无数据。</w:t>
            </w:r>
          </w:p>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jc w:val="both"/>
        <w:rPr>
          <w:rFonts w:hint="eastAsia" w:ascii="仿宋_GB2312" w:hAnsi="仿宋_GB2312" w:eastAsia="仿宋_GB2312" w:cs="仿宋_GB2312"/>
          <w:kern w:val="0"/>
          <w:sz w:val="28"/>
          <w:szCs w:val="28"/>
          <w:lang w:val="en-US" w:eastAsia="zh-CN"/>
        </w:rPr>
      </w:pPr>
      <w:r>
        <w:rPr>
          <w:rFonts w:hint="eastAsia" w:ascii="楷体_GB2312" w:hAnsi="楷体_GB2312" w:eastAsia="楷体_GB2312" w:cs="楷体_GB2312"/>
          <w:kern w:val="0"/>
          <w:sz w:val="32"/>
          <w:szCs w:val="32"/>
          <w:lang w:eastAsia="zh-CN"/>
        </w:rPr>
        <w:t>说明：本单位</w:t>
      </w:r>
      <w:r>
        <w:rPr>
          <w:rFonts w:hint="eastAsia" w:ascii="楷体_GB2312" w:hAnsi="楷体_GB2312" w:eastAsia="楷体_GB2312" w:cs="楷体_GB2312"/>
          <w:kern w:val="0"/>
          <w:sz w:val="32"/>
          <w:szCs w:val="32"/>
          <w:lang w:val="en-US" w:eastAsia="zh-CN"/>
        </w:rPr>
        <w:t>2026年度无政府性基金预算，故本表无数据。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hint="eastAsia" w:eastAsia="楷体"/>
          <w:kern w:val="0"/>
          <w:szCs w:val="32"/>
          <w:lang w:eastAsia="zh-CN"/>
        </w:rPr>
      </w:pPr>
    </w:p>
    <w:p>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说明：本单位</w:t>
      </w:r>
      <w:r>
        <w:rPr>
          <w:rFonts w:hint="eastAsia" w:ascii="楷体_GB2312" w:hAnsi="楷体_GB2312" w:eastAsia="楷体_GB2312" w:cs="楷体_GB2312"/>
          <w:kern w:val="0"/>
          <w:sz w:val="32"/>
          <w:szCs w:val="32"/>
          <w:lang w:val="en-US" w:eastAsia="zh-CN"/>
        </w:rPr>
        <w:t>2026年度无国有资本经营预算，故本表无数据。</w:t>
      </w: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00" w:type="pct"/>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700"/>
              <w:gridCol w:w="279"/>
              <w:gridCol w:w="528"/>
              <w:gridCol w:w="859"/>
              <w:gridCol w:w="719"/>
              <w:gridCol w:w="719"/>
              <w:gridCol w:w="642"/>
              <w:gridCol w:w="468"/>
              <w:gridCol w:w="416"/>
              <w:gridCol w:w="616"/>
              <w:gridCol w:w="416"/>
              <w:gridCol w:w="429"/>
              <w:gridCol w:w="416"/>
              <w:gridCol w:w="416"/>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82"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979"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528"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59"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719"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861"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093"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82"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07"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59"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19"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861" w:type="dxa"/>
                  <w:gridSpan w:val="5"/>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93"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82"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00"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07"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59"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71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829"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16" w:type="dxa"/>
                  <w:vMerge w:val="restart"/>
                  <w:noWrap w:val="0"/>
                  <w:vAlign w:val="center"/>
                </w:tcPr>
                <w:p>
                  <w:pPr>
                    <w:autoSpaceDN w:val="0"/>
                    <w:spacing w:line="240" w:lineRule="auto"/>
                    <w:jc w:val="both"/>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16"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61"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32"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82"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00"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07"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5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1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19"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642"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68"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16"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616"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416"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9"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6"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6"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16"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8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部门特定目标类项目</w:t>
                  </w:r>
                </w:p>
              </w:tc>
              <w:tc>
                <w:tcPr>
                  <w:tcW w:w="700" w:type="dxa"/>
                  <w:noWrap w:val="0"/>
                  <w:vAlign w:val="center"/>
                </w:tcPr>
                <w:p>
                  <w:pPr>
                    <w:spacing w:line="700" w:lineRule="exact"/>
                    <w:jc w:val="center"/>
                    <w:rPr>
                      <w:rFonts w:hint="eastAsia" w:ascii="宋体" w:hAnsi="宋体" w:eastAsia="宋体" w:cs="宋体"/>
                      <w:kern w:val="0"/>
                      <w:szCs w:val="32"/>
                    </w:rPr>
                  </w:pPr>
                </w:p>
              </w:tc>
              <w:tc>
                <w:tcPr>
                  <w:tcW w:w="807" w:type="dxa"/>
                  <w:gridSpan w:val="2"/>
                  <w:noWrap w:val="0"/>
                  <w:vAlign w:val="center"/>
                </w:tcPr>
                <w:p>
                  <w:pPr>
                    <w:spacing w:line="700" w:lineRule="exact"/>
                    <w:jc w:val="center"/>
                    <w:rPr>
                      <w:rFonts w:hint="eastAsia" w:ascii="宋体" w:hAnsi="宋体" w:eastAsia="宋体" w:cs="宋体"/>
                      <w:kern w:val="0"/>
                      <w:szCs w:val="32"/>
                    </w:rPr>
                  </w:pPr>
                </w:p>
              </w:tc>
              <w:tc>
                <w:tcPr>
                  <w:tcW w:w="859" w:type="dxa"/>
                  <w:noWrap w:val="0"/>
                  <w:vAlign w:val="center"/>
                </w:tcPr>
                <w:p>
                  <w:pPr>
                    <w:spacing w:line="700" w:lineRule="exact"/>
                    <w:jc w:val="center"/>
                    <w:rPr>
                      <w:rFonts w:hint="eastAsia" w:ascii="宋体" w:hAnsi="宋体" w:eastAsia="宋体" w:cs="宋体"/>
                      <w:kern w:val="0"/>
                      <w:szCs w:val="32"/>
                    </w:rPr>
                  </w:pPr>
                </w:p>
              </w:tc>
              <w:tc>
                <w:tcPr>
                  <w:tcW w:w="719" w:type="dxa"/>
                  <w:noWrap w:val="0"/>
                  <w:vAlign w:val="center"/>
                </w:tcPr>
                <w:p>
                  <w:pPr>
                    <w:spacing w:line="700" w:lineRule="exact"/>
                    <w:jc w:val="right"/>
                    <w:rPr>
                      <w:rFonts w:hint="eastAsia" w:ascii="宋体" w:hAnsi="宋体" w:eastAsia="宋体" w:cs="宋体"/>
                      <w:kern w:val="0"/>
                      <w:szCs w:val="32"/>
                    </w:rPr>
                  </w:pPr>
                </w:p>
              </w:tc>
              <w:tc>
                <w:tcPr>
                  <w:tcW w:w="719" w:type="dxa"/>
                  <w:noWrap w:val="0"/>
                  <w:vAlign w:val="center"/>
                </w:tcPr>
                <w:p>
                  <w:pPr>
                    <w:spacing w:line="700" w:lineRule="exact"/>
                    <w:jc w:val="right"/>
                    <w:rPr>
                      <w:rFonts w:hint="eastAsia" w:ascii="宋体" w:hAnsi="宋体" w:eastAsia="宋体" w:cs="宋体"/>
                      <w:kern w:val="0"/>
                      <w:szCs w:val="32"/>
                    </w:rPr>
                  </w:pPr>
                </w:p>
              </w:tc>
              <w:tc>
                <w:tcPr>
                  <w:tcW w:w="642" w:type="dxa"/>
                  <w:noWrap w:val="0"/>
                  <w:vAlign w:val="center"/>
                </w:tcPr>
                <w:p>
                  <w:pPr>
                    <w:spacing w:line="700" w:lineRule="exact"/>
                    <w:jc w:val="right"/>
                    <w:rPr>
                      <w:rFonts w:hint="eastAsia" w:ascii="宋体" w:hAnsi="宋体" w:eastAsia="宋体" w:cs="宋体"/>
                      <w:kern w:val="0"/>
                      <w:szCs w:val="32"/>
                    </w:rPr>
                  </w:pPr>
                </w:p>
              </w:tc>
              <w:tc>
                <w:tcPr>
                  <w:tcW w:w="468" w:type="dxa"/>
                  <w:noWrap w:val="0"/>
                  <w:vAlign w:val="center"/>
                </w:tcPr>
                <w:p>
                  <w:pPr>
                    <w:spacing w:line="700" w:lineRule="exact"/>
                    <w:jc w:val="right"/>
                    <w:rPr>
                      <w:rFonts w:ascii="Calibri" w:hAnsi="Calibri" w:eastAsia="楷体"/>
                      <w:kern w:val="0"/>
                      <w:szCs w:val="32"/>
                    </w:rPr>
                  </w:pPr>
                </w:p>
              </w:tc>
              <w:tc>
                <w:tcPr>
                  <w:tcW w:w="416" w:type="dxa"/>
                  <w:noWrap w:val="0"/>
                  <w:vAlign w:val="center"/>
                </w:tcPr>
                <w:p>
                  <w:pPr>
                    <w:spacing w:line="700" w:lineRule="exact"/>
                    <w:jc w:val="right"/>
                    <w:rPr>
                      <w:rFonts w:ascii="Calibri" w:hAnsi="Calibri" w:eastAsia="楷体"/>
                      <w:kern w:val="0"/>
                      <w:szCs w:val="32"/>
                    </w:rPr>
                  </w:pPr>
                </w:p>
              </w:tc>
              <w:tc>
                <w:tcPr>
                  <w:tcW w:w="616" w:type="dxa"/>
                  <w:noWrap w:val="0"/>
                  <w:vAlign w:val="center"/>
                </w:tcPr>
                <w:p>
                  <w:pPr>
                    <w:spacing w:line="700" w:lineRule="exact"/>
                    <w:jc w:val="right"/>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29"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82" w:type="dxa"/>
                  <w:noWrap w:val="0"/>
                  <w:vAlign w:val="center"/>
                </w:tcPr>
                <w:p>
                  <w:pPr>
                    <w:spacing w:line="700" w:lineRule="exact"/>
                    <w:jc w:val="center"/>
                    <w:rPr>
                      <w:rFonts w:hint="eastAsia" w:ascii="宋体" w:hAnsi="宋体" w:eastAsia="宋体" w:cs="宋体"/>
                      <w:kern w:val="0"/>
                      <w:szCs w:val="32"/>
                    </w:rPr>
                  </w:pPr>
                </w:p>
              </w:tc>
              <w:tc>
                <w:tcPr>
                  <w:tcW w:w="70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专项统计业务</w:t>
                  </w:r>
                </w:p>
              </w:tc>
              <w:tc>
                <w:tcPr>
                  <w:tcW w:w="807" w:type="dxa"/>
                  <w:gridSpan w:val="2"/>
                  <w:noWrap w:val="0"/>
                  <w:vAlign w:val="center"/>
                </w:tcPr>
                <w:p>
                  <w:pPr>
                    <w:spacing w:line="700" w:lineRule="exact"/>
                    <w:jc w:val="center"/>
                    <w:rPr>
                      <w:rFonts w:hint="eastAsia" w:ascii="宋体" w:hAnsi="宋体" w:eastAsia="宋体" w:cs="宋体"/>
                      <w:kern w:val="0"/>
                      <w:szCs w:val="32"/>
                    </w:rPr>
                  </w:pPr>
                </w:p>
              </w:tc>
              <w:tc>
                <w:tcPr>
                  <w:tcW w:w="859" w:type="dxa"/>
                  <w:noWrap w:val="0"/>
                  <w:vAlign w:val="center"/>
                </w:tcPr>
                <w:p>
                  <w:pPr>
                    <w:spacing w:line="700" w:lineRule="exact"/>
                    <w:jc w:val="center"/>
                    <w:rPr>
                      <w:rFonts w:hint="eastAsia" w:ascii="宋体" w:hAnsi="宋体" w:eastAsia="宋体" w:cs="宋体"/>
                      <w:kern w:val="0"/>
                      <w:szCs w:val="32"/>
                    </w:rPr>
                  </w:pPr>
                </w:p>
              </w:tc>
              <w:tc>
                <w:tcPr>
                  <w:tcW w:w="719" w:type="dxa"/>
                  <w:noWrap w:val="0"/>
                  <w:vAlign w:val="center"/>
                </w:tcPr>
                <w:p>
                  <w:pPr>
                    <w:keepNext w:val="0"/>
                    <w:keepLines w:val="0"/>
                    <w:widowControl/>
                    <w:suppressLineNumbers w:val="0"/>
                    <w:jc w:val="right"/>
                    <w:textAlignment w:val="center"/>
                    <w:rPr>
                      <w:rFonts w:hint="default" w:ascii="宋体" w:hAnsi="宋体" w:eastAsia="宋体" w:cs="宋体"/>
                      <w:kern w:val="0"/>
                      <w:szCs w:val="32"/>
                      <w:lang w:val="en-US"/>
                    </w:rPr>
                  </w:pPr>
                  <w:r>
                    <w:rPr>
                      <w:rFonts w:hint="eastAsia" w:ascii="宋体" w:hAnsi="宋体" w:eastAsia="宋体" w:cs="宋体"/>
                      <w:i w:val="0"/>
                      <w:iCs w:val="0"/>
                      <w:color w:val="000000"/>
                      <w:kern w:val="0"/>
                      <w:sz w:val="16"/>
                      <w:szCs w:val="16"/>
                      <w:u w:val="none"/>
                      <w:lang w:val="en-US" w:eastAsia="zh-CN" w:bidi="ar"/>
                    </w:rPr>
                    <w:t>37.47</w:t>
                  </w:r>
                </w:p>
              </w:tc>
              <w:tc>
                <w:tcPr>
                  <w:tcW w:w="719" w:type="dxa"/>
                  <w:noWrap w:val="0"/>
                  <w:vAlign w:val="center"/>
                </w:tcPr>
                <w:p>
                  <w:pPr>
                    <w:keepNext w:val="0"/>
                    <w:keepLines w:val="0"/>
                    <w:widowControl/>
                    <w:suppressLineNumbers w:val="0"/>
                    <w:jc w:val="right"/>
                    <w:textAlignment w:val="center"/>
                    <w:rPr>
                      <w:rFonts w:hint="default" w:ascii="宋体" w:hAnsi="宋体" w:eastAsia="宋体" w:cs="宋体"/>
                      <w:kern w:val="0"/>
                      <w:szCs w:val="32"/>
                      <w:lang w:val="en-US"/>
                    </w:rPr>
                  </w:pPr>
                  <w:r>
                    <w:rPr>
                      <w:rFonts w:hint="eastAsia" w:ascii="宋体" w:hAnsi="宋体" w:eastAsia="宋体" w:cs="宋体"/>
                      <w:i w:val="0"/>
                      <w:iCs w:val="0"/>
                      <w:color w:val="000000"/>
                      <w:kern w:val="0"/>
                      <w:sz w:val="16"/>
                      <w:szCs w:val="16"/>
                      <w:u w:val="none"/>
                      <w:lang w:val="en-US" w:eastAsia="zh-CN" w:bidi="ar"/>
                    </w:rPr>
                    <w:t>20.68</w:t>
                  </w:r>
                </w:p>
              </w:tc>
              <w:tc>
                <w:tcPr>
                  <w:tcW w:w="642" w:type="dxa"/>
                  <w:noWrap w:val="0"/>
                  <w:vAlign w:val="center"/>
                </w:tcPr>
                <w:p>
                  <w:pPr>
                    <w:keepNext w:val="0"/>
                    <w:keepLines w:val="0"/>
                    <w:widowControl/>
                    <w:suppressLineNumbers w:val="0"/>
                    <w:jc w:val="right"/>
                    <w:textAlignment w:val="center"/>
                    <w:rPr>
                      <w:rFonts w:hint="eastAsia" w:ascii="宋体" w:hAnsi="宋体" w:eastAsia="宋体" w:cs="宋体"/>
                      <w:kern w:val="0"/>
                      <w:szCs w:val="32"/>
                    </w:rPr>
                  </w:pPr>
                </w:p>
              </w:tc>
              <w:tc>
                <w:tcPr>
                  <w:tcW w:w="468" w:type="dxa"/>
                  <w:noWrap w:val="0"/>
                  <w:vAlign w:val="center"/>
                </w:tcPr>
                <w:p>
                  <w:pPr>
                    <w:spacing w:line="700" w:lineRule="exact"/>
                    <w:jc w:val="right"/>
                    <w:rPr>
                      <w:rFonts w:ascii="Calibri" w:hAnsi="Calibri" w:eastAsia="楷体"/>
                      <w:kern w:val="0"/>
                      <w:szCs w:val="32"/>
                    </w:rPr>
                  </w:pPr>
                </w:p>
              </w:tc>
              <w:tc>
                <w:tcPr>
                  <w:tcW w:w="416" w:type="dxa"/>
                  <w:noWrap w:val="0"/>
                  <w:vAlign w:val="center"/>
                </w:tcPr>
                <w:p>
                  <w:pPr>
                    <w:spacing w:line="700" w:lineRule="exact"/>
                    <w:jc w:val="right"/>
                    <w:rPr>
                      <w:rFonts w:ascii="Calibri" w:hAnsi="Calibri" w:eastAsia="楷体"/>
                      <w:kern w:val="0"/>
                      <w:szCs w:val="32"/>
                    </w:rPr>
                  </w:pPr>
                </w:p>
              </w:tc>
              <w:tc>
                <w:tcPr>
                  <w:tcW w:w="616" w:type="dxa"/>
                  <w:noWrap w:val="0"/>
                  <w:vAlign w:val="center"/>
                </w:tcPr>
                <w:p>
                  <w:pPr>
                    <w:keepNext w:val="0"/>
                    <w:keepLines w:val="0"/>
                    <w:widowControl/>
                    <w:suppressLineNumbers w:val="0"/>
                    <w:jc w:val="right"/>
                    <w:textAlignment w:val="center"/>
                    <w:rPr>
                      <w:rFonts w:hint="default" w:ascii="Calibri" w:hAnsi="Calibri" w:eastAsia="楷体"/>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16.79</w:t>
                  </w:r>
                </w:p>
              </w:tc>
              <w:tc>
                <w:tcPr>
                  <w:tcW w:w="416" w:type="dxa"/>
                  <w:noWrap w:val="0"/>
                  <w:vAlign w:val="center"/>
                </w:tcPr>
                <w:p>
                  <w:pPr>
                    <w:spacing w:line="700" w:lineRule="exact"/>
                    <w:jc w:val="center"/>
                    <w:rPr>
                      <w:rFonts w:ascii="Calibri" w:hAnsi="Calibri" w:eastAsia="楷体"/>
                      <w:kern w:val="0"/>
                      <w:szCs w:val="32"/>
                    </w:rPr>
                  </w:pPr>
                </w:p>
              </w:tc>
              <w:tc>
                <w:tcPr>
                  <w:tcW w:w="429"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82" w:type="dxa"/>
                  <w:noWrap w:val="0"/>
                  <w:vAlign w:val="center"/>
                </w:tcPr>
                <w:p>
                  <w:pPr>
                    <w:spacing w:line="700" w:lineRule="exact"/>
                    <w:jc w:val="center"/>
                    <w:rPr>
                      <w:rFonts w:hint="eastAsia" w:ascii="宋体" w:hAnsi="宋体" w:eastAsia="宋体" w:cs="宋体"/>
                      <w:kern w:val="0"/>
                      <w:szCs w:val="32"/>
                    </w:rPr>
                  </w:pPr>
                </w:p>
              </w:tc>
              <w:tc>
                <w:tcPr>
                  <w:tcW w:w="700" w:type="dxa"/>
                  <w:noWrap w:val="0"/>
                  <w:vAlign w:val="center"/>
                </w:tcPr>
                <w:p>
                  <w:pPr>
                    <w:spacing w:line="700" w:lineRule="exact"/>
                    <w:jc w:val="center"/>
                    <w:rPr>
                      <w:rFonts w:hint="eastAsia" w:ascii="宋体" w:hAnsi="宋体" w:eastAsia="宋体" w:cs="宋体"/>
                      <w:kern w:val="0"/>
                      <w:szCs w:val="32"/>
                    </w:rPr>
                  </w:pPr>
                </w:p>
              </w:tc>
              <w:tc>
                <w:tcPr>
                  <w:tcW w:w="807" w:type="dxa"/>
                  <w:gridSpan w:val="2"/>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综合统计业务费</w:t>
                  </w:r>
                </w:p>
              </w:tc>
              <w:tc>
                <w:tcPr>
                  <w:tcW w:w="85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公主岭市统计局</w:t>
                  </w:r>
                </w:p>
              </w:tc>
              <w:tc>
                <w:tcPr>
                  <w:tcW w:w="719" w:type="dxa"/>
                  <w:shd w:val="clear" w:color="auto"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37.47</w:t>
                  </w:r>
                </w:p>
              </w:tc>
              <w:tc>
                <w:tcPr>
                  <w:tcW w:w="719" w:type="dxa"/>
                  <w:noWrap w:val="0"/>
                  <w:vAlign w:val="center"/>
                </w:tcPr>
                <w:p>
                  <w:pPr>
                    <w:keepNext w:val="0"/>
                    <w:keepLines w:val="0"/>
                    <w:widowControl/>
                    <w:suppressLineNumbers w:val="0"/>
                    <w:jc w:val="right"/>
                    <w:textAlignment w:val="center"/>
                    <w:rPr>
                      <w:rFonts w:hint="default" w:ascii="宋体" w:hAnsi="宋体" w:eastAsia="宋体" w:cs="宋体"/>
                      <w:kern w:val="0"/>
                      <w:szCs w:val="32"/>
                      <w:lang w:val="en-US"/>
                    </w:rPr>
                  </w:pPr>
                  <w:r>
                    <w:rPr>
                      <w:rFonts w:hint="eastAsia" w:ascii="宋体" w:hAnsi="宋体" w:eastAsia="宋体" w:cs="宋体"/>
                      <w:i w:val="0"/>
                      <w:iCs w:val="0"/>
                      <w:color w:val="000000"/>
                      <w:kern w:val="0"/>
                      <w:sz w:val="16"/>
                      <w:szCs w:val="16"/>
                      <w:u w:val="none"/>
                      <w:lang w:val="en-US" w:eastAsia="zh-CN" w:bidi="ar"/>
                    </w:rPr>
                    <w:t>20.68</w:t>
                  </w:r>
                </w:p>
              </w:tc>
              <w:tc>
                <w:tcPr>
                  <w:tcW w:w="642" w:type="dxa"/>
                  <w:noWrap w:val="0"/>
                  <w:vAlign w:val="center"/>
                </w:tcPr>
                <w:p>
                  <w:pPr>
                    <w:keepNext w:val="0"/>
                    <w:keepLines w:val="0"/>
                    <w:widowControl/>
                    <w:suppressLineNumbers w:val="0"/>
                    <w:jc w:val="right"/>
                    <w:textAlignment w:val="center"/>
                    <w:rPr>
                      <w:rFonts w:hint="eastAsia" w:ascii="宋体" w:hAnsi="宋体" w:eastAsia="宋体" w:cs="宋体"/>
                      <w:kern w:val="0"/>
                      <w:szCs w:val="32"/>
                    </w:rPr>
                  </w:pPr>
                </w:p>
              </w:tc>
              <w:tc>
                <w:tcPr>
                  <w:tcW w:w="468" w:type="dxa"/>
                  <w:noWrap w:val="0"/>
                  <w:vAlign w:val="center"/>
                </w:tcPr>
                <w:p>
                  <w:pPr>
                    <w:spacing w:line="700" w:lineRule="exact"/>
                    <w:jc w:val="right"/>
                    <w:rPr>
                      <w:rFonts w:ascii="Calibri" w:hAnsi="Calibri" w:eastAsia="楷体"/>
                      <w:kern w:val="0"/>
                      <w:szCs w:val="32"/>
                    </w:rPr>
                  </w:pPr>
                </w:p>
              </w:tc>
              <w:tc>
                <w:tcPr>
                  <w:tcW w:w="416" w:type="dxa"/>
                  <w:noWrap w:val="0"/>
                  <w:vAlign w:val="center"/>
                </w:tcPr>
                <w:p>
                  <w:pPr>
                    <w:spacing w:line="700" w:lineRule="exact"/>
                    <w:jc w:val="right"/>
                    <w:rPr>
                      <w:rFonts w:ascii="Calibri" w:hAnsi="Calibri" w:eastAsia="楷体"/>
                      <w:kern w:val="0"/>
                      <w:szCs w:val="32"/>
                    </w:rPr>
                  </w:pPr>
                </w:p>
              </w:tc>
              <w:tc>
                <w:tcPr>
                  <w:tcW w:w="616" w:type="dxa"/>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16.79</w:t>
                  </w:r>
                </w:p>
              </w:tc>
              <w:tc>
                <w:tcPr>
                  <w:tcW w:w="416" w:type="dxa"/>
                  <w:noWrap w:val="0"/>
                  <w:vAlign w:val="center"/>
                </w:tcPr>
                <w:p>
                  <w:pPr>
                    <w:spacing w:line="700" w:lineRule="exact"/>
                    <w:jc w:val="center"/>
                    <w:rPr>
                      <w:rFonts w:ascii="Calibri" w:hAnsi="Calibri" w:eastAsia="楷体"/>
                      <w:kern w:val="0"/>
                      <w:szCs w:val="32"/>
                    </w:rPr>
                  </w:pPr>
                </w:p>
              </w:tc>
              <w:tc>
                <w:tcPr>
                  <w:tcW w:w="429"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82" w:type="dxa"/>
                  <w:noWrap w:val="0"/>
                  <w:vAlign w:val="center"/>
                </w:tcPr>
                <w:p>
                  <w:pPr>
                    <w:autoSpaceDN w:val="0"/>
                    <w:jc w:val="center"/>
                    <w:textAlignment w:val="center"/>
                    <w:rPr>
                      <w:rFonts w:hint="eastAsia" w:ascii="宋体" w:hAnsi="宋体" w:eastAsia="宋体" w:cs="宋体"/>
                      <w:kern w:val="0"/>
                      <w:szCs w:val="32"/>
                    </w:rPr>
                  </w:pPr>
                </w:p>
              </w:tc>
              <w:tc>
                <w:tcPr>
                  <w:tcW w:w="700" w:type="dxa"/>
                  <w:noWrap w:val="0"/>
                  <w:vAlign w:val="center"/>
                </w:tcPr>
                <w:p>
                  <w:pPr>
                    <w:autoSpaceDN w:val="0"/>
                    <w:jc w:val="center"/>
                    <w:textAlignment w:val="center"/>
                    <w:rPr>
                      <w:rFonts w:hint="eastAsia" w:ascii="宋体" w:hAnsi="宋体" w:eastAsia="宋体" w:cs="宋体"/>
                      <w:kern w:val="0"/>
                      <w:szCs w:val="32"/>
                    </w:rPr>
                  </w:pPr>
                  <w:r>
                    <w:rPr>
                      <w:rFonts w:hint="eastAsia" w:ascii="宋体" w:hAnsi="宋体" w:eastAsia="宋体" w:cs="宋体"/>
                      <w:kern w:val="0"/>
                      <w:sz w:val="16"/>
                      <w:szCs w:val="16"/>
                    </w:rPr>
                    <w:t>专项普查活动</w:t>
                  </w:r>
                </w:p>
              </w:tc>
              <w:tc>
                <w:tcPr>
                  <w:tcW w:w="807"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719" w:type="dxa"/>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76.66</w:t>
                  </w:r>
                </w:p>
              </w:tc>
              <w:tc>
                <w:tcPr>
                  <w:tcW w:w="719"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kern w:val="0"/>
                      <w:sz w:val="32"/>
                      <w:szCs w:val="32"/>
                      <w:lang w:val="en-US" w:eastAsia="zh-CN" w:bidi="ar-SA"/>
                    </w:rPr>
                  </w:pPr>
                  <w:r>
                    <w:rPr>
                      <w:rFonts w:hint="eastAsia" w:ascii="宋体" w:hAnsi="宋体" w:eastAsia="宋体" w:cs="宋体"/>
                      <w:i w:val="0"/>
                      <w:iCs w:val="0"/>
                      <w:color w:val="000000"/>
                      <w:kern w:val="0"/>
                      <w:sz w:val="16"/>
                      <w:szCs w:val="16"/>
                      <w:u w:val="none"/>
                      <w:lang w:val="en-US" w:eastAsia="zh-CN" w:bidi="ar"/>
                    </w:rPr>
                    <w:t>67.14</w:t>
                  </w:r>
                </w:p>
              </w:tc>
              <w:tc>
                <w:tcPr>
                  <w:tcW w:w="642"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kern w:val="0"/>
                      <w:sz w:val="32"/>
                      <w:szCs w:val="32"/>
                      <w:lang w:val="en-US" w:eastAsia="zh-CN" w:bidi="ar-SA"/>
                    </w:rPr>
                  </w:pPr>
                </w:p>
              </w:tc>
              <w:tc>
                <w:tcPr>
                  <w:tcW w:w="468" w:type="dxa"/>
                  <w:shd w:val="clear" w:color="auto" w:fill="auto"/>
                  <w:noWrap w:val="0"/>
                  <w:vAlign w:val="center"/>
                </w:tcPr>
                <w:p>
                  <w:pPr>
                    <w:spacing w:line="700" w:lineRule="exact"/>
                    <w:jc w:val="right"/>
                    <w:rPr>
                      <w:rFonts w:ascii="Calibri" w:hAnsi="Calibri" w:eastAsia="楷体" w:cs="Times New Roman"/>
                      <w:kern w:val="0"/>
                      <w:sz w:val="32"/>
                      <w:szCs w:val="32"/>
                      <w:lang w:val="en-US" w:eastAsia="zh-CN" w:bidi="ar-SA"/>
                    </w:rPr>
                  </w:pPr>
                </w:p>
              </w:tc>
              <w:tc>
                <w:tcPr>
                  <w:tcW w:w="416" w:type="dxa"/>
                  <w:shd w:val="clear" w:color="auto" w:fill="auto"/>
                  <w:noWrap w:val="0"/>
                  <w:vAlign w:val="center"/>
                </w:tcPr>
                <w:p>
                  <w:pPr>
                    <w:spacing w:line="700" w:lineRule="exact"/>
                    <w:jc w:val="right"/>
                    <w:rPr>
                      <w:rFonts w:ascii="Calibri" w:hAnsi="Calibri" w:eastAsia="楷体" w:cs="Times New Roman"/>
                      <w:kern w:val="0"/>
                      <w:sz w:val="32"/>
                      <w:szCs w:val="32"/>
                      <w:lang w:val="en-US" w:eastAsia="zh-CN" w:bidi="ar-SA"/>
                    </w:rPr>
                  </w:pPr>
                </w:p>
              </w:tc>
              <w:tc>
                <w:tcPr>
                  <w:tcW w:w="616" w:type="dxa"/>
                  <w:shd w:val="clear" w:color="auto" w:fill="auto"/>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9.52</w:t>
                  </w:r>
                </w:p>
              </w:tc>
              <w:tc>
                <w:tcPr>
                  <w:tcW w:w="416" w:type="dxa"/>
                  <w:noWrap w:val="0"/>
                  <w:vAlign w:val="center"/>
                </w:tcPr>
                <w:p>
                  <w:pPr>
                    <w:spacing w:line="700" w:lineRule="exact"/>
                    <w:jc w:val="center"/>
                    <w:rPr>
                      <w:rFonts w:ascii="Calibri" w:hAnsi="Calibri" w:eastAsia="楷体"/>
                      <w:kern w:val="0"/>
                      <w:szCs w:val="32"/>
                    </w:rPr>
                  </w:pPr>
                </w:p>
              </w:tc>
              <w:tc>
                <w:tcPr>
                  <w:tcW w:w="429"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82" w:type="dxa"/>
                  <w:noWrap w:val="0"/>
                  <w:vAlign w:val="center"/>
                </w:tcPr>
                <w:p>
                  <w:pPr>
                    <w:autoSpaceDN w:val="0"/>
                    <w:jc w:val="center"/>
                    <w:textAlignment w:val="center"/>
                    <w:rPr>
                      <w:rFonts w:hint="eastAsia" w:ascii="宋体" w:hAnsi="宋体" w:eastAsia="宋体" w:cs="宋体"/>
                      <w:kern w:val="0"/>
                      <w:szCs w:val="32"/>
                    </w:rPr>
                  </w:pPr>
                </w:p>
              </w:tc>
              <w:tc>
                <w:tcPr>
                  <w:tcW w:w="700" w:type="dxa"/>
                  <w:noWrap w:val="0"/>
                  <w:vAlign w:val="center"/>
                </w:tcPr>
                <w:p>
                  <w:pPr>
                    <w:autoSpaceDN w:val="0"/>
                    <w:jc w:val="center"/>
                    <w:textAlignment w:val="center"/>
                    <w:rPr>
                      <w:rFonts w:hint="eastAsia" w:ascii="宋体" w:hAnsi="宋体" w:eastAsia="宋体" w:cs="宋体"/>
                      <w:kern w:val="0"/>
                      <w:szCs w:val="32"/>
                    </w:rPr>
                  </w:pPr>
                </w:p>
              </w:tc>
              <w:tc>
                <w:tcPr>
                  <w:tcW w:w="807" w:type="dxa"/>
                  <w:gridSpan w:val="2"/>
                  <w:noWrap w:val="0"/>
                  <w:vAlign w:val="center"/>
                </w:tcPr>
                <w:p>
                  <w:pPr>
                    <w:keepNext w:val="0"/>
                    <w:keepLines w:val="0"/>
                    <w:widowControl/>
                    <w:suppressLineNumbers w:val="0"/>
                    <w:jc w:val="left"/>
                    <w:textAlignment w:val="center"/>
                    <w:rPr>
                      <w:rFonts w:hint="eastAsia" w:ascii="宋体" w:hAnsi="宋体" w:eastAsia="宋体" w:cs="宋体"/>
                      <w:kern w:val="0"/>
                      <w:sz w:val="16"/>
                      <w:szCs w:val="16"/>
                      <w:lang w:eastAsia="zh-CN"/>
                    </w:rPr>
                  </w:pPr>
                  <w:r>
                    <w:rPr>
                      <w:rFonts w:hint="eastAsia" w:ascii="宋体" w:hAnsi="宋体" w:eastAsia="宋体" w:cs="宋体"/>
                      <w:i w:val="0"/>
                      <w:iCs w:val="0"/>
                      <w:color w:val="000000"/>
                      <w:kern w:val="0"/>
                      <w:sz w:val="16"/>
                      <w:szCs w:val="16"/>
                      <w:u w:val="none"/>
                      <w:lang w:val="en-US" w:eastAsia="zh-CN" w:bidi="ar"/>
                    </w:rPr>
                    <w:t>大型普查综合业务费</w:t>
                  </w:r>
                </w:p>
              </w:tc>
              <w:tc>
                <w:tcPr>
                  <w:tcW w:w="859" w:type="dxa"/>
                  <w:noWrap w:val="0"/>
                  <w:vAlign w:val="center"/>
                </w:tcPr>
                <w:p>
                  <w:pPr>
                    <w:keepNext w:val="0"/>
                    <w:keepLines w:val="0"/>
                    <w:widowControl/>
                    <w:suppressLineNumbers w:val="0"/>
                    <w:jc w:val="left"/>
                    <w:textAlignment w:val="center"/>
                    <w:rPr>
                      <w:rFonts w:hint="eastAsia" w:ascii="宋体" w:hAnsi="宋体" w:eastAsia="宋体" w:cs="宋体"/>
                      <w:kern w:val="0"/>
                      <w:szCs w:val="32"/>
                    </w:rPr>
                  </w:pPr>
                  <w:r>
                    <w:rPr>
                      <w:rFonts w:hint="eastAsia" w:ascii="宋体" w:hAnsi="宋体" w:eastAsia="宋体" w:cs="宋体"/>
                      <w:i w:val="0"/>
                      <w:iCs w:val="0"/>
                      <w:color w:val="000000"/>
                      <w:kern w:val="0"/>
                      <w:sz w:val="16"/>
                      <w:szCs w:val="16"/>
                      <w:u w:val="none"/>
                      <w:lang w:val="en-US" w:eastAsia="zh-CN" w:bidi="ar"/>
                    </w:rPr>
                    <w:t>公主岭市统计局</w:t>
                  </w:r>
                </w:p>
              </w:tc>
              <w:tc>
                <w:tcPr>
                  <w:tcW w:w="719" w:type="dxa"/>
                  <w:shd w:val="clear" w:color="auto"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76.66</w:t>
                  </w:r>
                </w:p>
              </w:tc>
              <w:tc>
                <w:tcPr>
                  <w:tcW w:w="719" w:type="dxa"/>
                  <w:shd w:val="clear" w:color="auto" w:fill="auto"/>
                  <w:noWrap w:val="0"/>
                  <w:vAlign w:val="center"/>
                </w:tcPr>
                <w:p>
                  <w:pPr>
                    <w:keepNext w:val="0"/>
                    <w:keepLines w:val="0"/>
                    <w:widowControl/>
                    <w:suppressLineNumbers w:val="0"/>
                    <w:jc w:val="right"/>
                    <w:textAlignment w:val="center"/>
                    <w:rPr>
                      <w:rFonts w:hint="default" w:ascii="宋体" w:hAnsi="宋体" w:eastAsia="宋体" w:cs="宋体"/>
                      <w:kern w:val="0"/>
                      <w:sz w:val="32"/>
                      <w:szCs w:val="32"/>
                      <w:lang w:val="en-US" w:eastAsia="zh-CN" w:bidi="ar-SA"/>
                    </w:rPr>
                  </w:pPr>
                  <w:r>
                    <w:rPr>
                      <w:rFonts w:hint="eastAsia" w:ascii="宋体" w:hAnsi="宋体" w:eastAsia="宋体" w:cs="宋体"/>
                      <w:i w:val="0"/>
                      <w:iCs w:val="0"/>
                      <w:color w:val="000000"/>
                      <w:kern w:val="0"/>
                      <w:sz w:val="16"/>
                      <w:szCs w:val="16"/>
                      <w:u w:val="none"/>
                      <w:lang w:val="en-US" w:eastAsia="zh-CN" w:bidi="ar"/>
                    </w:rPr>
                    <w:t>67.14</w:t>
                  </w:r>
                </w:p>
              </w:tc>
              <w:tc>
                <w:tcPr>
                  <w:tcW w:w="642"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kern w:val="0"/>
                      <w:sz w:val="32"/>
                      <w:szCs w:val="32"/>
                      <w:lang w:val="en-US" w:eastAsia="zh-CN" w:bidi="ar-SA"/>
                    </w:rPr>
                  </w:pPr>
                </w:p>
              </w:tc>
              <w:tc>
                <w:tcPr>
                  <w:tcW w:w="468" w:type="dxa"/>
                  <w:noWrap w:val="0"/>
                  <w:vAlign w:val="center"/>
                </w:tcPr>
                <w:p>
                  <w:pPr>
                    <w:spacing w:line="700" w:lineRule="exact"/>
                    <w:jc w:val="right"/>
                    <w:rPr>
                      <w:rFonts w:ascii="Calibri" w:hAnsi="Calibri" w:eastAsia="楷体"/>
                      <w:kern w:val="0"/>
                      <w:szCs w:val="32"/>
                    </w:rPr>
                  </w:pPr>
                </w:p>
              </w:tc>
              <w:tc>
                <w:tcPr>
                  <w:tcW w:w="416" w:type="dxa"/>
                  <w:noWrap w:val="0"/>
                  <w:vAlign w:val="center"/>
                </w:tcPr>
                <w:p>
                  <w:pPr>
                    <w:spacing w:line="700" w:lineRule="exact"/>
                    <w:jc w:val="right"/>
                    <w:rPr>
                      <w:rFonts w:ascii="Calibri" w:hAnsi="Calibri" w:eastAsia="楷体"/>
                      <w:kern w:val="0"/>
                      <w:szCs w:val="32"/>
                    </w:rPr>
                  </w:pPr>
                </w:p>
              </w:tc>
              <w:tc>
                <w:tcPr>
                  <w:tcW w:w="616" w:type="dxa"/>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9.52</w:t>
                  </w:r>
                </w:p>
              </w:tc>
              <w:tc>
                <w:tcPr>
                  <w:tcW w:w="416" w:type="dxa"/>
                  <w:noWrap w:val="0"/>
                  <w:vAlign w:val="center"/>
                </w:tcPr>
                <w:p>
                  <w:pPr>
                    <w:spacing w:line="700" w:lineRule="exact"/>
                    <w:jc w:val="center"/>
                    <w:rPr>
                      <w:rFonts w:ascii="Calibri" w:hAnsi="Calibri" w:eastAsia="楷体"/>
                      <w:kern w:val="0"/>
                      <w:szCs w:val="32"/>
                    </w:rPr>
                  </w:pPr>
                </w:p>
              </w:tc>
              <w:tc>
                <w:tcPr>
                  <w:tcW w:w="429"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82"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700" w:type="dxa"/>
                  <w:noWrap w:val="0"/>
                  <w:vAlign w:val="center"/>
                </w:tcPr>
                <w:p>
                  <w:pPr>
                    <w:autoSpaceDN w:val="0"/>
                    <w:jc w:val="center"/>
                    <w:textAlignment w:val="center"/>
                    <w:rPr>
                      <w:rFonts w:hint="eastAsia" w:ascii="宋体" w:hAnsi="宋体" w:eastAsia="宋体" w:cs="宋体"/>
                      <w:kern w:val="0"/>
                      <w:szCs w:val="32"/>
                    </w:rPr>
                  </w:pPr>
                </w:p>
              </w:tc>
              <w:tc>
                <w:tcPr>
                  <w:tcW w:w="807" w:type="dxa"/>
                  <w:gridSpan w:val="2"/>
                  <w:noWrap w:val="0"/>
                  <w:vAlign w:val="center"/>
                </w:tcPr>
                <w:p>
                  <w:pPr>
                    <w:spacing w:line="700" w:lineRule="exact"/>
                    <w:jc w:val="center"/>
                    <w:rPr>
                      <w:rFonts w:hint="eastAsia" w:ascii="宋体" w:hAnsi="宋体" w:eastAsia="宋体" w:cs="宋体"/>
                      <w:kern w:val="0"/>
                      <w:szCs w:val="32"/>
                    </w:rPr>
                  </w:pPr>
                </w:p>
              </w:tc>
              <w:tc>
                <w:tcPr>
                  <w:tcW w:w="859" w:type="dxa"/>
                  <w:noWrap w:val="0"/>
                  <w:vAlign w:val="center"/>
                </w:tcPr>
                <w:p>
                  <w:pPr>
                    <w:spacing w:line="700" w:lineRule="exact"/>
                    <w:jc w:val="center"/>
                    <w:rPr>
                      <w:rFonts w:hint="eastAsia" w:ascii="宋体" w:hAnsi="宋体" w:eastAsia="宋体" w:cs="宋体"/>
                      <w:kern w:val="0"/>
                      <w:szCs w:val="32"/>
                    </w:rPr>
                  </w:pPr>
                </w:p>
              </w:tc>
              <w:tc>
                <w:tcPr>
                  <w:tcW w:w="719"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114.13</w:t>
                  </w:r>
                </w:p>
              </w:tc>
              <w:tc>
                <w:tcPr>
                  <w:tcW w:w="719"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87.82</w:t>
                  </w:r>
                </w:p>
              </w:tc>
              <w:tc>
                <w:tcPr>
                  <w:tcW w:w="642"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468" w:type="dxa"/>
                  <w:noWrap w:val="0"/>
                  <w:vAlign w:val="center"/>
                </w:tcPr>
                <w:p>
                  <w:pPr>
                    <w:spacing w:line="700" w:lineRule="exact"/>
                    <w:jc w:val="right"/>
                    <w:rPr>
                      <w:rFonts w:ascii="Calibri" w:hAnsi="Calibri" w:eastAsia="楷体"/>
                      <w:kern w:val="0"/>
                      <w:szCs w:val="32"/>
                    </w:rPr>
                  </w:pPr>
                </w:p>
              </w:tc>
              <w:tc>
                <w:tcPr>
                  <w:tcW w:w="416" w:type="dxa"/>
                  <w:noWrap w:val="0"/>
                  <w:vAlign w:val="center"/>
                </w:tcPr>
                <w:p>
                  <w:pPr>
                    <w:spacing w:line="700" w:lineRule="exact"/>
                    <w:jc w:val="right"/>
                    <w:rPr>
                      <w:rFonts w:ascii="Calibri" w:hAnsi="Calibri" w:eastAsia="楷体"/>
                      <w:kern w:val="0"/>
                      <w:szCs w:val="32"/>
                    </w:rPr>
                  </w:pPr>
                </w:p>
              </w:tc>
              <w:tc>
                <w:tcPr>
                  <w:tcW w:w="61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26.31</w:t>
                  </w:r>
                </w:p>
              </w:tc>
              <w:tc>
                <w:tcPr>
                  <w:tcW w:w="416" w:type="dxa"/>
                  <w:noWrap w:val="0"/>
                  <w:vAlign w:val="center"/>
                </w:tcPr>
                <w:p>
                  <w:pPr>
                    <w:spacing w:line="700" w:lineRule="exact"/>
                    <w:jc w:val="center"/>
                    <w:rPr>
                      <w:rFonts w:ascii="Calibri" w:hAnsi="Calibri" w:eastAsia="楷体"/>
                      <w:kern w:val="0"/>
                      <w:szCs w:val="32"/>
                    </w:rPr>
                  </w:pPr>
                </w:p>
              </w:tc>
              <w:tc>
                <w:tcPr>
                  <w:tcW w:w="429"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c>
                <w:tcPr>
                  <w:tcW w:w="416" w:type="dxa"/>
                  <w:noWrap w:val="0"/>
                  <w:vAlign w:val="center"/>
                </w:tcPr>
                <w:p>
                  <w:pPr>
                    <w:spacing w:line="700" w:lineRule="exact"/>
                    <w:jc w:val="center"/>
                    <w:rPr>
                      <w:rFonts w:ascii="Calibri" w:hAnsi="Calibri" w:eastAsia="楷体"/>
                      <w:kern w:val="0"/>
                      <w:szCs w:val="32"/>
                    </w:rPr>
                  </w:pPr>
                </w:p>
              </w:tc>
            </w:tr>
          </w:tbl>
          <w:p>
            <w:pPr>
              <w:autoSpaceDN w:val="0"/>
              <w:jc w:val="center"/>
              <w:textAlignment w:val="center"/>
              <w:rPr>
                <w:rFonts w:hint="eastAsia" w:ascii="Calibri" w:hAnsi="Calibri" w:eastAsia="华文细黑"/>
                <w:color w:val="000000"/>
                <w:sz w:val="20"/>
                <w:szCs w:val="22"/>
              </w:rPr>
            </w:pPr>
          </w:p>
        </w:tc>
      </w:tr>
    </w:tbl>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spacing w:line="700" w:lineRule="exac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说明：本单位</w:t>
      </w:r>
      <w:r>
        <w:rPr>
          <w:rFonts w:hint="eastAsia" w:ascii="楷体_GB2312" w:hAnsi="楷体_GB2312" w:eastAsia="楷体_GB2312" w:cs="楷体_GB2312"/>
          <w:kern w:val="0"/>
          <w:sz w:val="32"/>
          <w:szCs w:val="32"/>
          <w:lang w:val="en-US" w:eastAsia="zh-CN"/>
        </w:rPr>
        <w:t>2026年度财政拨款委托业务费支出预算，故本表无数据。</w:t>
      </w: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92"/>
        <w:gridCol w:w="983"/>
        <w:gridCol w:w="980"/>
        <w:gridCol w:w="778"/>
        <w:gridCol w:w="786"/>
        <w:gridCol w:w="1068"/>
        <w:gridCol w:w="875"/>
        <w:gridCol w:w="662"/>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097"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143021012公主岭市统计局</w:t>
            </w:r>
          </w:p>
        </w:tc>
        <w:tc>
          <w:tcPr>
            <w:tcW w:w="1092"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大型普查</w:t>
            </w:r>
          </w:p>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综合业务费</w:t>
            </w:r>
          </w:p>
        </w:tc>
        <w:tc>
          <w:tcPr>
            <w:tcW w:w="983"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76.66</w:t>
            </w:r>
          </w:p>
        </w:tc>
        <w:tc>
          <w:tcPr>
            <w:tcW w:w="98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根据省局、市局工作计划安排，准时、准确、全额发放所有1%人口抽样调查调查员补贴，根据工作计划执行第四次全国农业普查。</w:t>
            </w:r>
          </w:p>
        </w:tc>
        <w:tc>
          <w:tcPr>
            <w:tcW w:w="778"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w:t>
            </w:r>
          </w:p>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指标</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数量</w:t>
            </w:r>
          </w:p>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指标</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培训次数</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反映住户调查员业务培训情况。</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1次</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092"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8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86"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质量</w:t>
            </w:r>
          </w:p>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指标</w:t>
            </w:r>
          </w:p>
        </w:tc>
        <w:tc>
          <w:tcPr>
            <w:tcW w:w="1068"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“两员”劳务费发放率</w:t>
            </w:r>
          </w:p>
        </w:tc>
        <w:tc>
          <w:tcPr>
            <w:tcW w:w="875" w:type="dxa"/>
            <w:tcBorders>
              <w:top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反映普查员及普查指导员劳务费发放率</w:t>
            </w:r>
            <w:r>
              <w:rPr>
                <w:rFonts w:hint="eastAsia" w:ascii="华文细黑" w:hAnsi="华文细黑" w:eastAsia="华文细黑" w:cs="华文细黑"/>
                <w:i w:val="0"/>
                <w:iCs w:val="0"/>
                <w:color w:val="000000"/>
                <w:kern w:val="0"/>
                <w:sz w:val="16"/>
                <w:szCs w:val="16"/>
                <w:u w:val="none"/>
                <w:lang w:val="en-US" w:eastAsia="zh-CN" w:bidi="ar"/>
              </w:rPr>
              <w:t>。</w:t>
            </w:r>
          </w:p>
        </w:tc>
        <w:tc>
          <w:tcPr>
            <w:tcW w:w="662"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100%</w:t>
            </w:r>
          </w:p>
        </w:tc>
        <w:tc>
          <w:tcPr>
            <w:tcW w:w="620"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092"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8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成本</w:t>
            </w:r>
          </w:p>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指标</w:t>
            </w:r>
          </w:p>
        </w:tc>
        <w:tc>
          <w:tcPr>
            <w:tcW w:w="78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10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两员补贴费用</w:t>
            </w:r>
          </w:p>
        </w:tc>
        <w:tc>
          <w:tcPr>
            <w:tcW w:w="875"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普查指导员与普查员补贴费用。</w:t>
            </w:r>
          </w:p>
        </w:tc>
        <w:tc>
          <w:tcPr>
            <w:tcW w:w="662"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9万元</w:t>
            </w:r>
          </w:p>
        </w:tc>
        <w:tc>
          <w:tcPr>
            <w:tcW w:w="62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092"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8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效益</w:t>
            </w:r>
          </w:p>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指标</w:t>
            </w:r>
          </w:p>
        </w:tc>
        <w:tc>
          <w:tcPr>
            <w:tcW w:w="78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0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普查员、普查指导员补贴发放覆盖率</w:t>
            </w:r>
          </w:p>
        </w:tc>
        <w:tc>
          <w:tcPr>
            <w:tcW w:w="875"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反映普查员、普查指导员补贴发放覆盖率情况。</w:t>
            </w:r>
          </w:p>
        </w:tc>
        <w:tc>
          <w:tcPr>
            <w:tcW w:w="662"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eastAsia="zh-CN" w:bidi="ar"/>
              </w:rPr>
              <w:t>≥</w:t>
            </w:r>
            <w:r>
              <w:rPr>
                <w:rFonts w:hint="default" w:ascii="华文细黑" w:hAnsi="华文细黑" w:eastAsia="华文细黑" w:cs="华文细黑"/>
                <w:i w:val="0"/>
                <w:iCs w:val="0"/>
                <w:color w:val="000000"/>
                <w:kern w:val="0"/>
                <w:sz w:val="16"/>
                <w:szCs w:val="16"/>
                <w:u w:val="none"/>
                <w:lang w:val="en-US" w:eastAsia="zh-CN" w:bidi="ar"/>
              </w:rPr>
              <w:t>100%</w:t>
            </w:r>
          </w:p>
        </w:tc>
        <w:tc>
          <w:tcPr>
            <w:tcW w:w="620" w:type="dxa"/>
            <w:noWrap w:val="0"/>
            <w:vAlign w:val="center"/>
          </w:tcPr>
          <w:p>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30</w:t>
            </w:r>
          </w:p>
        </w:tc>
      </w:tr>
    </w:tbl>
    <w:p>
      <w:pPr>
        <w:spacing w:line="700" w:lineRule="exact"/>
        <w:rPr>
          <w:rFonts w:eastAsia="楷体"/>
          <w:kern w:val="0"/>
          <w:szCs w:val="32"/>
        </w:rPr>
      </w:pPr>
    </w:p>
    <w:p>
      <w:pPr>
        <w:spacing w:line="700" w:lineRule="exact"/>
        <w:ind w:firstLine="640" w:firstLineChars="200"/>
        <w:rPr>
          <w:rFonts w:eastAsia="楷体"/>
          <w:kern w:val="0"/>
          <w:szCs w:val="32"/>
        </w:rPr>
      </w:pPr>
    </w:p>
    <w:p>
      <w:pPr>
        <w:rPr>
          <w:rFonts w:hint="eastAsia" w:ascii="楷体" w:hAnsi="楷体" w:eastAsia="楷体" w:cs="楷体"/>
          <w:kern w:val="0"/>
          <w:szCs w:val="32"/>
        </w:rPr>
      </w:pPr>
      <w:r>
        <w:rPr>
          <w:rFonts w:hint="eastAsia" w:ascii="楷体" w:hAnsi="楷体" w:eastAsia="楷体" w:cs="楷体"/>
          <w:kern w:val="0"/>
          <w:szCs w:val="32"/>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979"/>
        <w:gridCol w:w="856"/>
        <w:gridCol w:w="1220"/>
        <w:gridCol w:w="778"/>
        <w:gridCol w:w="738"/>
        <w:gridCol w:w="1032"/>
        <w:gridCol w:w="959"/>
        <w:gridCol w:w="6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绩效目标续</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97"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143021012公主岭市统计局</w:t>
            </w:r>
          </w:p>
        </w:tc>
        <w:tc>
          <w:tcPr>
            <w:tcW w:w="97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综合统计业务费</w:t>
            </w:r>
          </w:p>
        </w:tc>
        <w:tc>
          <w:tcPr>
            <w:tcW w:w="85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37.47</w:t>
            </w:r>
          </w:p>
        </w:tc>
        <w:tc>
          <w:tcPr>
            <w:tcW w:w="122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2026年：按照国家、省统计局和市委市政府的工作中心和要求，认真贯彻执行统计法律法规、制度等各项方针政策，并根据统计工作计划，适时开展各类、各项统计调查，开展各种宣传活动、各专业培训工作，以提高数据质量。在完成好本职工作的前提下，不断强化统计工作职能，加大依法统计，依法治统工作力度，提升统计数据质量，提供高质量的统计分析服务，切实为经济社会发展大局做好统计保障。加大与市直相关部门的协调，提供合理可行的统计意见建议，为全市经济工作开好头、布好局，力争共同推动社会高质量发展。</w:t>
            </w:r>
          </w:p>
        </w:tc>
        <w:tc>
          <w:tcPr>
            <w:tcW w:w="778"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w:t>
            </w:r>
          </w:p>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指标</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数量</w:t>
            </w:r>
          </w:p>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指标</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统计分析报告篇数</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反应统计分析报告篇数情况</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5篇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79"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85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22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38"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数量</w:t>
            </w:r>
          </w:p>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指标</w:t>
            </w:r>
          </w:p>
        </w:tc>
        <w:tc>
          <w:tcPr>
            <w:tcW w:w="1032"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统计培训</w:t>
            </w:r>
          </w:p>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人次</w:t>
            </w:r>
          </w:p>
        </w:tc>
        <w:tc>
          <w:tcPr>
            <w:tcW w:w="959" w:type="dxa"/>
            <w:tcBorders>
              <w:top w:val="single" w:color="000000" w:sz="4" w:space="0"/>
            </w:tcBorders>
            <w:noWrap w:val="0"/>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反应统计培训人次情况</w:t>
            </w:r>
          </w:p>
        </w:tc>
        <w:tc>
          <w:tcPr>
            <w:tcW w:w="641"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350人次</w:t>
            </w:r>
          </w:p>
        </w:tc>
        <w:tc>
          <w:tcPr>
            <w:tcW w:w="641"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79"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85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22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38"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质量</w:t>
            </w:r>
          </w:p>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指标</w:t>
            </w:r>
          </w:p>
        </w:tc>
        <w:tc>
          <w:tcPr>
            <w:tcW w:w="1032"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统计分析报告审核通过率</w:t>
            </w:r>
          </w:p>
        </w:tc>
        <w:tc>
          <w:tcPr>
            <w:tcW w:w="959" w:type="dxa"/>
            <w:tcBorders>
              <w:top w:val="single" w:color="000000" w:sz="4" w:space="0"/>
            </w:tcBorders>
            <w:noWrap w:val="0"/>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反映统计分析报告评审通过的情况。</w:t>
            </w:r>
          </w:p>
        </w:tc>
        <w:tc>
          <w:tcPr>
            <w:tcW w:w="641"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90%</w:t>
            </w:r>
          </w:p>
        </w:tc>
        <w:tc>
          <w:tcPr>
            <w:tcW w:w="641"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79"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85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22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38"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质量</w:t>
            </w:r>
          </w:p>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指标</w:t>
            </w:r>
          </w:p>
        </w:tc>
        <w:tc>
          <w:tcPr>
            <w:tcW w:w="1032"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统计培训</w:t>
            </w:r>
          </w:p>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合格率</w:t>
            </w:r>
          </w:p>
        </w:tc>
        <w:tc>
          <w:tcPr>
            <w:tcW w:w="959" w:type="dxa"/>
            <w:tcBorders>
              <w:top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反映参加统计培训的人员合格率情况</w:t>
            </w:r>
          </w:p>
        </w:tc>
        <w:tc>
          <w:tcPr>
            <w:tcW w:w="641"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95%</w:t>
            </w:r>
          </w:p>
        </w:tc>
        <w:tc>
          <w:tcPr>
            <w:tcW w:w="641"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79"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85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22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成本</w:t>
            </w:r>
          </w:p>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指标</w:t>
            </w:r>
          </w:p>
        </w:tc>
        <w:tc>
          <w:tcPr>
            <w:tcW w:w="73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1032" w:type="dxa"/>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培训人均</w:t>
            </w:r>
          </w:p>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成本</w:t>
            </w:r>
          </w:p>
        </w:tc>
        <w:tc>
          <w:tcPr>
            <w:tcW w:w="959"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反映培训成本控制情况</w:t>
            </w:r>
          </w:p>
        </w:tc>
        <w:tc>
          <w:tcPr>
            <w:tcW w:w="64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≤3</w:t>
            </w:r>
            <w:r>
              <w:rPr>
                <w:rFonts w:hint="default" w:ascii="华文细黑" w:hAnsi="华文细黑" w:eastAsia="华文细黑" w:cs="华文细黑"/>
                <w:i w:val="0"/>
                <w:iCs w:val="0"/>
                <w:color w:val="000000"/>
                <w:kern w:val="0"/>
                <w:sz w:val="16"/>
                <w:szCs w:val="16"/>
                <w:u w:val="none"/>
                <w:lang w:val="en-US" w:eastAsia="zh-CN" w:bidi="ar"/>
              </w:rPr>
              <w:t>00元/人/天</w:t>
            </w:r>
          </w:p>
        </w:tc>
        <w:tc>
          <w:tcPr>
            <w:tcW w:w="64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79"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85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22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效益</w:t>
            </w:r>
          </w:p>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指标</w:t>
            </w:r>
          </w:p>
        </w:tc>
        <w:tc>
          <w:tcPr>
            <w:tcW w:w="73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032"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编印上年县域经济运行的统计公报，为党政领导决策提供数据支撑</w:t>
            </w:r>
          </w:p>
        </w:tc>
        <w:tc>
          <w:tcPr>
            <w:tcW w:w="959"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编印上年县域经济运行的统计公报，为党政领导决策提供数据支撑</w:t>
            </w:r>
          </w:p>
        </w:tc>
        <w:tc>
          <w:tcPr>
            <w:tcW w:w="64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1篇</w:t>
            </w:r>
          </w:p>
        </w:tc>
        <w:tc>
          <w:tcPr>
            <w:tcW w:w="641" w:type="dxa"/>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6"/>
                <w:szCs w:val="16"/>
                <w:vertAlign w:val="baseline"/>
                <w:lang w:val="en-US" w:eastAsia="zh-CN"/>
              </w:rPr>
            </w:pPr>
            <w:r>
              <w:rPr>
                <w:rFonts w:hint="default" w:ascii="华文细黑" w:hAnsi="华文细黑" w:eastAsia="华文细黑" w:cs="华文细黑"/>
                <w:i w:val="0"/>
                <w:iCs w:val="0"/>
                <w:color w:val="000000"/>
                <w:kern w:val="0"/>
                <w:sz w:val="16"/>
                <w:szCs w:val="16"/>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7"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79"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85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22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78" w:type="dxa"/>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满意度指标</w:t>
            </w:r>
          </w:p>
        </w:tc>
        <w:tc>
          <w:tcPr>
            <w:tcW w:w="738" w:type="dxa"/>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服务对象满意度指标</w:t>
            </w:r>
          </w:p>
        </w:tc>
        <w:tc>
          <w:tcPr>
            <w:tcW w:w="1032" w:type="dxa"/>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培训人员</w:t>
            </w:r>
          </w:p>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满意度</w:t>
            </w:r>
          </w:p>
        </w:tc>
        <w:tc>
          <w:tcPr>
            <w:tcW w:w="959" w:type="dxa"/>
            <w:noWrap w:val="0"/>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反映参加培训人员的满意度情况。</w:t>
            </w:r>
          </w:p>
        </w:tc>
        <w:tc>
          <w:tcPr>
            <w:tcW w:w="641" w:type="dxa"/>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95%</w:t>
            </w:r>
          </w:p>
        </w:tc>
        <w:tc>
          <w:tcPr>
            <w:tcW w:w="641" w:type="dxa"/>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w:t>
            </w:r>
          </w:p>
        </w:tc>
      </w:tr>
    </w:tbl>
    <w:p>
      <w:pPr>
        <w:spacing w:line="700" w:lineRule="exact"/>
        <w:ind w:firstLine="640" w:firstLineChars="200"/>
        <w:rPr>
          <w:rFonts w:hint="eastAsia" w:eastAsia="楷体"/>
          <w:kern w:val="0"/>
          <w:szCs w:val="32"/>
        </w:rPr>
      </w:pPr>
      <w:r>
        <w:rPr>
          <w:rFonts w:hint="eastAsia" w:eastAsia="楷体"/>
          <w:kern w:val="0"/>
          <w:szCs w:val="32"/>
        </w:rPr>
        <w:br w:type="page"/>
      </w: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szCs w:val="32"/>
        </w:rPr>
        <w:t>单位</w:t>
      </w:r>
      <w:r>
        <w:rPr>
          <w:szCs w:val="32"/>
        </w:rPr>
        <w:t>预算管理。收入包括：一般公共预算拨款收入</w:t>
      </w:r>
      <w:r>
        <w:rPr>
          <w:rFonts w:hint="eastAsia"/>
          <w:szCs w:val="32"/>
        </w:rPr>
        <w:t>、</w:t>
      </w:r>
      <w:r>
        <w:rPr>
          <w:szCs w:val="32"/>
        </w:rPr>
        <w:t>其他收入；支出包括：一般公共服务支出、社会保障和就业支出、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286.31</w:t>
      </w:r>
      <w:r>
        <w:rPr>
          <w:szCs w:val="32"/>
        </w:rPr>
        <w:t>万元</w:t>
      </w:r>
      <w:r>
        <w:rPr>
          <w:rFonts w:hint="eastAsia"/>
          <w:szCs w:val="32"/>
          <w:lang w:eastAsia="zh-CN"/>
        </w:rPr>
        <w:t>，其中：本年预算</w:t>
      </w:r>
      <w:r>
        <w:rPr>
          <w:rFonts w:hint="eastAsia"/>
          <w:szCs w:val="32"/>
          <w:lang w:val="en-US" w:eastAsia="zh-CN"/>
        </w:rPr>
        <w:t>286.31</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81.91</w:t>
      </w:r>
      <w:r>
        <w:rPr>
          <w:szCs w:val="32"/>
        </w:rPr>
        <w:t>万元，主要原因是</w:t>
      </w:r>
      <w:r>
        <w:rPr>
          <w:rFonts w:hint="eastAsia"/>
          <w:szCs w:val="32"/>
        </w:rPr>
        <w:t>2026年将单位资金收入纳入预算</w:t>
      </w:r>
      <w:r>
        <w:rPr>
          <w:rFonts w:hint="eastAsia"/>
          <w:szCs w:val="32"/>
          <w:lang w:eastAsia="zh-CN"/>
        </w:rPr>
        <w:t>计算范围内，并且</w:t>
      </w:r>
      <w:r>
        <w:rPr>
          <w:rFonts w:hint="eastAsia"/>
          <w:szCs w:val="32"/>
          <w:lang w:val="en-US" w:eastAsia="zh-CN"/>
        </w:rPr>
        <w:t>2026年开始第四次全国农业普查，相关工作经费增加</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286.31</w:t>
      </w:r>
      <w:r>
        <w:rPr>
          <w:szCs w:val="32"/>
        </w:rPr>
        <w:t>万元，其中：本年收入</w:t>
      </w:r>
      <w:r>
        <w:rPr>
          <w:rFonts w:hint="eastAsia"/>
          <w:szCs w:val="32"/>
          <w:lang w:val="en-US" w:eastAsia="zh-CN"/>
        </w:rPr>
        <w:t>286.31</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260.00</w:t>
      </w:r>
      <w:r>
        <w:rPr>
          <w:szCs w:val="32"/>
        </w:rPr>
        <w:t>万元，占</w:t>
      </w:r>
      <w:r>
        <w:rPr>
          <w:rFonts w:hint="eastAsia"/>
          <w:szCs w:val="32"/>
          <w:lang w:val="en-US" w:eastAsia="zh-CN"/>
        </w:rPr>
        <w:t>90.81</w:t>
      </w:r>
      <w:r>
        <w:rPr>
          <w:szCs w:val="32"/>
        </w:rPr>
        <w:t>%</w:t>
      </w:r>
      <w:r>
        <w:rPr>
          <w:rFonts w:hint="eastAsia"/>
          <w:szCs w:val="32"/>
          <w:lang w:eastAsia="zh-CN"/>
        </w:rPr>
        <w:t>，其他收入</w:t>
      </w:r>
      <w:r>
        <w:rPr>
          <w:rFonts w:hint="eastAsia"/>
          <w:szCs w:val="32"/>
          <w:lang w:val="en-US" w:eastAsia="zh-CN"/>
        </w:rPr>
        <w:t>26.31万元，占9.19%</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286.31</w:t>
      </w:r>
      <w:r>
        <w:rPr>
          <w:szCs w:val="32"/>
        </w:rPr>
        <w:t>万元，其中：基本支出</w:t>
      </w:r>
      <w:r>
        <w:rPr>
          <w:rFonts w:hint="eastAsia"/>
          <w:szCs w:val="32"/>
          <w:lang w:val="en-US" w:eastAsia="zh-CN"/>
        </w:rPr>
        <w:t>172.18</w:t>
      </w:r>
      <w:r>
        <w:rPr>
          <w:szCs w:val="32"/>
        </w:rPr>
        <w:t>万元，占</w:t>
      </w:r>
      <w:r>
        <w:rPr>
          <w:rFonts w:hint="eastAsia"/>
          <w:szCs w:val="32"/>
          <w:lang w:val="en-US" w:eastAsia="zh-CN"/>
        </w:rPr>
        <w:t>60.14</w:t>
      </w:r>
      <w:r>
        <w:rPr>
          <w:szCs w:val="32"/>
        </w:rPr>
        <w:t>%；项目支出</w:t>
      </w:r>
      <w:r>
        <w:rPr>
          <w:rFonts w:hint="eastAsia"/>
          <w:szCs w:val="32"/>
          <w:lang w:val="en-US" w:eastAsia="zh-CN"/>
        </w:rPr>
        <w:t>114.13</w:t>
      </w:r>
      <w:r>
        <w:rPr>
          <w:szCs w:val="32"/>
        </w:rPr>
        <w:t>万元，占</w:t>
      </w:r>
      <w:r>
        <w:rPr>
          <w:rFonts w:hint="eastAsia"/>
          <w:szCs w:val="32"/>
          <w:lang w:val="en-US" w:eastAsia="zh-CN"/>
        </w:rPr>
        <w:t>39.86</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rFonts w:hint="eastAsia"/>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260</w:t>
      </w:r>
      <w:r>
        <w:rPr>
          <w:szCs w:val="32"/>
        </w:rPr>
        <w:t>万元，其中：</w:t>
      </w:r>
      <w:r>
        <w:rPr>
          <w:rFonts w:hint="eastAsia"/>
          <w:szCs w:val="32"/>
        </w:rPr>
        <w:t>本年</w:t>
      </w:r>
      <w:r>
        <w:rPr>
          <w:rFonts w:hint="eastAsia"/>
          <w:szCs w:val="32"/>
          <w:lang w:eastAsia="zh-CN"/>
        </w:rPr>
        <w:t>预算</w:t>
      </w:r>
      <w:r>
        <w:rPr>
          <w:rFonts w:hint="eastAsia"/>
          <w:szCs w:val="32"/>
          <w:lang w:val="en-US" w:eastAsia="zh-CN"/>
        </w:rPr>
        <w:t>260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198.34</w:t>
      </w:r>
      <w:r>
        <w:rPr>
          <w:szCs w:val="32"/>
        </w:rPr>
        <w:t>万元，</w:t>
      </w:r>
      <w:r>
        <w:rPr>
          <w:kern w:val="0"/>
          <w:szCs w:val="32"/>
        </w:rPr>
        <w:t>社会保障和就业支出</w:t>
      </w:r>
      <w:r>
        <w:rPr>
          <w:rFonts w:hint="eastAsia"/>
          <w:szCs w:val="32"/>
          <w:lang w:val="en-US" w:eastAsia="zh-CN"/>
        </w:rPr>
        <w:t>37.52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12.91</w:t>
      </w:r>
      <w:r>
        <w:rPr>
          <w:szCs w:val="32"/>
        </w:rPr>
        <w:t>万元，</w:t>
      </w:r>
      <w:r>
        <w:rPr>
          <w:kern w:val="0"/>
          <w:szCs w:val="32"/>
        </w:rPr>
        <w:t>住房保障支出</w:t>
      </w:r>
      <w:r>
        <w:rPr>
          <w:rFonts w:hint="eastAsia"/>
          <w:szCs w:val="32"/>
          <w:lang w:val="en-US" w:eastAsia="zh-CN"/>
        </w:rPr>
        <w:t>11.23</w:t>
      </w:r>
      <w:r>
        <w:rPr>
          <w:szCs w:val="32"/>
        </w:rPr>
        <w:t>万元</w:t>
      </w:r>
      <w:r>
        <w:rPr>
          <w:rFonts w:hint="eastAsia"/>
          <w:szCs w:val="32"/>
          <w:lang w:eastAsia="zh-CN"/>
        </w:rPr>
        <w:t>。</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260</w:t>
      </w:r>
      <w:r>
        <w:rPr>
          <w:szCs w:val="32"/>
        </w:rPr>
        <w:t>万元，其中：基本支出</w:t>
      </w:r>
      <w:r>
        <w:rPr>
          <w:rFonts w:hint="eastAsia"/>
          <w:szCs w:val="32"/>
          <w:lang w:val="en-US" w:eastAsia="zh-CN"/>
        </w:rPr>
        <w:t>172.18</w:t>
      </w:r>
      <w:r>
        <w:rPr>
          <w:szCs w:val="32"/>
        </w:rPr>
        <w:t>万元，占</w:t>
      </w:r>
      <w:r>
        <w:rPr>
          <w:rFonts w:hint="eastAsia"/>
          <w:szCs w:val="32"/>
          <w:lang w:val="en-US" w:eastAsia="zh-CN"/>
        </w:rPr>
        <w:t>60.14</w:t>
      </w:r>
      <w:r>
        <w:rPr>
          <w:szCs w:val="32"/>
        </w:rPr>
        <w:t>%；项目支出</w:t>
      </w:r>
      <w:r>
        <w:rPr>
          <w:rFonts w:hint="eastAsia"/>
          <w:szCs w:val="32"/>
          <w:lang w:val="en-US" w:eastAsia="zh-CN"/>
        </w:rPr>
        <w:t>114.13</w:t>
      </w:r>
      <w:r>
        <w:rPr>
          <w:szCs w:val="32"/>
        </w:rPr>
        <w:t>万元，占</w:t>
      </w:r>
      <w:r>
        <w:rPr>
          <w:rFonts w:hint="eastAsia"/>
          <w:szCs w:val="32"/>
          <w:lang w:val="en-US" w:eastAsia="zh-CN"/>
        </w:rPr>
        <w:t>39.86</w:t>
      </w:r>
      <w:r>
        <w:rPr>
          <w:szCs w:val="32"/>
        </w:rPr>
        <w:t>%。基本支出中，人员经费</w:t>
      </w:r>
      <w:r>
        <w:rPr>
          <w:rFonts w:hint="eastAsia"/>
          <w:szCs w:val="32"/>
          <w:lang w:val="en-US" w:eastAsia="zh-CN"/>
        </w:rPr>
        <w:t>147.06</w:t>
      </w:r>
      <w:r>
        <w:rPr>
          <w:szCs w:val="32"/>
        </w:rPr>
        <w:t>万元，占</w:t>
      </w:r>
      <w:r>
        <w:rPr>
          <w:rFonts w:hint="eastAsia"/>
          <w:szCs w:val="32"/>
          <w:lang w:val="en-US" w:eastAsia="zh-CN"/>
        </w:rPr>
        <w:t>85.41</w:t>
      </w:r>
      <w:r>
        <w:rPr>
          <w:szCs w:val="32"/>
        </w:rPr>
        <w:t>%；公用经费</w:t>
      </w:r>
      <w:r>
        <w:rPr>
          <w:rFonts w:hint="eastAsia"/>
          <w:szCs w:val="32"/>
          <w:lang w:val="en-US" w:eastAsia="zh-CN"/>
        </w:rPr>
        <w:t>25.12</w:t>
      </w:r>
      <w:r>
        <w:rPr>
          <w:szCs w:val="32"/>
        </w:rPr>
        <w:t>万元，占</w:t>
      </w:r>
      <w:r>
        <w:rPr>
          <w:rFonts w:hint="eastAsia"/>
          <w:szCs w:val="32"/>
          <w:lang w:val="en-US" w:eastAsia="zh-CN"/>
        </w:rPr>
        <w:t>14.59</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110.52</w:t>
      </w:r>
      <w:r>
        <w:rPr>
          <w:szCs w:val="32"/>
        </w:rPr>
        <w:t>万元，占</w:t>
      </w:r>
      <w:r>
        <w:rPr>
          <w:rFonts w:hint="eastAsia"/>
          <w:szCs w:val="32"/>
          <w:lang w:val="en-US" w:eastAsia="zh-CN"/>
        </w:rPr>
        <w:t>64.2</w:t>
      </w:r>
      <w:r>
        <w:rPr>
          <w:szCs w:val="32"/>
        </w:rPr>
        <w:t>%，</w:t>
      </w:r>
      <w:r>
        <w:rPr>
          <w:rFonts w:hint="eastAsia"/>
          <w:szCs w:val="32"/>
          <w:lang w:eastAsia="zh-CN"/>
        </w:rPr>
        <w:t>主要用于保障职工工资，维持机关正常运转以及完成年度统计工作</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37.52</w:t>
      </w:r>
      <w:r>
        <w:rPr>
          <w:szCs w:val="32"/>
        </w:rPr>
        <w:t>万元，占</w:t>
      </w:r>
      <w:r>
        <w:rPr>
          <w:rFonts w:hint="eastAsia"/>
          <w:szCs w:val="32"/>
          <w:lang w:val="en-US" w:eastAsia="zh-CN"/>
        </w:rPr>
        <w:t>21.8</w:t>
      </w:r>
      <w:r>
        <w:rPr>
          <w:szCs w:val="32"/>
        </w:rPr>
        <w:t>%，</w:t>
      </w:r>
      <w:r>
        <w:rPr>
          <w:rFonts w:hint="eastAsia"/>
          <w:szCs w:val="32"/>
          <w:lang w:eastAsia="zh-CN"/>
        </w:rPr>
        <w:t>主要用于行政单位退休人员补贴、机关事业单位基本养老保险缴费支出、</w:t>
      </w:r>
      <w:r>
        <w:rPr>
          <w:rFonts w:hint="eastAsia"/>
          <w:szCs w:val="32"/>
          <w:lang w:val="en-US" w:eastAsia="zh-CN"/>
        </w:rPr>
        <w:t>机关事业单位职业年金缴费支出</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12.91</w:t>
      </w:r>
      <w:r>
        <w:rPr>
          <w:szCs w:val="32"/>
        </w:rPr>
        <w:t>万元，占</w:t>
      </w:r>
      <w:r>
        <w:rPr>
          <w:rFonts w:hint="eastAsia"/>
          <w:szCs w:val="32"/>
          <w:lang w:val="en-US" w:eastAsia="zh-CN"/>
        </w:rPr>
        <w:t>7.5</w:t>
      </w:r>
      <w:r>
        <w:rPr>
          <w:szCs w:val="32"/>
        </w:rPr>
        <w:t>%，</w:t>
      </w:r>
      <w:r>
        <w:rPr>
          <w:rFonts w:hint="eastAsia"/>
          <w:szCs w:val="32"/>
          <w:lang w:eastAsia="zh-CN"/>
        </w:rPr>
        <w:t>主要用于缴纳职工医疗保险及公务员医疗补助</w:t>
      </w:r>
      <w:r>
        <w:rPr>
          <w:szCs w:val="32"/>
        </w:rPr>
        <w:t>。</w:t>
      </w:r>
    </w:p>
    <w:p>
      <w:pPr>
        <w:spacing w:line="520" w:lineRule="exact"/>
        <w:ind w:firstLine="640" w:firstLineChars="200"/>
        <w:rPr>
          <w:rFonts w:hint="eastAsia"/>
          <w:szCs w:val="32"/>
        </w:rPr>
      </w:pPr>
      <w:r>
        <w:rPr>
          <w:szCs w:val="32"/>
        </w:rPr>
        <w:t>住房保障（类）支出</w:t>
      </w:r>
      <w:r>
        <w:rPr>
          <w:rFonts w:hint="eastAsia"/>
          <w:szCs w:val="32"/>
          <w:lang w:val="en-US" w:eastAsia="zh-CN"/>
        </w:rPr>
        <w:t>11.23</w:t>
      </w:r>
      <w:r>
        <w:rPr>
          <w:szCs w:val="32"/>
        </w:rPr>
        <w:t>万元，占</w:t>
      </w:r>
      <w:r>
        <w:rPr>
          <w:rFonts w:hint="eastAsia"/>
          <w:szCs w:val="32"/>
          <w:lang w:val="en-US" w:eastAsia="zh-CN"/>
        </w:rPr>
        <w:t>6.5</w:t>
      </w:r>
      <w:r>
        <w:rPr>
          <w:szCs w:val="32"/>
        </w:rPr>
        <w:t>%，</w:t>
      </w:r>
      <w:r>
        <w:rPr>
          <w:rFonts w:hint="eastAsia"/>
          <w:szCs w:val="32"/>
          <w:lang w:eastAsia="zh-CN"/>
        </w:rPr>
        <w:t>主要用于缴纳职工住房公积金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172.18</w:t>
      </w:r>
      <w:r>
        <w:rPr>
          <w:szCs w:val="32"/>
        </w:rPr>
        <w:t>万元，其中：</w:t>
      </w:r>
    </w:p>
    <w:p>
      <w:pPr>
        <w:ind w:firstLine="640" w:firstLineChars="200"/>
        <w:rPr>
          <w:kern w:val="0"/>
          <w:szCs w:val="32"/>
        </w:rPr>
      </w:pPr>
      <w:r>
        <w:rPr>
          <w:szCs w:val="32"/>
        </w:rPr>
        <w:t>人员经费</w:t>
      </w:r>
      <w:r>
        <w:rPr>
          <w:rFonts w:hint="eastAsia"/>
          <w:szCs w:val="32"/>
          <w:lang w:val="en-US" w:eastAsia="zh-CN"/>
        </w:rPr>
        <w:t>147.06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医疗费、退休费、其他对个人和家庭的补助</w:t>
      </w:r>
      <w:r>
        <w:rPr>
          <w:kern w:val="0"/>
          <w:szCs w:val="32"/>
        </w:rPr>
        <w:t>。</w:t>
      </w:r>
    </w:p>
    <w:p>
      <w:pPr>
        <w:ind w:firstLine="640" w:firstLineChars="200"/>
        <w:rPr>
          <w:szCs w:val="32"/>
        </w:rPr>
      </w:pPr>
      <w:r>
        <w:rPr>
          <w:kern w:val="0"/>
          <w:szCs w:val="32"/>
        </w:rPr>
        <w:t>公用经费</w:t>
      </w:r>
      <w:r>
        <w:rPr>
          <w:rFonts w:hint="eastAsia"/>
          <w:szCs w:val="32"/>
          <w:lang w:val="en-US" w:eastAsia="zh-CN"/>
        </w:rPr>
        <w:t>25.12</w:t>
      </w:r>
      <w:r>
        <w:rPr>
          <w:szCs w:val="32"/>
        </w:rPr>
        <w:t>万元，主要包括：</w:t>
      </w:r>
      <w:r>
        <w:rPr>
          <w:rFonts w:hint="eastAsia"/>
          <w:kern w:val="0"/>
          <w:szCs w:val="32"/>
        </w:rPr>
        <w:t>办公费</w:t>
      </w:r>
      <w:r>
        <w:rPr>
          <w:rFonts w:hint="eastAsia"/>
          <w:kern w:val="0"/>
          <w:szCs w:val="32"/>
          <w:lang w:eastAsia="zh-CN"/>
        </w:rPr>
        <w:t>、</w:t>
      </w:r>
      <w:r>
        <w:rPr>
          <w:rFonts w:hint="eastAsia"/>
          <w:kern w:val="0"/>
          <w:szCs w:val="32"/>
        </w:rPr>
        <w:t>印刷费</w:t>
      </w:r>
      <w:r>
        <w:rPr>
          <w:rFonts w:hint="eastAsia"/>
          <w:kern w:val="0"/>
          <w:szCs w:val="32"/>
          <w:lang w:eastAsia="zh-CN"/>
        </w:rPr>
        <w:t>、</w:t>
      </w:r>
      <w:r>
        <w:rPr>
          <w:rFonts w:hint="eastAsia"/>
          <w:kern w:val="0"/>
          <w:szCs w:val="32"/>
        </w:rPr>
        <w:t>邮电费</w:t>
      </w:r>
      <w:r>
        <w:rPr>
          <w:rFonts w:hint="eastAsia"/>
          <w:kern w:val="0"/>
          <w:szCs w:val="32"/>
          <w:lang w:eastAsia="zh-CN"/>
        </w:rPr>
        <w:t>、</w:t>
      </w:r>
      <w:r>
        <w:rPr>
          <w:rFonts w:hint="eastAsia"/>
          <w:kern w:val="0"/>
          <w:szCs w:val="32"/>
        </w:rPr>
        <w:t>差旅费</w:t>
      </w:r>
      <w:r>
        <w:rPr>
          <w:rFonts w:hint="eastAsia"/>
          <w:kern w:val="0"/>
          <w:szCs w:val="32"/>
          <w:lang w:eastAsia="zh-CN"/>
        </w:rPr>
        <w:t>、</w:t>
      </w:r>
      <w:r>
        <w:rPr>
          <w:rFonts w:hint="eastAsia"/>
          <w:kern w:val="0"/>
          <w:szCs w:val="32"/>
        </w:rPr>
        <w:t>会议费</w:t>
      </w:r>
      <w:r>
        <w:rPr>
          <w:rFonts w:hint="eastAsia"/>
          <w:kern w:val="0"/>
          <w:szCs w:val="32"/>
          <w:lang w:eastAsia="zh-CN"/>
        </w:rPr>
        <w:t>、</w:t>
      </w:r>
      <w:r>
        <w:rPr>
          <w:rFonts w:hint="eastAsia"/>
          <w:kern w:val="0"/>
          <w:szCs w:val="32"/>
        </w:rPr>
        <w:t>培训费</w:t>
      </w:r>
      <w:r>
        <w:rPr>
          <w:rFonts w:hint="eastAsia"/>
          <w:kern w:val="0"/>
          <w:szCs w:val="32"/>
          <w:lang w:eastAsia="zh-CN"/>
        </w:rPr>
        <w:t>、</w:t>
      </w:r>
      <w:r>
        <w:rPr>
          <w:rFonts w:hint="eastAsia"/>
          <w:kern w:val="0"/>
          <w:szCs w:val="32"/>
        </w:rPr>
        <w:t>工会经费</w:t>
      </w:r>
      <w:r>
        <w:rPr>
          <w:rFonts w:hint="eastAsia"/>
          <w:kern w:val="0"/>
          <w:szCs w:val="32"/>
          <w:lang w:eastAsia="zh-CN"/>
        </w:rPr>
        <w:t>、</w:t>
      </w:r>
      <w:r>
        <w:rPr>
          <w:rFonts w:hint="eastAsia"/>
          <w:kern w:val="0"/>
          <w:szCs w:val="32"/>
        </w:rPr>
        <w:t>其他交通费用</w:t>
      </w:r>
      <w:r>
        <w:rPr>
          <w:rFonts w:hint="eastAsia"/>
          <w:kern w:val="0"/>
          <w:szCs w:val="32"/>
          <w:lang w:eastAsia="zh-CN"/>
        </w:rPr>
        <w:t>、</w:t>
      </w:r>
      <w:r>
        <w:rPr>
          <w:rFonts w:hint="eastAsia"/>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jc w:val="both"/>
        <w:rPr>
          <w:rFonts w:eastAsia="楷体"/>
          <w:szCs w:val="32"/>
        </w:rPr>
      </w:pPr>
      <w:r>
        <w:rPr>
          <w:rFonts w:hint="eastAsia" w:ascii="宋体" w:hAnsi="宋体"/>
        </w:rPr>
        <w:t>本</w:t>
      </w:r>
      <w:r>
        <w:rPr>
          <w:rFonts w:hint="eastAsia" w:ascii="宋体" w:hAnsi="宋体"/>
          <w:lang w:eastAsia="zh-CN"/>
        </w:rPr>
        <w:t>单位</w:t>
      </w:r>
      <w:r>
        <w:rPr>
          <w:rFonts w:hint="eastAsia" w:ascii="宋体" w:hAnsi="宋体"/>
        </w:rPr>
        <w:t>无一般公共预算拨款</w:t>
      </w:r>
      <w:r>
        <w:rPr>
          <w:rFonts w:hint="eastAsia" w:ascii="宋体" w:hAnsi="宋体"/>
          <w:lang w:val="en-US" w:eastAsia="zh-CN"/>
        </w:rPr>
        <w:t>。</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rPr>
          <w:rFonts w:hint="eastAsia" w:eastAsia="仿宋_GB2312"/>
          <w:szCs w:val="32"/>
          <w:lang w:eastAsia="zh-CN"/>
        </w:rPr>
      </w:pPr>
      <w:r>
        <w:rPr>
          <w:rFonts w:hint="eastAsia" w:ascii="宋体" w:hAnsi="宋体"/>
        </w:rPr>
        <w:t>本</w:t>
      </w:r>
      <w:r>
        <w:rPr>
          <w:rFonts w:hint="eastAsia" w:ascii="宋体" w:hAnsi="宋体"/>
          <w:lang w:eastAsia="zh-CN"/>
        </w:rPr>
        <w:t>单位</w:t>
      </w:r>
      <w:r>
        <w:rPr>
          <w:rFonts w:hint="eastAsia" w:ascii="宋体" w:hAnsi="宋体"/>
        </w:rPr>
        <w:t>无政府性基金预算拨款</w:t>
      </w:r>
      <w:r>
        <w:rPr>
          <w:rFonts w:hint="eastAsia" w:ascii="宋体" w:hAnsi="宋体"/>
          <w:lang w:eastAsia="zh-CN"/>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eastAsia="仿宋_GB2312"/>
          <w:szCs w:val="32"/>
          <w:lang w:eastAsia="zh-CN"/>
        </w:rPr>
      </w:pPr>
      <w:r>
        <w:rPr>
          <w:rFonts w:hint="eastAsia" w:ascii="宋体" w:hAnsi="宋体"/>
        </w:rPr>
        <w:t>本</w:t>
      </w:r>
      <w:r>
        <w:rPr>
          <w:rFonts w:hint="eastAsia" w:ascii="宋体" w:hAnsi="宋体"/>
          <w:lang w:eastAsia="zh-CN"/>
        </w:rPr>
        <w:t>单位</w:t>
      </w:r>
      <w:r>
        <w:rPr>
          <w:rFonts w:hint="eastAsia" w:ascii="宋体" w:hAnsi="宋体"/>
        </w:rPr>
        <w:t>无国有资本经营预算拨款</w:t>
      </w:r>
      <w:r>
        <w:rPr>
          <w:rFonts w:hint="eastAsia" w:ascii="宋体" w:hAnsi="宋体"/>
          <w:lang w:eastAsia="zh-CN"/>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rFonts w:hint="default"/>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1家行政单位</w:t>
      </w:r>
      <w:r>
        <w:rPr>
          <w:szCs w:val="32"/>
        </w:rPr>
        <w:t>的机关运行经费财政拨款预算</w:t>
      </w:r>
      <w:r>
        <w:rPr>
          <w:rFonts w:hint="eastAsia"/>
          <w:szCs w:val="32"/>
          <w:lang w:val="en-US" w:eastAsia="zh-CN"/>
        </w:rPr>
        <w:t>25.12</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2.46</w:t>
      </w:r>
      <w:r>
        <w:rPr>
          <w:szCs w:val="32"/>
        </w:rPr>
        <w:t>万元，下降</w:t>
      </w:r>
      <w:r>
        <w:rPr>
          <w:rFonts w:hint="eastAsia"/>
          <w:szCs w:val="32"/>
          <w:lang w:val="en-US" w:eastAsia="zh-CN"/>
        </w:rPr>
        <w:t>8.9</w:t>
      </w:r>
      <w:r>
        <w:rPr>
          <w:szCs w:val="32"/>
        </w:rPr>
        <w:t>%</w:t>
      </w:r>
      <w:r>
        <w:rPr>
          <w:rFonts w:hint="eastAsia"/>
          <w:szCs w:val="32"/>
        </w:rPr>
        <w:t>，主要原因是</w:t>
      </w:r>
      <w:r>
        <w:rPr>
          <w:szCs w:val="32"/>
          <w:lang w:eastAsia="zh-CN"/>
        </w:rPr>
        <w:t>在职人员较上年减少</w:t>
      </w:r>
      <w:r>
        <w:rPr>
          <w:rFonts w:hint="default"/>
          <w:szCs w:val="32"/>
          <w:lang w:eastAsia="zh-CN"/>
        </w:rPr>
        <w:t>1人，按照比例核定的</w:t>
      </w:r>
      <w:r>
        <w:rPr>
          <w:szCs w:val="32"/>
        </w:rPr>
        <w:t>机关运行经费</w:t>
      </w:r>
      <w:r>
        <w:rPr>
          <w:szCs w:val="32"/>
        </w:rPr>
        <w:t>较上年减少。</w:t>
      </w:r>
      <w:bookmarkStart w:id="0" w:name="_GoBack"/>
      <w:bookmarkEnd w:id="0"/>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rFonts w:hint="eastAsia" w:ascii="宋体" w:hAnsi="宋体"/>
        </w:rPr>
        <w:t>本</w:t>
      </w:r>
      <w:r>
        <w:rPr>
          <w:rFonts w:hint="eastAsia" w:ascii="宋体" w:hAnsi="宋体"/>
          <w:lang w:eastAsia="zh-CN"/>
        </w:rPr>
        <w:t>单位</w:t>
      </w:r>
      <w:r>
        <w:rPr>
          <w:rFonts w:hint="eastAsia" w:ascii="宋体" w:hAnsi="宋体"/>
        </w:rPr>
        <w:t>无政府采购情况</w:t>
      </w:r>
      <w:r>
        <w:rPr>
          <w:rFonts w:hint="eastAsia" w:ascii="宋体" w:hAnsi="宋体"/>
          <w:lang w:eastAsia="zh-CN"/>
        </w:rPr>
        <w:t>。</w:t>
      </w:r>
    </w:p>
    <w:p>
      <w:pPr>
        <w:spacing w:line="540" w:lineRule="exact"/>
        <w:ind w:firstLine="640" w:firstLineChars="200"/>
        <w:rPr>
          <w:rFonts w:eastAsia="楷体"/>
          <w:szCs w:val="32"/>
        </w:rPr>
      </w:pPr>
      <w:r>
        <w:rPr>
          <w:rFonts w:eastAsia="楷体"/>
          <w:szCs w:val="32"/>
        </w:rPr>
        <w:t>（三）国有资产占有使用情况</w:t>
      </w:r>
    </w:p>
    <w:p>
      <w:pPr>
        <w:ind w:firstLine="645"/>
        <w:rPr>
          <w:rFonts w:hint="eastAsia" w:ascii="宋体" w:hAnsi="宋体"/>
        </w:rPr>
      </w:pPr>
      <w:r>
        <w:rPr>
          <w:rFonts w:hint="eastAsia" w:ascii="宋体" w:hAnsi="宋体"/>
        </w:rPr>
        <w:t>本</w:t>
      </w:r>
      <w:r>
        <w:rPr>
          <w:rFonts w:hint="eastAsia" w:ascii="宋体" w:hAnsi="宋体"/>
          <w:lang w:eastAsia="zh-CN"/>
        </w:rPr>
        <w:t>单位</w:t>
      </w:r>
      <w:r>
        <w:rPr>
          <w:rFonts w:hint="eastAsia" w:ascii="宋体" w:hAnsi="宋体"/>
        </w:rPr>
        <w:t>无国有资产占有使用情况。</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114.13</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eastAsia"/>
          <w:szCs w:val="32"/>
          <w:lang w:val="en-US" w:eastAsia="zh-CN"/>
        </w:rPr>
        <w:t>114.13</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color w:val="auto"/>
          <w:szCs w:val="32"/>
          <w:lang w:val="en-US" w:eastAsia="zh-CN"/>
        </w:rPr>
        <w:t>使用单位资金26.31万元，非财政拨款结转0万元</w:t>
      </w:r>
      <w:r>
        <w:rPr>
          <w:szCs w:val="32"/>
        </w:rPr>
        <w:t>。</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ascii="宋体" w:hAnsi="宋体"/>
          <w:lang w:val="en-US" w:eastAsia="zh-CN"/>
        </w:rPr>
        <w:t>114.13</w:t>
      </w:r>
      <w:r>
        <w:rPr>
          <w:rFonts w:hint="eastAsia" w:ascii="宋体" w:hAnsi="宋体"/>
        </w:rPr>
        <w:t>万元。</w:t>
      </w:r>
    </w:p>
    <w:p>
      <w:pPr>
        <w:rPr>
          <w:rFonts w:eastAsia="黑体"/>
        </w:rPr>
      </w:pPr>
      <w:r>
        <w:rPr>
          <w:rFonts w:eastAsia="黑体"/>
        </w:rPr>
        <w:br w:type="page"/>
      </w: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lvBo/DAQAAcQMAAA4AAABkcnMv&#10;ZTJvRG9jLnhtbK1TwY7TMBC9I/EPlu80aQ6oiuqugNWilVaAtPABrmM3lmyPZbtNygfAH3Diwp3v&#10;6ncwdprustxWXJzxzHjmvZmX9dVoDTnIEDU4RpeLmhLpBHTa7Rj98vnm1YqSmLjruAEnGT3KSK82&#10;L1+sB9/KBnownQwEi7jYDp7RPiXfVlUUvbQ8LsBLh0EFwfKE17CrusAHrG5N1dT162qA0PkAQsaI&#10;3uspSDelvlJSpI9KRZmIYRSxpXKGcm7zWW3WvN0F7nstzjD4M1BYrh02vZS65omTfdD/lLJaBIig&#10;0kKArUApLWThgGyW9RM29z33snDB4UR/GVP8f2XFh8OnQHTHaEOJ4xZXdPrx/fTz9+nXN9Is83wG&#10;H1tMu/eYmMa3MOKeZ39EZ6Y9qmDzFwkRjOOkj5fpyjERkR+tmtWqxpDA2HzB+tXDcx9iei/Bkmww&#10;GnB9Zar8cBfTlDqn5G4ObrQxZYXG/eXAmtlTZewTxmylcTueCW2hOyIfVC726SF8pWRAFTDqUKaU&#10;mFuHQ86CmY0wG9vZ4E7gQ0YTJZP5Lk3C2vugd32RWgYV/Zt9QqSFQIYx9T6jw72WEZw1mIXz+F6y&#10;Hv6U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OW8Gj8MBAABxAwAADgAAAAAAAAABACAA&#10;AAA0AQAAZHJzL2Uyb0RvYy54bWxQSwUGAAAAAAYABgBZAQAAaQ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gKLSSuAQAASwMAAA4AAABkcnMv&#10;ZTJvRG9jLnhtbK1TS27bMBDdB+gdCO5rKl4UgmA5aBGkKFA0AdIcgKZIiwB/4NCWfIHmBlllk33P&#10;5XN0SEtO2u6KbqjhzPDNezOj1dVoDdnLCNq7ll4uKkqkE77TbtvSh+8372tKIHHXceOdbOlBAr1a&#10;v7tYDaGRS99708lIEMRBM4SW9imFhjEQvbQcFj5Ih0Hlo+UJr3HLusgHRLeGLavqAxt87EL0QgKg&#10;9/oUpOuCr5QU6VYpkImYliK3VM5Yzk0+2XrFm23koddiosH/gYXl2mHRM9Q1T5zsov4LymoRPXiV&#10;FsJb5pXSQhYNqOay+kPNfc+DLFqwORDObYL/Byu+7e8i0R3OjhLHLY7o+PR4fP55fPlB6tyeIUCD&#10;WfcB89L4yY85dfIDOrPqUUWbv6iHYBwbfTg3V46JiPyoXtZ1hSGBsfmCOOz1eYiQPktvSTZaGnF6&#10;pal8/xXSKXVOydWcv9HGoJ83xv3mQMzsYZn7iWO20rgZJ+Ib3x1Qz4CDb6nDzaTEfHHY17wjsxFn&#10;YzMbuxD1ti9LlOtB+LhLSKJwyxVOsFNhnFhRN21XXom395L1+g+s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AotJK4BAABLAwAADgAAAAAAAAABACAAAAA0AQAAZHJzL2Uyb0RvYy54bWxQ&#10;SwUGAAAAAAYABgBZAQAAVA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70E32"/>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CF64C5A"/>
    <w:rsid w:val="0D2A2435"/>
    <w:rsid w:val="0DA001B0"/>
    <w:rsid w:val="0DE3083D"/>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91DB3"/>
    <w:rsid w:val="1E3A3FD0"/>
    <w:rsid w:val="1EB55C07"/>
    <w:rsid w:val="1F351A10"/>
    <w:rsid w:val="1F857EA5"/>
    <w:rsid w:val="1FED47E9"/>
    <w:rsid w:val="206816AC"/>
    <w:rsid w:val="21134335"/>
    <w:rsid w:val="21CD354E"/>
    <w:rsid w:val="226E581D"/>
    <w:rsid w:val="22A4003E"/>
    <w:rsid w:val="23135C25"/>
    <w:rsid w:val="23EC61F6"/>
    <w:rsid w:val="244C543C"/>
    <w:rsid w:val="24624768"/>
    <w:rsid w:val="24A8271E"/>
    <w:rsid w:val="254029E1"/>
    <w:rsid w:val="259B5BC5"/>
    <w:rsid w:val="25EF7FBC"/>
    <w:rsid w:val="25F62C4E"/>
    <w:rsid w:val="265873AB"/>
    <w:rsid w:val="26643D6C"/>
    <w:rsid w:val="26FE109D"/>
    <w:rsid w:val="27073E1E"/>
    <w:rsid w:val="27B04AB3"/>
    <w:rsid w:val="27FC7C16"/>
    <w:rsid w:val="282C3BA1"/>
    <w:rsid w:val="28A63332"/>
    <w:rsid w:val="28AD191C"/>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9C7200"/>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564072"/>
    <w:rsid w:val="4D730507"/>
    <w:rsid w:val="4D741DD3"/>
    <w:rsid w:val="4DC93207"/>
    <w:rsid w:val="4E010C4C"/>
    <w:rsid w:val="4E214B2B"/>
    <w:rsid w:val="4E6A36FF"/>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11EC7"/>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BF8576D"/>
    <w:rsid w:val="5C1378B8"/>
    <w:rsid w:val="5C681D31"/>
    <w:rsid w:val="5CA506B9"/>
    <w:rsid w:val="5CF74CE4"/>
    <w:rsid w:val="5D5A7C63"/>
    <w:rsid w:val="5E256F6F"/>
    <w:rsid w:val="5EBD2BD2"/>
    <w:rsid w:val="5F6235A9"/>
    <w:rsid w:val="5F781C91"/>
    <w:rsid w:val="5FE34ACD"/>
    <w:rsid w:val="60DC439E"/>
    <w:rsid w:val="614125C2"/>
    <w:rsid w:val="61AA1D1F"/>
    <w:rsid w:val="624C5C52"/>
    <w:rsid w:val="63DF08E4"/>
    <w:rsid w:val="641066DF"/>
    <w:rsid w:val="64C04AFD"/>
    <w:rsid w:val="651C33B8"/>
    <w:rsid w:val="65570E19"/>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7FF125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2C7560"/>
    <w:rsid w:val="7F7FABCC"/>
    <w:rsid w:val="F7CF42EF"/>
    <w:rsid w:val="FA3B4E2C"/>
    <w:rsid w:val="FF3E07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5947</Words>
  <Characters>7181</Characters>
  <Lines>71</Lines>
  <Paragraphs>20</Paragraphs>
  <TotalTime>1</TotalTime>
  <ScaleCrop>false</ScaleCrop>
  <LinksUpToDate>false</LinksUpToDate>
  <CharactersWithSpaces>7742</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2022-02-21T09:24:00Z</dcterms:created>
  <dc:creator>Administrator</dc:creator>
  <cp:lastModifiedBy>kylin</cp:lastModifiedBy>
  <cp:lastPrinted>2025-02-12T03:07:00Z</cp:lastPrinted>
  <dcterms:modified xsi:type="dcterms:W3CDTF">2026-03-04T10:53:07Z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eyJoZGlkIjoiZjIzMWYyNjg2NmZkYjhlOGVmNzNjNjA2Y2Q0MzJlNzAiLCJ1c2VySWQiOiIxNjIyMTQ5Mzc0In0=</vt:lpwstr>
  </property>
  <property fmtid="{D5CDD505-2E9C-101B-9397-08002B2CF9AE}" pid="4" name="ICV">
    <vt:lpwstr>744488F424F8466AA77AAEADD6132731_13</vt:lpwstr>
  </property>
</Properties>
</file>