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hint="eastAsia" w:ascii="宋体" w:hAnsi="宋体" w:eastAsia="宋体" w:cs="宋体"/>
        </w:rPr>
      </w:pPr>
    </w:p>
    <w:p>
      <w:pPr>
        <w:spacing w:line="700" w:lineRule="exact"/>
        <w:rPr>
          <w:rFonts w:eastAsia="黑体"/>
        </w:rPr>
      </w:pPr>
    </w:p>
    <w:p>
      <w:pPr>
        <w:spacing w:line="700" w:lineRule="exact"/>
        <w:rPr>
          <w:rFonts w:eastAsia="黑体"/>
        </w:rPr>
      </w:pPr>
    </w:p>
    <w:p>
      <w:pPr>
        <w:spacing w:line="700" w:lineRule="exact"/>
        <w:rPr>
          <w:rFonts w:eastAsia="黑体"/>
        </w:rPr>
      </w:pPr>
    </w:p>
    <w:p>
      <w:pPr>
        <w:spacing w:line="700" w:lineRule="exact"/>
        <w:rPr>
          <w:rFonts w:eastAsia="黑体"/>
        </w:rPr>
      </w:pPr>
    </w:p>
    <w:p>
      <w:pPr>
        <w:jc w:val="center"/>
        <w:rPr>
          <w:rFonts w:hint="eastAsia" w:eastAsia="方正小标宋简体"/>
          <w:sz w:val="44"/>
          <w:szCs w:val="44"/>
          <w:u w:val="none"/>
          <w:lang w:eastAsia="zh-CN"/>
        </w:rPr>
      </w:pPr>
      <w:r>
        <w:rPr>
          <w:rFonts w:hint="eastAsia" w:eastAsia="方正小标宋简体"/>
          <w:sz w:val="44"/>
          <w:szCs w:val="44"/>
          <w:u w:val="none"/>
          <w:lang w:eastAsia="zh-CN"/>
        </w:rPr>
        <w:t>长春市统计局双阳区分局</w:t>
      </w:r>
    </w:p>
    <w:p>
      <w:pPr>
        <w:jc w:val="center"/>
        <w:rPr>
          <w:rFonts w:eastAsia="方正小标宋简体"/>
          <w:sz w:val="44"/>
          <w:szCs w:val="44"/>
        </w:rPr>
      </w:pP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pPr>
        <w:jc w:val="left"/>
      </w:pPr>
      <w:r>
        <w:tab/>
      </w:r>
      <w:r>
        <w:tab/>
      </w:r>
      <w:r>
        <w:tab/>
      </w:r>
      <w:r>
        <w:tab/>
      </w:r>
      <w:r>
        <w:tab/>
      </w:r>
      <w:r>
        <w:tab/>
      </w:r>
    </w:p>
    <w:p>
      <w:pPr>
        <w:jc w:val="left"/>
      </w:pPr>
    </w:p>
    <w:p>
      <w:pPr>
        <w:jc w:val="left"/>
      </w:pPr>
    </w:p>
    <w:p>
      <w:pPr>
        <w:jc w:val="left"/>
      </w:pPr>
    </w:p>
    <w:p>
      <w:pPr>
        <w:jc w:val="left"/>
      </w:pPr>
    </w:p>
    <w:p>
      <w:pPr>
        <w:jc w:val="left"/>
      </w:pPr>
      <w:r>
        <w:tab/>
      </w:r>
      <w:r>
        <w:tab/>
      </w:r>
      <w:r>
        <w:tab/>
      </w:r>
      <w:r>
        <w:tab/>
      </w:r>
      <w:r>
        <w:tab/>
      </w:r>
      <w:r>
        <w:tab/>
      </w:r>
    </w:p>
    <w:p>
      <w:pPr>
        <w:jc w:val="left"/>
      </w:pPr>
    </w:p>
    <w:p>
      <w:pPr>
        <w:jc w:val="left"/>
      </w:pPr>
    </w:p>
    <w:p>
      <w:pPr>
        <w:jc w:val="left"/>
      </w:pPr>
    </w:p>
    <w:p>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pPr>
        <w:rPr>
          <w:rFonts w:eastAsia="黑体"/>
        </w:rPr>
      </w:pPr>
    </w:p>
    <w:p>
      <w:pPr>
        <w:ind w:firstLine="640" w:firstLineChars="200"/>
        <w:rPr>
          <w:rFonts w:eastAsia="黑体"/>
        </w:rPr>
      </w:pPr>
    </w:p>
    <w:p>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pPr>
        <w:ind w:firstLine="640" w:firstLineChars="200"/>
        <w:rPr>
          <w:rFonts w:eastAsia="黑体"/>
        </w:rPr>
      </w:pPr>
    </w:p>
    <w:p>
      <w:pPr>
        <w:jc w:val="center"/>
        <w:rPr>
          <w:rFonts w:eastAsia="方正小标宋简体"/>
          <w:sz w:val="44"/>
          <w:szCs w:val="44"/>
        </w:rPr>
      </w:pPr>
      <w:r>
        <w:rPr>
          <w:rFonts w:eastAsia="方正小标宋简体"/>
          <w:sz w:val="44"/>
          <w:szCs w:val="44"/>
        </w:rPr>
        <w:t>目  录</w:t>
      </w:r>
    </w:p>
    <w:p>
      <w:pPr>
        <w:rPr>
          <w:rFonts w:eastAsia="黑体"/>
        </w:rPr>
      </w:pPr>
    </w:p>
    <w:p>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pPr>
        <w:ind w:left="320" w:leftChars="100" w:firstLine="320" w:firstLineChars="100"/>
      </w:pPr>
      <w:r>
        <w:t>一、主要职能</w:t>
      </w:r>
    </w:p>
    <w:p>
      <w:pPr>
        <w:ind w:left="320" w:leftChars="100" w:firstLine="320" w:firstLineChars="100"/>
      </w:pPr>
      <w:r>
        <w:t>二、机构设置</w:t>
      </w:r>
    </w:p>
    <w:p>
      <w:pPr>
        <w:rPr>
          <w:rFonts w:eastAsia="黑体"/>
        </w:rPr>
      </w:pPr>
      <w:r>
        <w:rPr>
          <w:rFonts w:eastAsia="黑体"/>
        </w:rPr>
        <w:t>第二部分  预算表格</w:t>
      </w:r>
    </w:p>
    <w:p>
      <w:pPr>
        <w:ind w:left="320" w:leftChars="100" w:firstLine="320" w:firstLineChars="100"/>
      </w:pPr>
      <w:r>
        <w:t>一、收支</w:t>
      </w:r>
      <w:r>
        <w:rPr>
          <w:rFonts w:hint="eastAsia"/>
          <w:lang w:eastAsia="zh-CN"/>
        </w:rPr>
        <w:t>预算</w:t>
      </w:r>
      <w:r>
        <w:rPr>
          <w:rFonts w:hint="eastAsia"/>
        </w:rPr>
        <w:t>总</w:t>
      </w:r>
      <w:r>
        <w:t>表</w:t>
      </w:r>
    </w:p>
    <w:p>
      <w:pPr>
        <w:ind w:left="320" w:leftChars="100" w:firstLine="320" w:firstLineChars="100"/>
      </w:pPr>
      <w:r>
        <w:t>二、收入</w:t>
      </w:r>
      <w:r>
        <w:rPr>
          <w:rFonts w:hint="eastAsia"/>
          <w:lang w:eastAsia="zh-CN"/>
        </w:rPr>
        <w:t>预算</w:t>
      </w:r>
      <w:r>
        <w:rPr>
          <w:rFonts w:hint="eastAsia"/>
        </w:rPr>
        <w:t>总</w:t>
      </w:r>
      <w:r>
        <w:t>表</w:t>
      </w:r>
    </w:p>
    <w:p>
      <w:pPr>
        <w:ind w:left="320" w:leftChars="100" w:firstLine="320" w:firstLineChars="100"/>
      </w:pPr>
      <w:r>
        <w:t>三、支出</w:t>
      </w:r>
      <w:r>
        <w:rPr>
          <w:rFonts w:hint="eastAsia"/>
          <w:lang w:eastAsia="zh-CN"/>
        </w:rPr>
        <w:t>预算</w:t>
      </w:r>
      <w:r>
        <w:rPr>
          <w:rFonts w:hint="eastAsia"/>
        </w:rPr>
        <w:t>总</w:t>
      </w:r>
      <w:r>
        <w:t>表</w:t>
      </w:r>
    </w:p>
    <w:p>
      <w:pPr>
        <w:ind w:left="320" w:leftChars="100" w:firstLine="320" w:firstLineChars="100"/>
      </w:pPr>
      <w:r>
        <w:t>四、财政拨款收支</w:t>
      </w:r>
      <w:r>
        <w:rPr>
          <w:rFonts w:hint="eastAsia"/>
          <w:lang w:eastAsia="zh-CN"/>
        </w:rPr>
        <w:t>预算</w:t>
      </w:r>
      <w:r>
        <w:rPr>
          <w:rFonts w:hint="eastAsia"/>
        </w:rPr>
        <w:t>总</w:t>
      </w:r>
      <w:r>
        <w:t>表</w:t>
      </w:r>
    </w:p>
    <w:p>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pPr>
        <w:ind w:left="320" w:leftChars="100" w:firstLine="320" w:firstLineChars="100"/>
      </w:pPr>
      <w:r>
        <w:t>七、一般公共预算“三公”经费支出</w:t>
      </w:r>
      <w:r>
        <w:rPr>
          <w:rFonts w:hint="eastAsia"/>
          <w:lang w:eastAsia="zh-CN"/>
        </w:rPr>
        <w:t>预算</w:t>
      </w:r>
      <w:r>
        <w:t>表</w:t>
      </w:r>
    </w:p>
    <w:p>
      <w:pPr>
        <w:ind w:left="320" w:leftChars="100" w:firstLine="320" w:firstLineChars="100"/>
      </w:pPr>
      <w:r>
        <w:t>八、政府性基金预算支出</w:t>
      </w:r>
      <w:r>
        <w:rPr>
          <w:rFonts w:hint="eastAsia"/>
          <w:lang w:eastAsia="zh-CN"/>
        </w:rPr>
        <w:t>预算</w:t>
      </w:r>
      <w:r>
        <w:t>表</w:t>
      </w:r>
    </w:p>
    <w:p>
      <w:pPr>
        <w:ind w:left="320" w:leftChars="100" w:firstLine="320" w:firstLineChars="100"/>
      </w:pPr>
      <w:r>
        <w:rPr>
          <w:rFonts w:hint="eastAsia"/>
        </w:rPr>
        <w:t>九、国有资本经营</w:t>
      </w:r>
      <w:r>
        <w:t>预算支出</w:t>
      </w:r>
      <w:r>
        <w:rPr>
          <w:rFonts w:hint="eastAsia"/>
          <w:lang w:eastAsia="zh-CN"/>
        </w:rPr>
        <w:t>预算</w:t>
      </w:r>
      <w:r>
        <w:t>表</w:t>
      </w:r>
    </w:p>
    <w:p>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pPr>
        <w:ind w:left="320" w:leftChars="100" w:firstLine="320" w:firstLineChars="100"/>
        <w:rPr>
          <w:rFonts w:hint="eastAsia" w:eastAsia="仿宋_GB2312"/>
          <w:lang w:eastAsia="zh-CN"/>
        </w:rPr>
      </w:pPr>
      <w:r>
        <w:rPr>
          <w:rFonts w:hint="eastAsia"/>
          <w:lang w:eastAsia="zh-CN"/>
        </w:rPr>
        <w:t>十一、财政拨款委托业务费支出预算表</w:t>
      </w:r>
    </w:p>
    <w:p>
      <w:pPr>
        <w:ind w:firstLine="640" w:firstLineChars="200"/>
        <w:rPr>
          <w:rFonts w:hint="eastAsia"/>
        </w:rPr>
      </w:pPr>
      <w:r>
        <w:rPr>
          <w:rFonts w:hint="eastAsia"/>
        </w:rPr>
        <w:t>十</w:t>
      </w:r>
      <w:r>
        <w:rPr>
          <w:rFonts w:hint="eastAsia"/>
          <w:lang w:eastAsia="zh-CN"/>
        </w:rPr>
        <w:t>二</w:t>
      </w:r>
      <w:r>
        <w:rPr>
          <w:rFonts w:hint="eastAsia"/>
        </w:rPr>
        <w:t>、项目支出绩效目标表</w:t>
      </w:r>
    </w:p>
    <w:p>
      <w:pPr>
        <w:rPr>
          <w:rFonts w:eastAsia="黑体"/>
        </w:rPr>
      </w:pPr>
      <w:r>
        <w:rPr>
          <w:rFonts w:eastAsia="黑体"/>
        </w:rPr>
        <w:t>第三部分  情况说明</w:t>
      </w:r>
    </w:p>
    <w:p>
      <w:pPr>
        <w:rPr>
          <w:rFonts w:eastAsia="黑体"/>
        </w:rPr>
      </w:pPr>
      <w:r>
        <w:rPr>
          <w:rFonts w:eastAsia="黑体"/>
        </w:rPr>
        <w:t>第四部分  名词解释</w:t>
      </w:r>
    </w:p>
    <w:p>
      <w:pPr>
        <w:rPr>
          <w:rFonts w:eastAsia="黑体"/>
        </w:rPr>
      </w:pPr>
      <w:r>
        <w:rPr>
          <w:rFonts w:eastAsia="黑体"/>
        </w:rPr>
        <w:br w:type="page"/>
      </w:r>
    </w:p>
    <w:p>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pPr>
        <w:ind w:firstLine="640" w:firstLineChars="200"/>
        <w:rPr>
          <w:rFonts w:eastAsia="楷体_GB2312"/>
        </w:rPr>
      </w:pPr>
    </w:p>
    <w:p>
      <w:pPr>
        <w:ind w:firstLine="640" w:firstLineChars="200"/>
        <w:rPr>
          <w:rFonts w:eastAsia="楷体_GB2312"/>
        </w:rPr>
      </w:pPr>
      <w:r>
        <w:rPr>
          <w:rFonts w:eastAsia="楷体_GB2312"/>
        </w:rPr>
        <w:t>一、主要职能</w:t>
      </w:r>
    </w:p>
    <w:p>
      <w:pPr>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（一）贯彻执行国家统计方针、政策和法律、法规，制定全区统计规划以及统计调查计划；监督检查统计法律、法规的实施。组织领导全区统计工作，承担确保统计数据真实、准确、及时的责任。</w:t>
      </w:r>
    </w:p>
    <w:p>
      <w:pPr>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根据国家统一的基本统计制度，建立健全全区国民经济核算体系和统计指标体系，贯彻执行全省统一的基本统计报表制度和统计标准；汇编提供全区国民经济核算资料，监督管理全区统计机关国民经济核算工作。</w:t>
      </w:r>
    </w:p>
    <w:p>
      <w:pPr>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组织实施重大区情区力普查计划；统一组织协调全区社会经济统计调查；汇总全区的统计资料；对国民经济各行业、科技、资源环境和社会发展等情况进行统计分祈、统计预测预警和统计监督，向市局及区委、区政府和有关部门提供统计信息和咨询建议；收集、整理、提供全区及外县、市（区）的统计资料，并进行对比分析和研究。</w:t>
      </w:r>
    </w:p>
    <w:p>
      <w:pPr>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（四）统一核定、管理、公布全区基本统计资料，定期向社会公布全区国民经济和社会发展情况的统计信息。</w:t>
      </w:r>
    </w:p>
    <w:p>
      <w:pPr>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（五）建立、完善和管理全区统计信息化系统和统计数据体系；组织指导全区统计信息化网络和数据库系统建设。</w:t>
      </w:r>
    </w:p>
    <w:p>
      <w:pPr>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依法管理全区统计调查项目和统计标准，指导专业统计基础工作、统计基层业务基础建设；建立健全统计数据质量审核、监控和评估制庋，负责重要统计数据的审核、监控和评估，依法监督管理涉外调查活动。</w:t>
      </w:r>
    </w:p>
    <w:p>
      <w:pPr>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（七）承办省、市统计局和区政府交办的其他事项。</w:t>
      </w:r>
    </w:p>
    <w:p>
      <w:pPr>
        <w:ind w:firstLine="640" w:firstLineChars="200"/>
      </w:pPr>
      <w:r>
        <w:rPr>
          <w:rFonts w:eastAsia="楷体_GB2312"/>
        </w:rPr>
        <w:t>二、机构设置</w:t>
      </w:r>
    </w:p>
    <w:p>
      <w:pPr>
        <w:pStyle w:val="27"/>
        <w:ind w:firstLine="640" w:firstLineChars="200"/>
        <w:rPr>
          <w:rFonts w:hint="eastAsia" w:eastAsia="仿宋_GB2312"/>
        </w:rPr>
      </w:pPr>
      <w:r>
        <w:rPr>
          <w:rFonts w:hint="eastAsia" w:eastAsia="仿宋_GB2312"/>
        </w:rPr>
        <w:t>根据上述职责，长春市统计局双阳区分局内设2个机构，分别为综合科、社会经济统计科。</w:t>
      </w:r>
    </w:p>
    <w:p>
      <w:pPr>
        <w:pStyle w:val="27"/>
        <w:ind w:firstLine="640" w:firstLineChars="200"/>
        <w:rPr>
          <w:rFonts w:eastAsia="楷体"/>
        </w:rPr>
      </w:pPr>
      <w:r>
        <w:rPr>
          <w:rFonts w:hint="eastAsia" w:eastAsia="仿宋_GB2312"/>
        </w:rPr>
        <w:t>本单位无下设预算单位。</w:t>
      </w:r>
    </w:p>
    <w:p>
      <w:pPr>
        <w:pStyle w:val="27"/>
        <w:ind w:firstLine="640" w:firstLineChars="200"/>
        <w:rPr>
          <w:rFonts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eastAsia="黑体"/>
        </w:rPr>
      </w:pPr>
      <w:r>
        <w:rPr>
          <w:rFonts w:hint="eastAsia" w:hAnsi="楷体" w:eastAsia="楷体"/>
        </w:rPr>
        <w:br w:type="page"/>
      </w:r>
    </w:p>
    <w:p>
      <w:pPr>
        <w:jc w:val="center"/>
        <w:rPr>
          <w:rFonts w:eastAsia="黑体"/>
        </w:rPr>
      </w:pPr>
      <w:r>
        <w:rPr>
          <w:rFonts w:eastAsia="黑体"/>
        </w:rPr>
        <w:t>第二部分 预算表格</w:t>
      </w:r>
    </w:p>
    <w:tbl>
      <w:tblPr>
        <w:tblStyle w:val="11"/>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tblPrEx>
          <w:tblLayout w:type="fixed"/>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tblPrEx>
          <w:tblLayout w:type="fixed"/>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pPr>
              <w:widowControl/>
              <w:jc w:val="center"/>
              <w:rPr>
                <w:rFonts w:eastAsia="宋体"/>
                <w:kern w:val="0"/>
                <w:sz w:val="20"/>
              </w:rPr>
            </w:pPr>
          </w:p>
        </w:tc>
        <w:tc>
          <w:tcPr>
            <w:tcW w:w="1200" w:type="dxa"/>
            <w:gridSpan w:val="2"/>
            <w:tcBorders>
              <w:top w:val="nil"/>
              <w:left w:val="nil"/>
              <w:bottom w:val="nil"/>
              <w:right w:val="nil"/>
            </w:tcBorders>
            <w:noWrap w:val="0"/>
            <w:vAlign w:val="center"/>
          </w:tcPr>
          <w:p>
            <w:pPr>
              <w:widowControl/>
              <w:jc w:val="center"/>
              <w:rPr>
                <w:rFonts w:eastAsia="宋体"/>
                <w:kern w:val="0"/>
                <w:sz w:val="20"/>
              </w:rPr>
            </w:pPr>
          </w:p>
        </w:tc>
        <w:tc>
          <w:tcPr>
            <w:tcW w:w="2498" w:type="dxa"/>
            <w:gridSpan w:val="2"/>
            <w:tcBorders>
              <w:top w:val="nil"/>
              <w:left w:val="nil"/>
              <w:bottom w:val="nil"/>
              <w:right w:val="nil"/>
            </w:tcBorders>
            <w:noWrap w:val="0"/>
            <w:vAlign w:val="center"/>
          </w:tcPr>
          <w:p>
            <w:pPr>
              <w:widowControl/>
              <w:jc w:val="center"/>
              <w:rPr>
                <w:rFonts w:eastAsia="宋体"/>
                <w:kern w:val="0"/>
                <w:sz w:val="20"/>
              </w:rPr>
            </w:pPr>
          </w:p>
        </w:tc>
        <w:tc>
          <w:tcPr>
            <w:tcW w:w="2340" w:type="dxa"/>
            <w:gridSpan w:val="3"/>
            <w:tcBorders>
              <w:top w:val="nil"/>
              <w:left w:val="nil"/>
              <w:bottom w:val="nil"/>
              <w:right w:val="nil"/>
            </w:tcBorders>
            <w:noWrap w:val="0"/>
            <w:vAlign w:val="bottom"/>
          </w:tcPr>
          <w:p>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tblPrEx>
          <w:tblLayout w:type="fixed"/>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tblPrEx>
          <w:tblLayout w:type="fixed"/>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0"/>
                <w:lang w:val="en-US" w:eastAsia="zh-CN"/>
              </w:rPr>
            </w:pPr>
            <w:r>
              <w:rPr>
                <w:rFonts w:hint="eastAsia" w:eastAsia="宋体"/>
                <w:kern w:val="0"/>
                <w:sz w:val="20"/>
                <w:lang w:val="en-US" w:eastAsia="zh-CN"/>
              </w:rPr>
              <w:t>204.16</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hint="eastAsia" w:eastAsia="宋体"/>
                <w:kern w:val="0"/>
                <w:sz w:val="20"/>
                <w:lang w:val="en-US" w:eastAsia="zh-CN"/>
              </w:rPr>
            </w:pPr>
            <w:r>
              <w:rPr>
                <w:rFonts w:hint="eastAsia" w:eastAsia="宋体"/>
                <w:kern w:val="0"/>
                <w:sz w:val="20"/>
                <w:lang w:val="en-US" w:eastAsia="zh-CN"/>
              </w:rPr>
              <w:t>204.16</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hint="eastAsia" w:eastAsia="宋体"/>
                <w:color w:val="C00000"/>
                <w:kern w:val="0"/>
                <w:sz w:val="20"/>
                <w:lang w:eastAsia="zh-CN"/>
              </w:rPr>
            </w:pPr>
            <w:r>
              <w:rPr>
                <w:rFonts w:eastAsia="宋体"/>
                <w:color w:val="000000"/>
                <w:kern w:val="0"/>
                <w:sz w:val="20"/>
              </w:rPr>
              <w:t>一、一般公共服务</w:t>
            </w:r>
            <w:r>
              <w:rPr>
                <w:rFonts w:hint="eastAsia" w:eastAsia="宋体"/>
                <w:color w:val="auto"/>
                <w:kern w:val="0"/>
                <w:sz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143.46</w:t>
            </w: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hint="eastAsia" w:eastAsia="宋体"/>
                <w:kern w:val="0"/>
                <w:sz w:val="20"/>
                <w:lang w:val="en-US" w:eastAsia="zh-CN"/>
              </w:rPr>
            </w:pPr>
            <w:r>
              <w:rPr>
                <w:rFonts w:hint="eastAsia" w:eastAsia="宋体"/>
                <w:kern w:val="0"/>
                <w:sz w:val="20"/>
                <w:lang w:val="en-US" w:eastAsia="zh-CN"/>
              </w:rPr>
              <w:t>143.46</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0"/>
                <w:lang w:val="en-US" w:eastAsia="zh-CN"/>
              </w:rPr>
            </w:pPr>
            <w:r>
              <w:rPr>
                <w:rFonts w:hint="eastAsia" w:eastAsia="宋体"/>
                <w:kern w:val="0"/>
                <w:sz w:val="20"/>
                <w:lang w:val="en-US" w:eastAsia="zh-CN"/>
              </w:rPr>
              <w:t>204.16</w:t>
            </w:r>
          </w:p>
        </w:tc>
        <w:tc>
          <w:tcPr>
            <w:tcW w:w="984" w:type="dxa"/>
            <w:gridSpan w:val="2"/>
            <w:tcBorders>
              <w:top w:val="nil"/>
              <w:left w:val="nil"/>
              <w:bottom w:val="single" w:color="auto" w:sz="4" w:space="0"/>
              <w:right w:val="single" w:color="auto" w:sz="4" w:space="0"/>
            </w:tcBorders>
            <w:noWrap w:val="0"/>
            <w:vAlign w:val="center"/>
          </w:tcPr>
          <w:p>
            <w:pPr>
              <w:jc w:val="center"/>
              <w:rPr>
                <w:rFonts w:hint="eastAsia" w:eastAsia="宋体"/>
                <w:kern w:val="0"/>
                <w:sz w:val="20"/>
                <w:lang w:val="en-US" w:eastAsia="zh-CN"/>
              </w:rPr>
            </w:pPr>
            <w:r>
              <w:rPr>
                <w:rFonts w:hint="eastAsia" w:eastAsia="宋体"/>
                <w:kern w:val="0"/>
                <w:sz w:val="20"/>
                <w:lang w:val="en-US" w:eastAsia="zh-CN"/>
              </w:rPr>
              <w:t>204.16</w:t>
            </w: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hint="eastAsia" w:eastAsia="宋体"/>
                <w:color w:val="000000"/>
                <w:kern w:val="0"/>
                <w:sz w:val="20"/>
                <w:lang w:eastAsia="zh-CN"/>
              </w:rPr>
            </w:pPr>
            <w:r>
              <w:rPr>
                <w:rFonts w:eastAsia="宋体"/>
                <w:color w:val="000000"/>
                <w:sz w:val="20"/>
              </w:rPr>
              <w:t>二、</w:t>
            </w:r>
            <w:r>
              <w:rPr>
                <w:rFonts w:hint="eastAsia" w:eastAsia="宋体"/>
                <w:color w:val="000000"/>
                <w:sz w:val="20"/>
                <w:lang w:eastAsia="zh-CN"/>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hint="eastAsia" w:eastAsia="宋体"/>
                <w:color w:val="000000"/>
                <w:kern w:val="0"/>
                <w:sz w:val="20"/>
                <w:lang w:val="en-US" w:eastAsia="zh-CN"/>
              </w:rPr>
            </w:pPr>
            <w:r>
              <w:rPr>
                <w:rFonts w:hint="eastAsia" w:eastAsia="宋体"/>
                <w:color w:val="000000"/>
                <w:kern w:val="0"/>
                <w:sz w:val="20"/>
                <w:lang w:val="en-US" w:eastAsia="zh-CN"/>
              </w:rPr>
              <w:t>38.64</w:t>
            </w:r>
          </w:p>
        </w:tc>
        <w:tc>
          <w:tcPr>
            <w:tcW w:w="1182" w:type="dxa"/>
            <w:gridSpan w:val="2"/>
            <w:tcBorders>
              <w:top w:val="nil"/>
              <w:left w:val="nil"/>
              <w:bottom w:val="single" w:color="auto" w:sz="4" w:space="0"/>
              <w:right w:val="single" w:color="auto" w:sz="4" w:space="0"/>
            </w:tcBorders>
            <w:noWrap w:val="0"/>
            <w:vAlign w:val="center"/>
          </w:tcPr>
          <w:p>
            <w:pPr>
              <w:jc w:val="center"/>
              <w:rPr>
                <w:rFonts w:hint="eastAsia" w:eastAsia="宋体"/>
                <w:kern w:val="0"/>
                <w:sz w:val="20"/>
                <w:lang w:val="en-US" w:eastAsia="zh-CN"/>
              </w:rPr>
            </w:pPr>
            <w:r>
              <w:rPr>
                <w:rFonts w:hint="eastAsia" w:eastAsia="宋体"/>
                <w:kern w:val="0"/>
                <w:sz w:val="20"/>
                <w:lang w:val="en-US" w:eastAsia="zh-CN"/>
              </w:rPr>
              <w:t>38.64</w:t>
            </w: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hint="eastAsia" w:eastAsia="宋体"/>
                <w:color w:val="000000"/>
                <w:kern w:val="0"/>
                <w:sz w:val="20"/>
                <w:lang w:eastAsia="zh-CN"/>
              </w:rPr>
            </w:pPr>
            <w:r>
              <w:rPr>
                <w:rFonts w:eastAsia="宋体"/>
                <w:color w:val="000000"/>
                <w:sz w:val="20"/>
              </w:rPr>
              <w:t>三、</w:t>
            </w:r>
            <w:r>
              <w:rPr>
                <w:rFonts w:hint="eastAsia" w:eastAsia="宋体"/>
                <w:color w:val="000000"/>
                <w:sz w:val="20"/>
                <w:lang w:eastAsia="zh-CN"/>
              </w:rPr>
              <w:t>卫生健康支出</w:t>
            </w:r>
          </w:p>
        </w:tc>
        <w:tc>
          <w:tcPr>
            <w:tcW w:w="1156"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hint="eastAsia" w:eastAsia="宋体"/>
                <w:color w:val="000000"/>
                <w:kern w:val="0"/>
                <w:sz w:val="20"/>
                <w:lang w:val="en-US" w:eastAsia="zh-CN"/>
              </w:rPr>
            </w:pPr>
            <w:r>
              <w:rPr>
                <w:rFonts w:hint="eastAsia" w:eastAsia="宋体"/>
                <w:color w:val="000000"/>
                <w:kern w:val="0"/>
                <w:sz w:val="20"/>
                <w:lang w:val="en-US" w:eastAsia="zh-CN"/>
              </w:rPr>
              <w:t>10.76</w:t>
            </w:r>
          </w:p>
        </w:tc>
        <w:tc>
          <w:tcPr>
            <w:tcW w:w="1182" w:type="dxa"/>
            <w:gridSpan w:val="2"/>
            <w:tcBorders>
              <w:top w:val="nil"/>
              <w:left w:val="nil"/>
              <w:bottom w:val="single" w:color="auto" w:sz="4" w:space="0"/>
              <w:right w:val="single" w:color="auto" w:sz="4" w:space="0"/>
            </w:tcBorders>
            <w:noWrap w:val="0"/>
            <w:vAlign w:val="center"/>
          </w:tcPr>
          <w:p>
            <w:pPr>
              <w:jc w:val="center"/>
              <w:rPr>
                <w:rFonts w:hint="eastAsia" w:eastAsia="宋体"/>
                <w:kern w:val="0"/>
                <w:sz w:val="20"/>
                <w:lang w:val="en-US" w:eastAsia="zh-CN"/>
              </w:rPr>
            </w:pPr>
            <w:r>
              <w:rPr>
                <w:rFonts w:hint="eastAsia" w:eastAsia="宋体"/>
                <w:kern w:val="0"/>
                <w:sz w:val="20"/>
                <w:lang w:val="en-US" w:eastAsia="zh-CN"/>
              </w:rPr>
              <w:t>10.76</w:t>
            </w: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eastAsia="宋体"/>
                <w:color w:val="000000"/>
                <w:kern w:val="0"/>
                <w:sz w:val="20"/>
              </w:rPr>
            </w:pPr>
            <w:r>
              <w:rPr>
                <w:rFonts w:hint="eastAsia" w:ascii="宋体" w:eastAsia="宋体"/>
                <w:sz w:val="20"/>
              </w:rPr>
              <w:t>四、住房保障支出</w:t>
            </w:r>
          </w:p>
        </w:tc>
        <w:tc>
          <w:tcPr>
            <w:tcW w:w="1156"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hint="eastAsia" w:eastAsia="宋体"/>
                <w:color w:val="000000"/>
                <w:kern w:val="0"/>
                <w:sz w:val="20"/>
                <w:lang w:val="en-US" w:eastAsia="zh-CN"/>
              </w:rPr>
            </w:pPr>
            <w:r>
              <w:rPr>
                <w:rFonts w:hint="eastAsia" w:eastAsia="宋体"/>
                <w:color w:val="000000"/>
                <w:kern w:val="0"/>
                <w:sz w:val="20"/>
                <w:lang w:val="en-US" w:eastAsia="zh-CN"/>
              </w:rPr>
              <w:t>11.30</w:t>
            </w:r>
          </w:p>
        </w:tc>
        <w:tc>
          <w:tcPr>
            <w:tcW w:w="1182" w:type="dxa"/>
            <w:gridSpan w:val="2"/>
            <w:tcBorders>
              <w:top w:val="nil"/>
              <w:left w:val="nil"/>
              <w:bottom w:val="single" w:color="auto" w:sz="4" w:space="0"/>
              <w:right w:val="single" w:color="auto" w:sz="4" w:space="0"/>
            </w:tcBorders>
            <w:noWrap w:val="0"/>
            <w:vAlign w:val="center"/>
          </w:tcPr>
          <w:p>
            <w:pPr>
              <w:jc w:val="center"/>
              <w:rPr>
                <w:rFonts w:hint="eastAsia" w:eastAsia="宋体"/>
                <w:kern w:val="0"/>
                <w:sz w:val="20"/>
                <w:lang w:val="en-US" w:eastAsia="zh-CN"/>
              </w:rPr>
            </w:pPr>
            <w:r>
              <w:rPr>
                <w:rFonts w:hint="eastAsia" w:eastAsia="宋体"/>
                <w:kern w:val="0"/>
                <w:sz w:val="20"/>
                <w:lang w:val="en-US" w:eastAsia="zh-CN"/>
              </w:rPr>
              <w:t>11.30</w:t>
            </w: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pPr>
              <w:jc w:val="center"/>
              <w:rPr>
                <w:rFonts w:hint="eastAsia" w:eastAsia="宋体"/>
                <w:sz w:val="20"/>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0"/>
                <w:lang w:val="en-US" w:eastAsia="zh-CN"/>
              </w:rPr>
            </w:pPr>
            <w:r>
              <w:rPr>
                <w:rFonts w:hint="eastAsia" w:eastAsia="宋体"/>
                <w:kern w:val="0"/>
                <w:sz w:val="20"/>
                <w:lang w:val="en-US" w:eastAsia="zh-CN"/>
              </w:rPr>
              <w:t>204.16</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hint="eastAsia" w:eastAsia="宋体"/>
                <w:kern w:val="0"/>
                <w:sz w:val="20"/>
                <w:lang w:val="en-US" w:eastAsia="zh-CN"/>
              </w:rPr>
            </w:pPr>
            <w:r>
              <w:rPr>
                <w:rFonts w:hint="eastAsia" w:eastAsia="宋体"/>
                <w:kern w:val="0"/>
                <w:sz w:val="20"/>
                <w:lang w:val="en-US" w:eastAsia="zh-CN"/>
              </w:rPr>
              <w:t>204.16</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hint="eastAsia" w:eastAsia="宋体"/>
                <w:b/>
                <w:bCs/>
                <w:kern w:val="0"/>
                <w:sz w:val="20"/>
                <w:lang w:val="en-US" w:eastAsia="zh-CN"/>
              </w:rPr>
            </w:pPr>
            <w:r>
              <w:rPr>
                <w:rFonts w:hint="eastAsia" w:eastAsia="宋体"/>
                <w:b w:val="0"/>
                <w:bCs w:val="0"/>
                <w:kern w:val="0"/>
                <w:sz w:val="20"/>
                <w:lang w:val="en-US" w:eastAsia="zh-CN"/>
              </w:rPr>
              <w:t>204.16</w:t>
            </w: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hint="eastAsia" w:eastAsia="宋体"/>
                <w:kern w:val="0"/>
                <w:sz w:val="20"/>
                <w:lang w:val="en-US" w:eastAsia="zh-CN"/>
              </w:rPr>
            </w:pPr>
            <w:r>
              <w:rPr>
                <w:rFonts w:hint="eastAsia" w:eastAsia="宋体"/>
                <w:kern w:val="0"/>
                <w:sz w:val="20"/>
                <w:lang w:val="en-US" w:eastAsia="zh-CN"/>
              </w:rPr>
              <w:t>204.16</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0"/>
                <w:lang w:val="en-US" w:eastAsia="zh-CN"/>
              </w:rPr>
            </w:pPr>
            <w:r>
              <w:rPr>
                <w:rFonts w:hint="eastAsia" w:eastAsia="宋体"/>
                <w:kern w:val="0"/>
                <w:sz w:val="20"/>
                <w:lang w:val="en-US" w:eastAsia="zh-CN"/>
              </w:rPr>
              <w:t>204.16</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hint="eastAsia" w:eastAsia="宋体"/>
                <w:kern w:val="0"/>
                <w:sz w:val="20"/>
                <w:lang w:val="en-US" w:eastAsia="zh-CN"/>
              </w:rPr>
            </w:pPr>
            <w:r>
              <w:rPr>
                <w:rFonts w:hint="eastAsia" w:eastAsia="宋体"/>
                <w:kern w:val="0"/>
                <w:sz w:val="20"/>
                <w:lang w:val="en-US" w:eastAsia="zh-CN"/>
              </w:rPr>
              <w:t>204.16</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hint="eastAsia" w:eastAsia="宋体"/>
                <w:kern w:val="0"/>
                <w:sz w:val="20"/>
                <w:lang w:val="en-US" w:eastAsia="zh-CN"/>
              </w:rPr>
            </w:pPr>
            <w:r>
              <w:rPr>
                <w:rFonts w:hint="eastAsia" w:eastAsia="宋体"/>
                <w:kern w:val="0"/>
                <w:sz w:val="20"/>
                <w:lang w:val="en-US" w:eastAsia="zh-CN"/>
              </w:rPr>
              <w:t>204.16</w:t>
            </w: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hint="eastAsia" w:eastAsia="宋体"/>
                <w:kern w:val="0"/>
                <w:sz w:val="20"/>
                <w:lang w:val="en-US" w:eastAsia="zh-CN"/>
              </w:rPr>
            </w:pPr>
            <w:r>
              <w:rPr>
                <w:rFonts w:hint="eastAsia" w:eastAsia="宋体"/>
                <w:kern w:val="0"/>
                <w:sz w:val="20"/>
                <w:lang w:val="en-US" w:eastAsia="zh-CN"/>
              </w:rPr>
              <w:t>204.16</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bl>
    <w:p>
      <w:pPr>
        <w:ind w:firstLine="640" w:firstLineChars="200"/>
        <w:rPr>
          <w:rFonts w:eastAsia="楷体_GB2312"/>
          <w:strike/>
        </w:rPr>
      </w:pPr>
    </w:p>
    <w:p>
      <w:pPr>
        <w:ind w:firstLine="640" w:firstLineChars="200"/>
        <w:rPr>
          <w:rFonts w:eastAsia="楷体_GB2312"/>
        </w:rPr>
      </w:pPr>
    </w:p>
    <w:p>
      <w:pPr>
        <w:rPr>
          <w:rFonts w:hAnsi="楷体" w:eastAsia="楷体"/>
        </w:rPr>
      </w:pPr>
    </w:p>
    <w:p>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11"/>
        <w:tblW w:w="10488" w:type="dxa"/>
        <w:jc w:val="center"/>
        <w:tblInd w:w="0" w:type="dxa"/>
        <w:tblLayout w:type="fixed"/>
        <w:tblCellMar>
          <w:top w:w="0" w:type="dxa"/>
          <w:left w:w="108" w:type="dxa"/>
          <w:bottom w:w="0" w:type="dxa"/>
          <w:right w:w="108" w:type="dxa"/>
        </w:tblCellMar>
      </w:tblPr>
      <w:tblGrid>
        <w:gridCol w:w="1258"/>
        <w:gridCol w:w="837"/>
        <w:gridCol w:w="817"/>
        <w:gridCol w:w="788"/>
        <w:gridCol w:w="360"/>
        <w:gridCol w:w="480"/>
        <w:gridCol w:w="450"/>
        <w:gridCol w:w="418"/>
        <w:gridCol w:w="571"/>
        <w:gridCol w:w="487"/>
        <w:gridCol w:w="488"/>
        <w:gridCol w:w="488"/>
        <w:gridCol w:w="486"/>
        <w:gridCol w:w="556"/>
        <w:gridCol w:w="492"/>
        <w:gridCol w:w="1"/>
        <w:gridCol w:w="504"/>
        <w:gridCol w:w="487"/>
        <w:gridCol w:w="520"/>
      </w:tblGrid>
      <w:tr>
        <w:tblPrEx>
          <w:tblLayout w:type="fixed"/>
          <w:tblCellMar>
            <w:top w:w="0" w:type="dxa"/>
            <w:left w:w="108" w:type="dxa"/>
            <w:bottom w:w="0" w:type="dxa"/>
            <w:right w:w="108" w:type="dxa"/>
          </w:tblCellMar>
        </w:tblPrEx>
        <w:trPr>
          <w:trHeight w:val="335" w:hRule="atLeast"/>
          <w:jc w:val="center"/>
        </w:trPr>
        <w:tc>
          <w:tcPr>
            <w:tcW w:w="1258" w:type="dxa"/>
            <w:tcBorders>
              <w:bottom w:val="single" w:color="000000" w:sz="4" w:space="0"/>
            </w:tcBorders>
            <w:noWrap w:val="0"/>
            <w:vAlign w:val="top"/>
          </w:tcPr>
          <w:p>
            <w:pPr>
              <w:autoSpaceDN w:val="0"/>
              <w:jc w:val="left"/>
              <w:textAlignment w:val="center"/>
              <w:rPr>
                <w:rFonts w:eastAsia="华文细黑"/>
                <w:color w:val="000000"/>
                <w:sz w:val="20"/>
              </w:rPr>
            </w:pPr>
          </w:p>
        </w:tc>
        <w:tc>
          <w:tcPr>
            <w:tcW w:w="4721" w:type="dxa"/>
            <w:gridSpan w:val="8"/>
            <w:tcBorders>
              <w:bottom w:val="single" w:color="000000" w:sz="4" w:space="0"/>
            </w:tcBorders>
            <w:noWrap w:val="0"/>
            <w:vAlign w:val="center"/>
          </w:tcPr>
          <w:p>
            <w:pPr>
              <w:autoSpaceDN w:val="0"/>
              <w:jc w:val="left"/>
              <w:textAlignment w:val="center"/>
              <w:rPr>
                <w:rFonts w:eastAsia="华文细黑"/>
                <w:color w:val="000000"/>
                <w:sz w:val="20"/>
              </w:rPr>
            </w:pPr>
          </w:p>
        </w:tc>
        <w:tc>
          <w:tcPr>
            <w:tcW w:w="1463" w:type="dxa"/>
            <w:gridSpan w:val="3"/>
            <w:noWrap w:val="0"/>
            <w:vAlign w:val="center"/>
          </w:tcPr>
          <w:p>
            <w:pPr>
              <w:autoSpaceDN w:val="0"/>
              <w:jc w:val="left"/>
              <w:textAlignment w:val="center"/>
              <w:rPr>
                <w:rFonts w:eastAsia="华文细黑"/>
                <w:color w:val="000000"/>
                <w:sz w:val="20"/>
              </w:rPr>
            </w:pPr>
          </w:p>
        </w:tc>
        <w:tc>
          <w:tcPr>
            <w:tcW w:w="486" w:type="dxa"/>
            <w:noWrap w:val="0"/>
            <w:vAlign w:val="center"/>
          </w:tcPr>
          <w:p>
            <w:pPr>
              <w:autoSpaceDN w:val="0"/>
              <w:jc w:val="left"/>
              <w:textAlignment w:val="center"/>
              <w:rPr>
                <w:rFonts w:eastAsia="华文细黑"/>
                <w:color w:val="000000"/>
                <w:sz w:val="20"/>
              </w:rPr>
            </w:pPr>
          </w:p>
        </w:tc>
        <w:tc>
          <w:tcPr>
            <w:tcW w:w="556" w:type="dxa"/>
            <w:noWrap w:val="0"/>
            <w:vAlign w:val="center"/>
          </w:tcPr>
          <w:p>
            <w:pPr>
              <w:autoSpaceDN w:val="0"/>
              <w:jc w:val="left"/>
              <w:textAlignment w:val="center"/>
              <w:rPr>
                <w:rFonts w:eastAsia="华文细黑"/>
                <w:color w:val="000000"/>
                <w:sz w:val="20"/>
              </w:rPr>
            </w:pPr>
          </w:p>
        </w:tc>
        <w:tc>
          <w:tcPr>
            <w:tcW w:w="493" w:type="dxa"/>
            <w:gridSpan w:val="2"/>
            <w:noWrap w:val="0"/>
            <w:vAlign w:val="bottom"/>
          </w:tcPr>
          <w:p>
            <w:pPr>
              <w:autoSpaceDN w:val="0"/>
              <w:jc w:val="right"/>
              <w:textAlignment w:val="bottom"/>
              <w:rPr>
                <w:rFonts w:eastAsia="宋体"/>
                <w:color w:val="000000"/>
                <w:sz w:val="20"/>
              </w:rPr>
            </w:pPr>
          </w:p>
        </w:tc>
        <w:tc>
          <w:tcPr>
            <w:tcW w:w="1511" w:type="dxa"/>
            <w:gridSpan w:val="3"/>
            <w:noWrap w:val="0"/>
            <w:vAlign w:val="bottom"/>
          </w:tcPr>
          <w:p>
            <w:pPr>
              <w:wordWrap/>
              <w:autoSpaceDN w:val="0"/>
              <w:jc w:val="right"/>
              <w:textAlignment w:val="center"/>
              <w:rPr>
                <w:rFonts w:eastAsia="宋体"/>
                <w:color w:val="000000"/>
                <w:sz w:val="20"/>
              </w:rPr>
            </w:pPr>
            <w:r>
              <w:rPr>
                <w:rFonts w:eastAsia="宋体"/>
                <w:color w:val="000000"/>
                <w:sz w:val="20"/>
              </w:rPr>
              <w:t>单位：万元</w:t>
            </w:r>
          </w:p>
        </w:tc>
      </w:tr>
      <w:tr>
        <w:tblPrEx>
          <w:tblLayout w:type="fixed"/>
          <w:tblCellMar>
            <w:top w:w="0" w:type="dxa"/>
            <w:left w:w="108" w:type="dxa"/>
            <w:bottom w:w="0" w:type="dxa"/>
            <w:right w:w="108" w:type="dxa"/>
          </w:tblCellMar>
        </w:tblPrEx>
        <w:trPr>
          <w:trHeight w:val="517" w:hRule="atLeast"/>
          <w:jc w:val="center"/>
        </w:trPr>
        <w:tc>
          <w:tcPr>
            <w:tcW w:w="1258" w:type="dxa"/>
            <w:vMerge w:val="restart"/>
            <w:tcBorders>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37" w:type="dxa"/>
            <w:vMerge w:val="restart"/>
            <w:tcBorders>
              <w:top w:val="single" w:color="000000" w:sz="4" w:space="0"/>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347" w:type="dxa"/>
            <w:gridSpan w:val="10"/>
            <w:tcBorders>
              <w:top w:val="single" w:color="000000" w:sz="4" w:space="0"/>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046" w:type="dxa"/>
            <w:gridSpan w:val="7"/>
            <w:tcBorders>
              <w:top w:val="single" w:color="000000" w:sz="4" w:space="0"/>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tblPrEx>
          <w:tblLayout w:type="fixed"/>
          <w:tblCellMar>
            <w:top w:w="0" w:type="dxa"/>
            <w:left w:w="108" w:type="dxa"/>
            <w:bottom w:w="0" w:type="dxa"/>
            <w:right w:w="108" w:type="dxa"/>
          </w:tblCellMar>
        </w:tblPrEx>
        <w:trPr>
          <w:trHeight w:val="517" w:hRule="atLeast"/>
          <w:jc w:val="center"/>
        </w:trPr>
        <w:tc>
          <w:tcPr>
            <w:tcW w:w="1258" w:type="dxa"/>
            <w:vMerge w:val="continue"/>
            <w:tcBorders>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p>
        </w:tc>
        <w:tc>
          <w:tcPr>
            <w:tcW w:w="837" w:type="dxa"/>
            <w:vMerge w:val="continue"/>
            <w:tcBorders>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p>
        </w:tc>
        <w:tc>
          <w:tcPr>
            <w:tcW w:w="817" w:type="dxa"/>
            <w:vMerge w:val="restart"/>
            <w:tcBorders>
              <w:top w:val="single" w:color="000000" w:sz="4" w:space="0"/>
              <w:left w:val="single" w:color="000000" w:sz="4" w:space="0"/>
              <w:right w:val="single" w:color="auto"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628" w:type="dxa"/>
            <w:gridSpan w:val="3"/>
            <w:tcBorders>
              <w:top w:val="single" w:color="000000" w:sz="4" w:space="0"/>
              <w:left w:val="single" w:color="auto" w:sz="4" w:space="0"/>
              <w:right w:val="single" w:color="auto" w:sz="4" w:space="0"/>
            </w:tcBorders>
            <w:noWrap w:val="0"/>
            <w:vAlign w:val="center"/>
          </w:tcPr>
          <w:p>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50" w:type="dxa"/>
            <w:vMerge w:val="restart"/>
            <w:tcBorders>
              <w:top w:val="single" w:color="000000" w:sz="4" w:space="0"/>
              <w:left w:val="single" w:color="auto" w:sz="4" w:space="0"/>
              <w:right w:val="single" w:color="auto"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452" w:type="dxa"/>
            <w:gridSpan w:val="5"/>
            <w:tcBorders>
              <w:top w:val="single" w:color="000000" w:sz="4" w:space="0"/>
              <w:left w:val="single" w:color="auto" w:sz="4" w:space="0"/>
              <w:right w:val="single" w:color="000000"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86" w:type="dxa"/>
            <w:vMerge w:val="restart"/>
            <w:tcBorders>
              <w:top w:val="single" w:color="000000" w:sz="4" w:space="0"/>
              <w:left w:val="single" w:color="000000" w:sz="4" w:space="0"/>
              <w:right w:val="single" w:color="auto"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53" w:type="dxa"/>
            <w:gridSpan w:val="4"/>
            <w:tcBorders>
              <w:top w:val="single" w:color="000000" w:sz="4" w:space="0"/>
              <w:left w:val="single" w:color="auto" w:sz="4" w:space="0"/>
              <w:right w:val="single" w:color="auto"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tblPrEx>
          <w:tblLayout w:type="fixed"/>
          <w:tblCellMar>
            <w:top w:w="0" w:type="dxa"/>
            <w:left w:w="108" w:type="dxa"/>
            <w:bottom w:w="0" w:type="dxa"/>
            <w:right w:w="108" w:type="dxa"/>
          </w:tblCellMar>
        </w:tblPrEx>
        <w:trPr>
          <w:trHeight w:val="6089"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hd w:val="clear" w:color="auto" w:fill="FFFFFF"/>
              </w:rPr>
            </w:pPr>
          </w:p>
        </w:tc>
        <w:tc>
          <w:tcPr>
            <w:tcW w:w="837"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hd w:val="clear" w:color="auto" w:fill="FFFFFF"/>
                <w:lang w:eastAsia="zh-CN"/>
              </w:rPr>
            </w:pPr>
          </w:p>
        </w:tc>
        <w:tc>
          <w:tcPr>
            <w:tcW w:w="817"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1"/>
                <w:szCs w:val="21"/>
                <w:shd w:val="clear" w:color="auto" w:fill="FFFFFF"/>
                <w:lang w:eastAsia="zh-CN"/>
              </w:rPr>
            </w:pPr>
          </w:p>
        </w:tc>
        <w:tc>
          <w:tcPr>
            <w:tcW w:w="788"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360" w:type="dxa"/>
            <w:tcBorders>
              <w:top w:val="single" w:color="000000" w:sz="4" w:space="0"/>
              <w:left w:val="single" w:color="000000" w:sz="4" w:space="0"/>
              <w:bottom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50"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p>
        </w:tc>
        <w:tc>
          <w:tcPr>
            <w:tcW w:w="41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8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left"/>
              <w:rPr>
                <w:rFonts w:hint="eastAsia" w:eastAsia="宋体"/>
                <w:color w:val="000000"/>
                <w:sz w:val="20"/>
                <w:szCs w:val="20"/>
                <w:shd w:val="clear" w:color="auto" w:fill="FFFFFF"/>
                <w:lang w:eastAsia="zh-CN"/>
              </w:rPr>
            </w:pPr>
          </w:p>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tblPrEx>
          <w:tblLayout w:type="fixed"/>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pPr>
              <w:widowControl/>
              <w:jc w:val="left"/>
              <w:rPr>
                <w:rFonts w:eastAsia="宋体"/>
                <w:color w:val="000000"/>
                <w:sz w:val="20"/>
                <w:shd w:val="clear" w:color="auto" w:fill="FFFFFF"/>
              </w:rPr>
            </w:pPr>
            <w:r>
              <w:rPr>
                <w:rFonts w:hint="eastAsia" w:eastAsia="宋体"/>
                <w:color w:val="000000"/>
                <w:sz w:val="20"/>
                <w:shd w:val="clear" w:color="auto" w:fill="FFFFFF"/>
              </w:rPr>
              <w:t>长春市统计局双阳区分局</w:t>
            </w:r>
          </w:p>
        </w:tc>
        <w:tc>
          <w:tcPr>
            <w:tcW w:w="83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eastAsia" w:eastAsia="宋体"/>
                <w:color w:val="000000"/>
                <w:sz w:val="20"/>
                <w:shd w:val="clear" w:color="auto" w:fill="FFFFFF"/>
                <w:lang w:val="en-US" w:eastAsia="zh-CN"/>
              </w:rPr>
            </w:pPr>
            <w:r>
              <w:rPr>
                <w:rFonts w:hint="eastAsia" w:eastAsia="宋体"/>
                <w:color w:val="000000"/>
                <w:sz w:val="20"/>
                <w:shd w:val="clear" w:color="auto" w:fill="FFFFFF"/>
                <w:lang w:val="en-US" w:eastAsia="zh-CN"/>
              </w:rPr>
              <w:t>204.16</w:t>
            </w:r>
          </w:p>
        </w:tc>
        <w:tc>
          <w:tcPr>
            <w:tcW w:w="8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eastAsia" w:eastAsia="宋体"/>
                <w:color w:val="000000"/>
                <w:sz w:val="20"/>
                <w:shd w:val="clear" w:color="auto" w:fill="FFFFFF"/>
                <w:lang w:val="en-US" w:eastAsia="zh-CN"/>
              </w:rPr>
            </w:pPr>
            <w:r>
              <w:rPr>
                <w:rFonts w:hint="eastAsia" w:eastAsia="宋体"/>
                <w:color w:val="000000"/>
                <w:sz w:val="20"/>
                <w:shd w:val="clear" w:color="auto" w:fill="FFFFFF"/>
                <w:lang w:val="en-US" w:eastAsia="zh-CN"/>
              </w:rPr>
              <w:t>204.16</w:t>
            </w:r>
          </w:p>
        </w:tc>
        <w:tc>
          <w:tcPr>
            <w:tcW w:w="7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eastAsia" w:eastAsia="宋体"/>
                <w:color w:val="000000"/>
                <w:sz w:val="20"/>
                <w:shd w:val="clear" w:color="auto" w:fill="FFFFFF"/>
                <w:lang w:val="en-US" w:eastAsia="zh-CN"/>
              </w:rPr>
            </w:pPr>
            <w:r>
              <w:rPr>
                <w:rFonts w:hint="eastAsia" w:eastAsia="宋体"/>
                <w:color w:val="000000"/>
                <w:sz w:val="20"/>
                <w:shd w:val="clear" w:color="auto" w:fill="FFFFFF"/>
                <w:lang w:val="en-US" w:eastAsia="zh-CN"/>
              </w:rPr>
              <w:t>204.16</w:t>
            </w:r>
          </w:p>
        </w:tc>
        <w:tc>
          <w:tcPr>
            <w:tcW w:w="360"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r>
      <w:tr>
        <w:tblPrEx>
          <w:tblLayout w:type="fixed"/>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pPr>
              <w:widowControl/>
              <w:jc w:val="left"/>
              <w:rPr>
                <w:rFonts w:eastAsia="宋体"/>
                <w:color w:val="000000"/>
                <w:sz w:val="20"/>
                <w:shd w:val="clear" w:color="auto" w:fill="FFFFFF"/>
              </w:rPr>
            </w:pPr>
          </w:p>
        </w:tc>
        <w:tc>
          <w:tcPr>
            <w:tcW w:w="83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8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7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r>
      <w:tr>
        <w:tblPrEx>
          <w:tblLayout w:type="fixed"/>
          <w:tblCellMar>
            <w:top w:w="0" w:type="dxa"/>
            <w:left w:w="108" w:type="dxa"/>
            <w:bottom w:w="0" w:type="dxa"/>
            <w:right w:w="108" w:type="dxa"/>
          </w:tblCellMar>
        </w:tblPrEx>
        <w:trPr>
          <w:trHeight w:val="530"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3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204.16</w:t>
            </w:r>
          </w:p>
        </w:tc>
        <w:tc>
          <w:tcPr>
            <w:tcW w:w="8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204.16</w:t>
            </w:r>
          </w:p>
        </w:tc>
        <w:tc>
          <w:tcPr>
            <w:tcW w:w="7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204.16</w:t>
            </w:r>
          </w:p>
        </w:tc>
        <w:tc>
          <w:tcPr>
            <w:tcW w:w="360"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450"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color w:val="000000"/>
                <w:sz w:val="20"/>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r>
    </w:tbl>
    <w:p>
      <w:pPr>
        <w:rPr>
          <w:rFonts w:hAnsi="楷体" w:eastAsia="楷体"/>
        </w:rPr>
      </w:pPr>
    </w:p>
    <w:p>
      <w:pPr>
        <w:rPr>
          <w:rFonts w:hAnsi="楷体" w:eastAsia="楷体"/>
        </w:rPr>
      </w:pPr>
    </w:p>
    <w:p>
      <w:pPr>
        <w:ind w:firstLine="640" w:firstLineChars="200"/>
        <w:rPr>
          <w:rFonts w:eastAsia="楷体"/>
        </w:rPr>
      </w:pPr>
      <w:r>
        <w:rPr>
          <w:rFonts w:hAnsi="楷体" w:eastAsia="楷体"/>
        </w:rPr>
        <w:br w:type="page"/>
      </w:r>
    </w:p>
    <w:tbl>
      <w:tblPr>
        <w:tblStyle w:val="11"/>
        <w:tblW w:w="10420" w:type="dxa"/>
        <w:jc w:val="center"/>
        <w:tblInd w:w="0" w:type="dxa"/>
        <w:tblLayout w:type="fixed"/>
        <w:tblCellMar>
          <w:top w:w="0" w:type="dxa"/>
          <w:left w:w="108" w:type="dxa"/>
          <w:bottom w:w="0" w:type="dxa"/>
          <w:right w:w="108" w:type="dxa"/>
        </w:tblCellMar>
      </w:tblPr>
      <w:tblGrid>
        <w:gridCol w:w="9960"/>
        <w:gridCol w:w="460"/>
      </w:tblGrid>
      <w:tr>
        <w:tblPrEx>
          <w:tblLayout w:type="fixed"/>
          <w:tblCellMar>
            <w:top w:w="0" w:type="dxa"/>
            <w:left w:w="108" w:type="dxa"/>
            <w:bottom w:w="0" w:type="dxa"/>
            <w:right w:w="108" w:type="dxa"/>
          </w:tblCellMar>
        </w:tblPrEx>
        <w:trPr>
          <w:trHeight w:val="90" w:hRule="atLeast"/>
          <w:jc w:val="center"/>
        </w:trPr>
        <w:tc>
          <w:tcPr>
            <w:tcW w:w="10420" w:type="dxa"/>
            <w:gridSpan w:val="2"/>
            <w:tcBorders>
              <w:top w:val="nil"/>
              <w:left w:val="nil"/>
              <w:bottom w:val="nil"/>
              <w:right w:val="nil"/>
            </w:tcBorders>
            <w:noWrap w:val="0"/>
            <w:vAlign w:val="bottom"/>
          </w:tcPr>
          <w:p>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11"/>
              <w:tblW w:w="9840" w:type="dxa"/>
              <w:tblInd w:w="445" w:type="dxa"/>
              <w:tblLayout w:type="fixed"/>
              <w:tblCellMar>
                <w:top w:w="15" w:type="dxa"/>
                <w:left w:w="15" w:type="dxa"/>
                <w:bottom w:w="15" w:type="dxa"/>
                <w:right w:w="15" w:type="dxa"/>
              </w:tblCellMar>
            </w:tblPr>
            <w:tblGrid>
              <w:gridCol w:w="2685"/>
              <w:gridCol w:w="1050"/>
              <w:gridCol w:w="1200"/>
              <w:gridCol w:w="1095"/>
              <w:gridCol w:w="1079"/>
              <w:gridCol w:w="1266"/>
              <w:gridCol w:w="30"/>
              <w:gridCol w:w="1297"/>
              <w:gridCol w:w="138"/>
            </w:tblGrid>
            <w:tr>
              <w:tblPrEx>
                <w:tblLayout w:type="fixed"/>
                <w:tblCellMar>
                  <w:top w:w="15" w:type="dxa"/>
                  <w:left w:w="15" w:type="dxa"/>
                  <w:bottom w:w="15" w:type="dxa"/>
                  <w:right w:w="15" w:type="dxa"/>
                </w:tblCellMar>
              </w:tblPrEx>
              <w:trPr>
                <w:gridAfter w:val="1"/>
                <w:wAfter w:w="138" w:type="dxa"/>
                <w:trHeight w:val="636" w:hRule="atLeast"/>
              </w:trPr>
              <w:tc>
                <w:tcPr>
                  <w:tcW w:w="6030" w:type="dxa"/>
                  <w:gridSpan w:val="4"/>
                  <w:tcBorders>
                    <w:bottom w:val="single" w:color="000000" w:sz="4" w:space="0"/>
                  </w:tcBorders>
                  <w:noWrap w:val="0"/>
                  <w:vAlign w:val="center"/>
                </w:tcPr>
                <w:p>
                  <w:pPr>
                    <w:widowControl/>
                    <w:jc w:val="left"/>
                    <w:rPr>
                      <w:rFonts w:eastAsia="华文细黑"/>
                      <w:color w:val="000000"/>
                      <w:kern w:val="0"/>
                      <w:sz w:val="20"/>
                    </w:rPr>
                  </w:pPr>
                </w:p>
              </w:tc>
              <w:tc>
                <w:tcPr>
                  <w:tcW w:w="1079" w:type="dxa"/>
                  <w:tcBorders>
                    <w:bottom w:val="single" w:color="000000" w:sz="4" w:space="0"/>
                  </w:tcBorders>
                  <w:noWrap w:val="0"/>
                  <w:vAlign w:val="center"/>
                </w:tcPr>
                <w:p>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pPr>
                    <w:widowControl/>
                    <w:jc w:val="right"/>
                    <w:rPr>
                      <w:rFonts w:eastAsia="华文细黑"/>
                      <w:color w:val="000000"/>
                      <w:kern w:val="0"/>
                      <w:sz w:val="20"/>
                    </w:rPr>
                  </w:pPr>
                </w:p>
              </w:tc>
              <w:tc>
                <w:tcPr>
                  <w:tcW w:w="1297" w:type="dxa"/>
                  <w:tcBorders>
                    <w:bottom w:val="single" w:color="000000" w:sz="4" w:space="0"/>
                  </w:tcBorders>
                  <w:noWrap w:val="0"/>
                  <w:vAlign w:val="bottom"/>
                </w:tcPr>
                <w:p>
                  <w:pPr>
                    <w:widowControl/>
                    <w:jc w:val="right"/>
                    <w:rPr>
                      <w:rFonts w:eastAsia="华文细黑"/>
                      <w:color w:val="000000"/>
                      <w:kern w:val="0"/>
                      <w:sz w:val="20"/>
                    </w:rPr>
                  </w:pPr>
                  <w:r>
                    <w:rPr>
                      <w:rFonts w:eastAsia="华文细黑"/>
                      <w:color w:val="000000"/>
                      <w:kern w:val="0"/>
                      <w:sz w:val="20"/>
                    </w:rPr>
                    <w:t>单位：万元</w:t>
                  </w:r>
                </w:p>
              </w:tc>
            </w:tr>
            <w:tr>
              <w:tblPrEx>
                <w:tblLayout w:type="fixed"/>
                <w:tblCellMar>
                  <w:top w:w="15" w:type="dxa"/>
                  <w:left w:w="15" w:type="dxa"/>
                  <w:bottom w:w="15" w:type="dxa"/>
                  <w:right w:w="15" w:type="dxa"/>
                </w:tblCellMar>
              </w:tblPrEx>
              <w:trPr>
                <w:trHeight w:val="961" w:hRule="atLeast"/>
              </w:trPr>
              <w:tc>
                <w:tcPr>
                  <w:tcW w:w="2685"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050" w:type="dxa"/>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p>
                <w:p>
                  <w:pPr>
                    <w:widowControl/>
                    <w:jc w:val="center"/>
                    <w:rPr>
                      <w:rFonts w:eastAsia="华文细黑"/>
                      <w:color w:val="000000"/>
                      <w:kern w:val="0"/>
                      <w:sz w:val="20"/>
                    </w:rPr>
                  </w:pPr>
                  <w:r>
                    <w:rPr>
                      <w:rFonts w:eastAsia="华文细黑"/>
                      <w:color w:val="000000"/>
                      <w:kern w:val="0"/>
                      <w:sz w:val="20"/>
                    </w:rPr>
                    <w:t>基本</w:t>
                  </w:r>
                </w:p>
                <w:p>
                  <w:pPr>
                    <w:widowControl/>
                    <w:jc w:val="center"/>
                    <w:rPr>
                      <w:rFonts w:eastAsia="华文细黑"/>
                      <w:color w:val="000000"/>
                      <w:kern w:val="0"/>
                      <w:sz w:val="20"/>
                    </w:rPr>
                  </w:pPr>
                  <w:r>
                    <w:rPr>
                      <w:rFonts w:eastAsia="华文细黑"/>
                      <w:color w:val="000000"/>
                      <w:kern w:val="0"/>
                      <w:sz w:val="20"/>
                    </w:rPr>
                    <w:t>支出</w:t>
                  </w:r>
                </w:p>
                <w:p>
                  <w:pPr>
                    <w:widowControl/>
                    <w:jc w:val="center"/>
                    <w:rPr>
                      <w:rFonts w:eastAsia="华文细黑"/>
                      <w:color w:val="000000"/>
                      <w:kern w:val="0"/>
                      <w:sz w:val="20"/>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项目                                                               支出</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事业单位</w:t>
                  </w:r>
                </w:p>
                <w:p>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对附属                                           单位补                                      助支出</w:t>
                  </w:r>
                </w:p>
              </w:tc>
            </w:tr>
            <w:tr>
              <w:tblPrEx>
                <w:tblLayout w:type="fixed"/>
                <w:tblCellMar>
                  <w:top w:w="15" w:type="dxa"/>
                  <w:left w:w="15" w:type="dxa"/>
                  <w:bottom w:w="15" w:type="dxa"/>
                  <w:right w:w="15" w:type="dxa"/>
                </w:tblCellMar>
              </w:tblPrEx>
              <w:trPr>
                <w:trHeight w:val="496" w:hRule="atLeast"/>
              </w:trPr>
              <w:tc>
                <w:tcPr>
                  <w:tcW w:w="2685" w:type="dxa"/>
                  <w:tcBorders>
                    <w:top w:val="single" w:color="000000" w:sz="4" w:space="0"/>
                    <w:left w:val="single" w:color="000000" w:sz="4" w:space="0"/>
                    <w:bottom w:val="single" w:color="000000" w:sz="4" w:space="0"/>
                  </w:tcBorders>
                  <w:shd w:val="clear" w:color="000000" w:fill="FFFFFF"/>
                  <w:noWrap w:val="0"/>
                  <w:vAlign w:val="center"/>
                </w:tcPr>
                <w:p>
                  <w:pPr>
                    <w:widowControl/>
                    <w:jc w:val="both"/>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143.6</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172.46</w:t>
                  </w:r>
                </w:p>
              </w:tc>
              <w:tc>
                <w:tcPr>
                  <w:tcW w:w="10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31.70</w:t>
                  </w:r>
                </w:p>
              </w:tc>
              <w:tc>
                <w:tcPr>
                  <w:tcW w:w="10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Layout w:type="fixed"/>
              </w:tblPrEx>
              <w:trPr>
                <w:trHeight w:val="460" w:hRule="atLeast"/>
              </w:trPr>
              <w:tc>
                <w:tcPr>
                  <w:tcW w:w="2685"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lang w:eastAsia="zh-CN"/>
                    </w:rPr>
                    <w:t>统计信息</w:t>
                  </w:r>
                  <w:r>
                    <w:rPr>
                      <w:rFonts w:eastAsia="宋体"/>
                      <w:color w:val="000000"/>
                      <w:kern w:val="0"/>
                      <w:sz w:val="20"/>
                    </w:rPr>
                    <w:t>事务</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143.46</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111.76</w:t>
                  </w:r>
                </w:p>
              </w:tc>
              <w:tc>
                <w:tcPr>
                  <w:tcW w:w="10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31.70</w:t>
                  </w:r>
                </w:p>
              </w:tc>
              <w:tc>
                <w:tcPr>
                  <w:tcW w:w="10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Layout w:type="fixed"/>
              </w:tblPrEx>
              <w:trPr>
                <w:trHeight w:val="560" w:hRule="atLeast"/>
              </w:trPr>
              <w:tc>
                <w:tcPr>
                  <w:tcW w:w="2685"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eastAsia="宋体"/>
                      <w:color w:val="000000"/>
                      <w:kern w:val="0"/>
                      <w:sz w:val="20"/>
                    </w:rPr>
                    <w:t>行政运行</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111.76</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111.76</w:t>
                  </w:r>
                </w:p>
              </w:tc>
              <w:tc>
                <w:tcPr>
                  <w:tcW w:w="10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p>
              </w:tc>
              <w:tc>
                <w:tcPr>
                  <w:tcW w:w="10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Layout w:type="fixed"/>
              </w:tblPrEx>
              <w:trPr>
                <w:trHeight w:val="490" w:hRule="atLeast"/>
              </w:trPr>
              <w:tc>
                <w:tcPr>
                  <w:tcW w:w="2685"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eastAsia="宋体"/>
                      <w:color w:val="000000"/>
                      <w:kern w:val="0"/>
                      <w:sz w:val="20"/>
                      <w:lang w:eastAsia="zh-CN"/>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eastAsia="宋体"/>
                      <w:color w:val="000000"/>
                      <w:kern w:val="0"/>
                      <w:sz w:val="20"/>
                      <w:lang w:eastAsia="zh-CN"/>
                    </w:rPr>
                    <w:t>一般行政管理事务</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26.20</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26.20</w:t>
                  </w:r>
                </w:p>
              </w:tc>
              <w:tc>
                <w:tcPr>
                  <w:tcW w:w="10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Layout w:type="fixed"/>
              </w:tblPrEx>
              <w:trPr>
                <w:trHeight w:val="430" w:hRule="atLeast"/>
              </w:trPr>
              <w:tc>
                <w:tcPr>
                  <w:tcW w:w="2685" w:type="dxa"/>
                  <w:tcBorders>
                    <w:top w:val="single" w:color="000000" w:sz="4" w:space="0"/>
                    <w:left w:val="single" w:color="000000" w:sz="4" w:space="0"/>
                    <w:bottom w:val="single" w:color="000000" w:sz="4" w:space="0"/>
                  </w:tcBorders>
                  <w:shd w:val="clear" w:color="000000" w:fill="FFFFFF"/>
                  <w:noWrap w:val="0"/>
                  <w:vAlign w:val="center"/>
                </w:tcPr>
                <w:p>
                  <w:pPr>
                    <w:widowControl/>
                    <w:ind w:firstLine="800" w:firstLineChars="400"/>
                    <w:jc w:val="left"/>
                    <w:rPr>
                      <w:rFonts w:hint="eastAsia" w:eastAsia="宋体"/>
                      <w:color w:val="000000"/>
                      <w:kern w:val="0"/>
                      <w:sz w:val="20"/>
                      <w:lang w:eastAsia="zh-CN"/>
                    </w:rPr>
                  </w:pPr>
                  <w:r>
                    <w:rPr>
                      <w:rFonts w:hint="eastAsia" w:eastAsia="宋体"/>
                      <w:color w:val="000000"/>
                      <w:kern w:val="0"/>
                      <w:sz w:val="20"/>
                      <w:lang w:eastAsia="zh-CN"/>
                    </w:rPr>
                    <w:t>专项普查活动</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5.50</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5.50</w:t>
                  </w:r>
                </w:p>
              </w:tc>
              <w:tc>
                <w:tcPr>
                  <w:tcW w:w="10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460" w:hRule="atLeast"/>
              </w:trPr>
              <w:tc>
                <w:tcPr>
                  <w:tcW w:w="2685"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eastAsia="宋体"/>
                      <w:color w:val="000000"/>
                      <w:kern w:val="0"/>
                      <w:sz w:val="20"/>
                      <w:lang w:eastAsia="zh-CN"/>
                    </w:rPr>
                  </w:pPr>
                  <w:r>
                    <w:rPr>
                      <w:rFonts w:eastAsia="宋体"/>
                      <w:color w:val="000000"/>
                      <w:kern w:val="0"/>
                      <w:sz w:val="20"/>
                    </w:rPr>
                    <w:t>二、</w:t>
                  </w:r>
                  <w:r>
                    <w:rPr>
                      <w:rFonts w:hint="eastAsia" w:eastAsia="宋体"/>
                      <w:color w:val="000000"/>
                      <w:kern w:val="0"/>
                      <w:sz w:val="20"/>
                      <w:lang w:eastAsia="zh-CN"/>
                    </w:rPr>
                    <w:t>社会保障和就业支出</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38.64</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38.64</w:t>
                  </w:r>
                </w:p>
              </w:tc>
              <w:tc>
                <w:tcPr>
                  <w:tcW w:w="10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p>
              </w:tc>
              <w:tc>
                <w:tcPr>
                  <w:tcW w:w="10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520" w:hRule="atLeast"/>
              </w:trPr>
              <w:tc>
                <w:tcPr>
                  <w:tcW w:w="2685" w:type="dxa"/>
                  <w:tcBorders>
                    <w:top w:val="single" w:color="000000" w:sz="4" w:space="0"/>
                    <w:left w:val="single" w:color="000000" w:sz="4" w:space="0"/>
                    <w:bottom w:val="single" w:color="000000" w:sz="4" w:space="0"/>
                  </w:tcBorders>
                  <w:shd w:val="clear" w:color="000000" w:fill="FFFFFF"/>
                  <w:noWrap w:val="0"/>
                  <w:vAlign w:val="center"/>
                </w:tcPr>
                <w:p>
                  <w:pPr>
                    <w:widowControl/>
                    <w:ind w:firstLine="400" w:firstLineChars="200"/>
                    <w:jc w:val="left"/>
                    <w:rPr>
                      <w:rFonts w:hint="eastAsia" w:eastAsia="宋体"/>
                      <w:color w:val="000000"/>
                      <w:kern w:val="0"/>
                      <w:sz w:val="20"/>
                      <w:lang w:eastAsia="zh-CN"/>
                    </w:rPr>
                  </w:pPr>
                  <w:r>
                    <w:rPr>
                      <w:rFonts w:hint="eastAsia" w:eastAsia="宋体"/>
                      <w:color w:val="000000"/>
                      <w:kern w:val="0"/>
                      <w:sz w:val="20"/>
                      <w:lang w:eastAsia="zh-CN"/>
                    </w:rPr>
                    <w:t>行政事业单位养老支出</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38.64</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38.64</w:t>
                  </w:r>
                </w:p>
              </w:tc>
              <w:tc>
                <w:tcPr>
                  <w:tcW w:w="10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p>
              </w:tc>
              <w:tc>
                <w:tcPr>
                  <w:tcW w:w="10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550" w:hRule="atLeast"/>
              </w:trPr>
              <w:tc>
                <w:tcPr>
                  <w:tcW w:w="2685" w:type="dxa"/>
                  <w:tcBorders>
                    <w:top w:val="single" w:color="000000" w:sz="4" w:space="0"/>
                    <w:left w:val="single" w:color="000000" w:sz="4" w:space="0"/>
                    <w:bottom w:val="single" w:color="000000" w:sz="4" w:space="0"/>
                  </w:tcBorders>
                  <w:shd w:val="clear" w:color="000000" w:fill="FFFFFF"/>
                  <w:noWrap w:val="0"/>
                  <w:vAlign w:val="center"/>
                </w:tcPr>
                <w:p>
                  <w:pPr>
                    <w:widowControl/>
                    <w:ind w:firstLine="800" w:firstLineChars="400"/>
                    <w:jc w:val="left"/>
                    <w:rPr>
                      <w:rFonts w:hint="eastAsia" w:eastAsia="宋体"/>
                      <w:color w:val="000000"/>
                      <w:kern w:val="0"/>
                      <w:sz w:val="20"/>
                      <w:lang w:eastAsia="zh-CN"/>
                    </w:rPr>
                  </w:pPr>
                  <w:r>
                    <w:rPr>
                      <w:rFonts w:hint="eastAsia" w:eastAsia="宋体"/>
                      <w:color w:val="000000"/>
                      <w:kern w:val="0"/>
                      <w:sz w:val="20"/>
                      <w:lang w:eastAsia="zh-CN"/>
                    </w:rPr>
                    <w:t>行政单位离退休</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18.37</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18.37</w:t>
                  </w:r>
                </w:p>
              </w:tc>
              <w:tc>
                <w:tcPr>
                  <w:tcW w:w="10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p>
              </w:tc>
              <w:tc>
                <w:tcPr>
                  <w:tcW w:w="10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560" w:hRule="atLeast"/>
              </w:trPr>
              <w:tc>
                <w:tcPr>
                  <w:tcW w:w="2685" w:type="dxa"/>
                  <w:tcBorders>
                    <w:top w:val="single" w:color="000000" w:sz="4" w:space="0"/>
                    <w:left w:val="single" w:color="000000" w:sz="4" w:space="0"/>
                    <w:bottom w:val="single" w:color="000000" w:sz="4" w:space="0"/>
                  </w:tcBorders>
                  <w:shd w:val="clear" w:color="000000" w:fill="FFFFFF"/>
                  <w:noWrap w:val="0"/>
                  <w:vAlign w:val="center"/>
                </w:tcPr>
                <w:p>
                  <w:pPr>
                    <w:widowControl/>
                    <w:ind w:firstLine="800" w:firstLineChars="400"/>
                    <w:jc w:val="left"/>
                    <w:rPr>
                      <w:rFonts w:hint="eastAsia" w:eastAsia="宋体"/>
                      <w:color w:val="000000"/>
                      <w:kern w:val="0"/>
                      <w:sz w:val="20"/>
                      <w:lang w:eastAsia="zh-CN"/>
                    </w:rPr>
                  </w:pPr>
                  <w:r>
                    <w:rPr>
                      <w:rFonts w:hint="eastAsia" w:eastAsia="宋体"/>
                      <w:color w:val="000000"/>
                      <w:kern w:val="0"/>
                      <w:sz w:val="20"/>
                      <w:lang w:eastAsia="zh-CN"/>
                    </w:rPr>
                    <w:t>机关事业单位基本养老保险缴费支出</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13.51</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13.51</w:t>
                  </w:r>
                </w:p>
              </w:tc>
              <w:tc>
                <w:tcPr>
                  <w:tcW w:w="10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both"/>
                    <w:rPr>
                      <w:rFonts w:hint="eastAsia" w:eastAsia="宋体"/>
                      <w:color w:val="000000"/>
                      <w:kern w:val="0"/>
                      <w:sz w:val="20"/>
                      <w:lang w:val="en-US" w:eastAsia="zh-CN"/>
                    </w:rPr>
                  </w:pPr>
                </w:p>
              </w:tc>
              <w:tc>
                <w:tcPr>
                  <w:tcW w:w="10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560" w:hRule="atLeast"/>
              </w:trPr>
              <w:tc>
                <w:tcPr>
                  <w:tcW w:w="2685" w:type="dxa"/>
                  <w:tcBorders>
                    <w:top w:val="single" w:color="000000" w:sz="4" w:space="0"/>
                    <w:left w:val="single" w:color="000000" w:sz="4" w:space="0"/>
                    <w:bottom w:val="single" w:color="000000" w:sz="4" w:space="0"/>
                  </w:tcBorders>
                  <w:shd w:val="clear" w:color="000000" w:fill="FFFFFF"/>
                  <w:noWrap w:val="0"/>
                  <w:vAlign w:val="center"/>
                </w:tcPr>
                <w:p>
                  <w:pPr>
                    <w:widowControl/>
                    <w:ind w:firstLine="800" w:firstLineChars="400"/>
                    <w:jc w:val="left"/>
                    <w:rPr>
                      <w:rFonts w:hint="eastAsia" w:eastAsia="宋体"/>
                      <w:color w:val="000000"/>
                      <w:kern w:val="0"/>
                      <w:sz w:val="20"/>
                      <w:lang w:eastAsia="zh-CN"/>
                    </w:rPr>
                  </w:pPr>
                  <w:r>
                    <w:rPr>
                      <w:rFonts w:hint="eastAsia" w:eastAsia="宋体"/>
                      <w:color w:val="000000"/>
                      <w:kern w:val="0"/>
                      <w:sz w:val="20"/>
                      <w:lang w:eastAsia="zh-CN"/>
                    </w:rPr>
                    <w:t>机关事业单位职业年金缴费支出</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6.76</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6.76</w:t>
                  </w:r>
                </w:p>
              </w:tc>
              <w:tc>
                <w:tcPr>
                  <w:tcW w:w="10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both"/>
                    <w:rPr>
                      <w:rFonts w:hint="eastAsia" w:eastAsia="宋体"/>
                      <w:color w:val="000000"/>
                      <w:kern w:val="0"/>
                      <w:sz w:val="20"/>
                      <w:lang w:val="en-US" w:eastAsia="zh-CN"/>
                    </w:rPr>
                  </w:pPr>
                </w:p>
              </w:tc>
              <w:tc>
                <w:tcPr>
                  <w:tcW w:w="10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575" w:hRule="atLeast"/>
              </w:trPr>
              <w:tc>
                <w:tcPr>
                  <w:tcW w:w="2685" w:type="dxa"/>
                  <w:tcBorders>
                    <w:top w:val="single" w:color="000000" w:sz="4" w:space="0"/>
                    <w:left w:val="single" w:color="000000" w:sz="4" w:space="0"/>
                    <w:bottom w:val="single" w:color="000000" w:sz="4" w:space="0"/>
                  </w:tcBorders>
                  <w:shd w:val="clear" w:color="000000" w:fill="FFFFFF"/>
                  <w:noWrap w:val="0"/>
                  <w:vAlign w:val="center"/>
                </w:tcPr>
                <w:p>
                  <w:pPr>
                    <w:widowControl/>
                    <w:jc w:val="both"/>
                    <w:rPr>
                      <w:rFonts w:eastAsia="宋体"/>
                      <w:color w:val="000000"/>
                      <w:kern w:val="0"/>
                      <w:sz w:val="20"/>
                    </w:rPr>
                  </w:pPr>
                  <w:r>
                    <w:rPr>
                      <w:rFonts w:hint="eastAsia" w:eastAsia="宋体"/>
                      <w:color w:val="000000"/>
                      <w:kern w:val="0"/>
                      <w:sz w:val="20"/>
                      <w:lang w:eastAsia="zh-CN"/>
                    </w:rPr>
                    <w:t>三</w:t>
                  </w:r>
                  <w:r>
                    <w:rPr>
                      <w:rFonts w:eastAsia="宋体"/>
                      <w:color w:val="000000"/>
                      <w:kern w:val="0"/>
                      <w:sz w:val="20"/>
                    </w:rPr>
                    <w:t>、</w:t>
                  </w:r>
                  <w:r>
                    <w:rPr>
                      <w:rFonts w:hint="eastAsia" w:eastAsia="宋体"/>
                      <w:color w:val="000000"/>
                      <w:kern w:val="0"/>
                      <w:sz w:val="20"/>
                      <w:lang w:eastAsia="zh-CN"/>
                    </w:rPr>
                    <w:t>卫生健康支出</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10.76</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10.76</w:t>
                  </w:r>
                </w:p>
              </w:tc>
              <w:tc>
                <w:tcPr>
                  <w:tcW w:w="10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p>
              </w:tc>
              <w:tc>
                <w:tcPr>
                  <w:tcW w:w="10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535" w:hRule="atLeast"/>
              </w:trPr>
              <w:tc>
                <w:tcPr>
                  <w:tcW w:w="2685" w:type="dxa"/>
                  <w:tcBorders>
                    <w:top w:val="single" w:color="000000" w:sz="4" w:space="0"/>
                    <w:left w:val="single" w:color="000000" w:sz="4" w:space="0"/>
                    <w:bottom w:val="single" w:color="000000" w:sz="4" w:space="0"/>
                  </w:tcBorders>
                  <w:shd w:val="clear" w:color="000000" w:fill="FFFFFF"/>
                  <w:noWrap w:val="0"/>
                  <w:vAlign w:val="center"/>
                </w:tcPr>
                <w:p>
                  <w:pPr>
                    <w:widowControl/>
                    <w:ind w:firstLine="400" w:firstLineChars="200"/>
                    <w:jc w:val="both"/>
                    <w:rPr>
                      <w:rFonts w:hint="eastAsia" w:eastAsia="华文细黑"/>
                      <w:color w:val="000000"/>
                      <w:kern w:val="0"/>
                      <w:sz w:val="20"/>
                      <w:lang w:eastAsia="zh-CN"/>
                    </w:rPr>
                  </w:pPr>
                  <w:r>
                    <w:rPr>
                      <w:rFonts w:hint="eastAsia" w:eastAsia="华文细黑"/>
                      <w:color w:val="000000"/>
                      <w:kern w:val="0"/>
                      <w:sz w:val="20"/>
                      <w:lang w:eastAsia="zh-CN"/>
                    </w:rPr>
                    <w:t>行政事业单位医疗</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10.76</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10.76</w:t>
                  </w:r>
                </w:p>
              </w:tc>
              <w:tc>
                <w:tcPr>
                  <w:tcW w:w="10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both"/>
                    <w:rPr>
                      <w:rFonts w:hint="eastAsia" w:eastAsia="宋体"/>
                      <w:color w:val="000000"/>
                      <w:kern w:val="0"/>
                      <w:sz w:val="20"/>
                      <w:lang w:val="en-US" w:eastAsia="zh-CN"/>
                    </w:rPr>
                  </w:pPr>
                </w:p>
              </w:tc>
              <w:tc>
                <w:tcPr>
                  <w:tcW w:w="10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520" w:hRule="atLeast"/>
              </w:trPr>
              <w:tc>
                <w:tcPr>
                  <w:tcW w:w="2685"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hint="eastAsia" w:eastAsia="华文细黑"/>
                      <w:color w:val="000000"/>
                      <w:kern w:val="0"/>
                      <w:sz w:val="20"/>
                      <w:lang w:eastAsia="zh-CN"/>
                    </w:rPr>
                  </w:pPr>
                  <w:r>
                    <w:rPr>
                      <w:rFonts w:hint="eastAsia" w:eastAsia="华文细黑"/>
                      <w:color w:val="000000"/>
                      <w:kern w:val="0"/>
                      <w:sz w:val="20"/>
                      <w:lang w:eastAsia="zh-CN"/>
                    </w:rPr>
                    <w:t>行政单位医疗</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10.76</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10.76</w:t>
                  </w:r>
                </w:p>
              </w:tc>
              <w:tc>
                <w:tcPr>
                  <w:tcW w:w="10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p>
              </w:tc>
              <w:tc>
                <w:tcPr>
                  <w:tcW w:w="10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575" w:hRule="atLeast"/>
              </w:trPr>
              <w:tc>
                <w:tcPr>
                  <w:tcW w:w="2685" w:type="dxa"/>
                  <w:tcBorders>
                    <w:top w:val="single" w:color="000000" w:sz="4" w:space="0"/>
                    <w:left w:val="single" w:color="000000" w:sz="4" w:space="0"/>
                    <w:bottom w:val="single" w:color="000000" w:sz="4" w:space="0"/>
                  </w:tcBorders>
                  <w:shd w:val="clear" w:color="000000" w:fill="FFFFFF"/>
                  <w:noWrap w:val="0"/>
                  <w:vAlign w:val="center"/>
                </w:tcPr>
                <w:p>
                  <w:pPr>
                    <w:widowControl/>
                    <w:jc w:val="both"/>
                    <w:rPr>
                      <w:rFonts w:hint="eastAsia" w:eastAsia="华文细黑"/>
                      <w:color w:val="000000"/>
                      <w:kern w:val="0"/>
                      <w:sz w:val="20"/>
                      <w:lang w:eastAsia="zh-CN"/>
                    </w:rPr>
                  </w:pPr>
                  <w:r>
                    <w:rPr>
                      <w:rFonts w:hint="eastAsia" w:eastAsia="宋体"/>
                      <w:color w:val="000000"/>
                      <w:kern w:val="0"/>
                      <w:sz w:val="20"/>
                      <w:lang w:eastAsia="zh-CN"/>
                    </w:rPr>
                    <w:t>三</w:t>
                  </w:r>
                  <w:r>
                    <w:rPr>
                      <w:rFonts w:eastAsia="宋体"/>
                      <w:color w:val="000000"/>
                      <w:kern w:val="0"/>
                      <w:sz w:val="20"/>
                    </w:rPr>
                    <w:t>、</w:t>
                  </w:r>
                  <w:r>
                    <w:rPr>
                      <w:rFonts w:hint="eastAsia" w:eastAsia="宋体"/>
                      <w:color w:val="000000"/>
                      <w:kern w:val="0"/>
                      <w:sz w:val="20"/>
                      <w:lang w:eastAsia="zh-CN"/>
                    </w:rPr>
                    <w:t>住房保障支出</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11.30</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11.30</w:t>
                  </w:r>
                </w:p>
              </w:tc>
              <w:tc>
                <w:tcPr>
                  <w:tcW w:w="10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p>
              </w:tc>
              <w:tc>
                <w:tcPr>
                  <w:tcW w:w="10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550" w:hRule="atLeast"/>
              </w:trPr>
              <w:tc>
                <w:tcPr>
                  <w:tcW w:w="2685"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hint="eastAsia" w:eastAsia="华文细黑"/>
                      <w:color w:val="000000"/>
                      <w:kern w:val="0"/>
                      <w:sz w:val="20"/>
                      <w:lang w:eastAsia="zh-CN"/>
                    </w:rPr>
                  </w:pPr>
                  <w:r>
                    <w:rPr>
                      <w:rFonts w:hint="eastAsia" w:eastAsia="华文细黑"/>
                      <w:color w:val="000000"/>
                      <w:kern w:val="0"/>
                      <w:sz w:val="20"/>
                      <w:lang w:eastAsia="zh-CN"/>
                    </w:rPr>
                    <w:t>住房改革支出</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11.30</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11.30</w:t>
                  </w:r>
                </w:p>
              </w:tc>
              <w:tc>
                <w:tcPr>
                  <w:tcW w:w="10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p>
              </w:tc>
              <w:tc>
                <w:tcPr>
                  <w:tcW w:w="10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510" w:hRule="atLeast"/>
              </w:trPr>
              <w:tc>
                <w:tcPr>
                  <w:tcW w:w="2685"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hint="eastAsia" w:eastAsia="华文细黑"/>
                      <w:color w:val="000000"/>
                      <w:kern w:val="0"/>
                      <w:sz w:val="20"/>
                      <w:lang w:eastAsia="zh-CN"/>
                    </w:rPr>
                  </w:pPr>
                  <w:r>
                    <w:rPr>
                      <w:rFonts w:hint="eastAsia" w:eastAsia="华文细黑"/>
                      <w:color w:val="000000"/>
                      <w:kern w:val="0"/>
                      <w:sz w:val="20"/>
                      <w:lang w:eastAsia="zh-CN"/>
                    </w:rPr>
                    <w:t>住房公积金</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11.30</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11.30</w:t>
                  </w:r>
                </w:p>
              </w:tc>
              <w:tc>
                <w:tcPr>
                  <w:tcW w:w="10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p>
              </w:tc>
              <w:tc>
                <w:tcPr>
                  <w:tcW w:w="10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575" w:hRule="atLeast"/>
              </w:trPr>
              <w:tc>
                <w:tcPr>
                  <w:tcW w:w="2685"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hint="eastAsia" w:eastAsia="华文细黑"/>
                      <w:color w:val="000000"/>
                      <w:kern w:val="0"/>
                      <w:sz w:val="20"/>
                      <w:lang w:eastAsia="zh-CN"/>
                    </w:rPr>
                  </w:pPr>
                  <w:r>
                    <w:rPr>
                      <w:rFonts w:hint="eastAsia" w:eastAsia="华文细黑"/>
                      <w:color w:val="000000"/>
                      <w:kern w:val="0"/>
                      <w:sz w:val="20"/>
                      <w:lang w:eastAsia="zh-CN"/>
                    </w:rPr>
                    <w:t>合计</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204.16</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172.46</w:t>
                  </w:r>
                </w:p>
              </w:tc>
              <w:tc>
                <w:tcPr>
                  <w:tcW w:w="10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31.70</w:t>
                  </w:r>
                </w:p>
              </w:tc>
              <w:tc>
                <w:tcPr>
                  <w:tcW w:w="10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bl>
          <w:p>
            <w:pPr>
              <w:widowControl/>
              <w:jc w:val="center"/>
              <w:rPr>
                <w:rFonts w:eastAsia="方正小标宋简体"/>
                <w:kern w:val="0"/>
                <w:sz w:val="44"/>
                <w:szCs w:val="44"/>
              </w:rPr>
            </w:pPr>
          </w:p>
        </w:tc>
      </w:tr>
      <w:tr>
        <w:tblPrEx>
          <w:tblLayout w:type="fixed"/>
          <w:tblCellMar>
            <w:top w:w="0" w:type="dxa"/>
            <w:left w:w="108" w:type="dxa"/>
            <w:bottom w:w="0" w:type="dxa"/>
            <w:right w:w="108" w:type="dxa"/>
          </w:tblCellMar>
        </w:tblPrEx>
        <w:trPr>
          <w:trHeight w:val="165" w:hRule="atLeast"/>
          <w:jc w:val="center"/>
        </w:trPr>
        <w:tc>
          <w:tcPr>
            <w:tcW w:w="10420" w:type="dxa"/>
            <w:gridSpan w:val="2"/>
            <w:tcBorders>
              <w:top w:val="nil"/>
              <w:left w:val="nil"/>
              <w:bottom w:val="nil"/>
              <w:right w:val="nil"/>
            </w:tcBorders>
            <w:noWrap w:val="0"/>
            <w:vAlign w:val="bottom"/>
          </w:tcPr>
          <w:p>
            <w:pPr>
              <w:widowControl/>
              <w:jc w:val="center"/>
              <w:rPr>
                <w:rFonts w:eastAsia="方正小标宋简体"/>
                <w:kern w:val="0"/>
                <w:sz w:val="44"/>
                <w:szCs w:val="44"/>
              </w:rPr>
            </w:pPr>
          </w:p>
        </w:tc>
      </w:tr>
      <w:tr>
        <w:tblPrEx>
          <w:tblLayout w:type="fixed"/>
          <w:tblCellMar>
            <w:top w:w="0" w:type="dxa"/>
            <w:left w:w="108" w:type="dxa"/>
            <w:bottom w:w="0" w:type="dxa"/>
            <w:right w:w="108" w:type="dxa"/>
          </w:tblCellMar>
        </w:tblPrEx>
        <w:trPr>
          <w:gridAfter w:val="1"/>
          <w:wAfter w:w="460" w:type="dxa"/>
          <w:trHeight w:val="11083" w:hRule="atLeast"/>
          <w:jc w:val="center"/>
        </w:trPr>
        <w:tc>
          <w:tcPr>
            <w:tcW w:w="9960" w:type="dxa"/>
            <w:tcBorders>
              <w:top w:val="nil"/>
              <w:left w:val="nil"/>
              <w:bottom w:val="nil"/>
              <w:right w:val="nil"/>
            </w:tcBorders>
            <w:noWrap w:val="0"/>
            <w:vAlign w:val="bottom"/>
          </w:tcPr>
          <w:tbl>
            <w:tblPr>
              <w:tblStyle w:val="11"/>
              <w:tblpPr w:leftFromText="180" w:rightFromText="180" w:vertAnchor="page" w:horzAnchor="page" w:tblpX="114" w:tblpY="657"/>
              <w:tblOverlap w:val="never"/>
              <w:tblW w:w="9640" w:type="dxa"/>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tblPrEx>
                <w:tblLayout w:type="fixed"/>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tblPrEx>
                <w:tblLayout w:type="fixed"/>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tblPrEx>
                <w:tblLayout w:type="fixed"/>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支      出</w:t>
                  </w:r>
                </w:p>
              </w:tc>
            </w:tr>
            <w:tr>
              <w:tblPrEx>
                <w:tblLayout w:type="fixed"/>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上年结转</w:t>
                  </w:r>
                </w:p>
              </w:tc>
            </w:tr>
            <w:tr>
              <w:tblPrEx>
                <w:tblLayout w:type="fixed"/>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val="en-US" w:eastAsia="zh-CN"/>
                    </w:rPr>
                    <w:t>204.16</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宋体"/>
                      <w:kern w:val="0"/>
                      <w:sz w:val="20"/>
                      <w:lang w:val="en-US" w:eastAsia="zh-CN"/>
                    </w:rPr>
                  </w:pPr>
                  <w:r>
                    <w:rPr>
                      <w:rFonts w:hint="eastAsia" w:eastAsia="宋体"/>
                      <w:kern w:val="0"/>
                      <w:sz w:val="20"/>
                      <w:lang w:val="en-US" w:eastAsia="zh-CN"/>
                    </w:rPr>
                    <w:t>204.16</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val="en-US" w:eastAsia="zh-CN"/>
                    </w:rPr>
                    <w:t>204.16</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jc w:val="center"/>
                    <w:textAlignment w:val="auto"/>
                    <w:outlineLvl w:val="9"/>
                    <w:rPr>
                      <w:rFonts w:hint="eastAsia" w:eastAsia="宋体"/>
                      <w:kern w:val="0"/>
                      <w:sz w:val="20"/>
                      <w:lang w:val="en-US" w:eastAsia="zh-CN"/>
                    </w:rPr>
                  </w:pPr>
                  <w:r>
                    <w:rPr>
                      <w:rFonts w:hint="eastAsia" w:eastAsia="宋体"/>
                      <w:kern w:val="0"/>
                      <w:sz w:val="20"/>
                      <w:szCs w:val="22"/>
                      <w:lang w:val="en-US" w:eastAsia="zh-CN"/>
                    </w:rPr>
                    <w:t>204.16</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szCs w:val="22"/>
                    </w:rPr>
                  </w:pPr>
                </w:p>
              </w:tc>
            </w:tr>
            <w:tr>
              <w:tblPrEx>
                <w:tblLayout w:type="fixed"/>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val="en-US" w:eastAsia="zh-CN"/>
                    </w:rPr>
                    <w:t>204.16</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kern w:val="0"/>
                      <w:sz w:val="20"/>
                      <w:lang w:val="en-US" w:eastAsia="zh-CN"/>
                    </w:rPr>
                  </w:pPr>
                  <w:r>
                    <w:rPr>
                      <w:rFonts w:hint="eastAsia" w:eastAsia="宋体"/>
                      <w:kern w:val="0"/>
                      <w:sz w:val="20"/>
                      <w:lang w:val="en-US" w:eastAsia="zh-CN"/>
                    </w:rPr>
                    <w:t>204.16</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color w:val="000000"/>
                      <w:kern w:val="0"/>
                      <w:sz w:val="20"/>
                      <w:lang w:eastAsia="zh-CN"/>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auto"/>
                      <w:kern w:val="0"/>
                      <w:sz w:val="20"/>
                      <w:lang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宋体"/>
                      <w:kern w:val="0"/>
                      <w:sz w:val="20"/>
                      <w:lang w:val="en-US" w:eastAsia="zh-CN"/>
                    </w:rPr>
                  </w:pPr>
                  <w:r>
                    <w:rPr>
                      <w:rFonts w:hint="eastAsia" w:eastAsia="宋体"/>
                      <w:kern w:val="0"/>
                      <w:sz w:val="20"/>
                      <w:lang w:val="en-US" w:eastAsia="zh-CN"/>
                    </w:rPr>
                    <w:t>143.46</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jc w:val="center"/>
                    <w:textAlignment w:val="auto"/>
                    <w:outlineLvl w:val="9"/>
                    <w:rPr>
                      <w:rFonts w:hint="eastAsia" w:eastAsia="宋体"/>
                      <w:kern w:val="0"/>
                      <w:sz w:val="20"/>
                      <w:lang w:val="en-US" w:eastAsia="zh-CN"/>
                    </w:rPr>
                  </w:pPr>
                  <w:r>
                    <w:rPr>
                      <w:rFonts w:hint="eastAsia" w:eastAsia="宋体"/>
                      <w:kern w:val="0"/>
                      <w:sz w:val="20"/>
                      <w:lang w:val="en-US" w:eastAsia="zh-CN"/>
                    </w:rPr>
                    <w:t>143.46</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Layout w:type="fixed"/>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hint="eastAsia" w:eastAsia="宋体"/>
                      <w:color w:val="000000"/>
                      <w:kern w:val="0"/>
                      <w:sz w:val="20"/>
                      <w:lang w:eastAsia="zh-CN"/>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宋体"/>
                      <w:kern w:val="0"/>
                      <w:sz w:val="20"/>
                      <w:lang w:val="en-US" w:eastAsia="zh-CN"/>
                    </w:rPr>
                  </w:pPr>
                  <w:r>
                    <w:rPr>
                      <w:rFonts w:hint="eastAsia" w:eastAsia="宋体"/>
                      <w:kern w:val="0"/>
                      <w:sz w:val="20"/>
                      <w:lang w:val="en-US" w:eastAsia="zh-CN"/>
                    </w:rPr>
                    <w:t>38.64</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jc w:val="center"/>
                    <w:textAlignment w:val="auto"/>
                    <w:outlineLvl w:val="9"/>
                    <w:rPr>
                      <w:rFonts w:hint="eastAsia" w:eastAsia="宋体"/>
                      <w:kern w:val="0"/>
                      <w:sz w:val="20"/>
                      <w:lang w:val="en-US" w:eastAsia="zh-CN"/>
                    </w:rPr>
                  </w:pPr>
                  <w:r>
                    <w:rPr>
                      <w:rFonts w:hint="eastAsia" w:eastAsia="宋体"/>
                      <w:kern w:val="0"/>
                      <w:sz w:val="20"/>
                      <w:lang w:val="en-US" w:eastAsia="zh-CN"/>
                    </w:rPr>
                    <w:t>38.64</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Layout w:type="fixed"/>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hint="eastAsia" w:eastAsia="宋体"/>
                      <w:color w:val="000000"/>
                      <w:kern w:val="0"/>
                      <w:sz w:val="20"/>
                      <w:lang w:eastAsia="zh-CN"/>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宋体"/>
                      <w:kern w:val="0"/>
                      <w:sz w:val="20"/>
                      <w:lang w:val="en-US" w:eastAsia="zh-CN"/>
                    </w:rPr>
                  </w:pPr>
                  <w:r>
                    <w:rPr>
                      <w:rFonts w:hint="eastAsia" w:eastAsia="宋体"/>
                      <w:kern w:val="0"/>
                      <w:sz w:val="20"/>
                      <w:lang w:val="en-US" w:eastAsia="zh-CN"/>
                    </w:rPr>
                    <w:t>10.76</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jc w:val="center"/>
                    <w:textAlignment w:val="auto"/>
                    <w:outlineLvl w:val="9"/>
                    <w:rPr>
                      <w:rFonts w:hint="eastAsia" w:eastAsia="宋体"/>
                      <w:kern w:val="0"/>
                      <w:sz w:val="20"/>
                      <w:lang w:val="en-US" w:eastAsia="zh-CN"/>
                    </w:rPr>
                  </w:pPr>
                  <w:r>
                    <w:rPr>
                      <w:rFonts w:hint="eastAsia" w:eastAsia="宋体"/>
                      <w:kern w:val="0"/>
                      <w:sz w:val="20"/>
                      <w:lang w:val="en-US" w:eastAsia="zh-CN"/>
                    </w:rPr>
                    <w:t>10.76</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Layout w:type="fixed"/>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eastAsia="宋体"/>
                      <w:color w:val="000000"/>
                      <w:kern w:val="0"/>
                      <w:sz w:val="20"/>
                    </w:rPr>
                  </w:pPr>
                  <w:r>
                    <w:rPr>
                      <w:rFonts w:hint="eastAsia" w:eastAsia="宋体"/>
                      <w:color w:val="000000"/>
                      <w:sz w:val="20"/>
                      <w:lang w:eastAsia="zh-CN"/>
                    </w:rPr>
                    <w:t>（四）住房保障支出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宋体"/>
                      <w:kern w:val="0"/>
                      <w:sz w:val="20"/>
                      <w:lang w:val="en-US" w:eastAsia="zh-CN"/>
                    </w:rPr>
                  </w:pPr>
                  <w:r>
                    <w:rPr>
                      <w:rFonts w:hint="eastAsia" w:eastAsia="宋体"/>
                      <w:kern w:val="0"/>
                      <w:sz w:val="20"/>
                      <w:lang w:val="en-US" w:eastAsia="zh-CN"/>
                    </w:rPr>
                    <w:t>11.30</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jc w:val="center"/>
                    <w:textAlignment w:val="auto"/>
                    <w:outlineLvl w:val="9"/>
                    <w:rPr>
                      <w:rFonts w:hint="eastAsia" w:eastAsia="宋体"/>
                      <w:kern w:val="0"/>
                      <w:sz w:val="20"/>
                      <w:lang w:val="en-US" w:eastAsia="zh-CN"/>
                    </w:rPr>
                  </w:pPr>
                  <w:r>
                    <w:rPr>
                      <w:rFonts w:hint="eastAsia" w:eastAsia="宋体"/>
                      <w:kern w:val="0"/>
                      <w:sz w:val="20"/>
                      <w:lang w:val="en-US" w:eastAsia="zh-CN"/>
                    </w:rPr>
                    <w:t>11.30</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Layout w:type="fixed"/>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jc w:val="center"/>
                    <w:textAlignment w:val="auto"/>
                    <w:outlineLvl w:val="9"/>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Layout w:type="fixed"/>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jc w:val="center"/>
                    <w:textAlignment w:val="auto"/>
                    <w:outlineLvl w:val="9"/>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Layout w:type="fixed"/>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jc w:val="center"/>
                    <w:textAlignment w:val="auto"/>
                    <w:outlineLvl w:val="9"/>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Layout w:type="fixed"/>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jc w:val="center"/>
                    <w:textAlignment w:val="auto"/>
                    <w:outlineLvl w:val="9"/>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Layout w:type="fixed"/>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jc w:val="center"/>
                    <w:textAlignment w:val="auto"/>
                    <w:outlineLvl w:val="9"/>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Layout w:type="fixed"/>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jc w:val="center"/>
                    <w:textAlignment w:val="auto"/>
                    <w:outlineLvl w:val="9"/>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Layout w:type="fixed"/>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jc w:val="center"/>
                    <w:textAlignment w:val="auto"/>
                    <w:outlineLvl w:val="9"/>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Layout w:type="fixed"/>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jc w:val="center"/>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200" w:firstLineChars="100"/>
                    <w:jc w:val="center"/>
                    <w:textAlignment w:val="auto"/>
                    <w:outlineLvl w:val="9"/>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ind w:firstLine="200" w:firstLineChars="100"/>
                    <w:rPr>
                      <w:rFonts w:eastAsia="宋体"/>
                      <w:sz w:val="20"/>
                    </w:rPr>
                  </w:pPr>
                </w:p>
              </w:tc>
            </w:tr>
            <w:tr>
              <w:tblPrEx>
                <w:tblLayout w:type="fixed"/>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kern w:val="0"/>
                      <w:sz w:val="20"/>
                    </w:rPr>
                  </w:pPr>
                  <w:r>
                    <w:rPr>
                      <w:rFonts w:hint="eastAsia" w:eastAsia="黑体"/>
                      <w:kern w:val="0"/>
                      <w:sz w:val="20"/>
                      <w:lang w:val="en-US" w:eastAsia="zh-CN"/>
                    </w:rPr>
                    <w:t>204.16</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黑体"/>
                      <w:kern w:val="0"/>
                      <w:sz w:val="20"/>
                      <w:lang w:val="en-US" w:eastAsia="zh-CN"/>
                    </w:rPr>
                  </w:pPr>
                  <w:r>
                    <w:rPr>
                      <w:rFonts w:hint="eastAsia" w:eastAsia="黑体"/>
                      <w:kern w:val="0"/>
                      <w:sz w:val="20"/>
                      <w:lang w:val="en-US" w:eastAsia="zh-CN"/>
                    </w:rPr>
                    <w:t>204.16</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宋体"/>
                      <w:kern w:val="0"/>
                      <w:sz w:val="20"/>
                      <w:lang w:val="en-US" w:eastAsia="zh-CN"/>
                    </w:rPr>
                  </w:pPr>
                  <w:r>
                    <w:rPr>
                      <w:rFonts w:hint="eastAsia" w:eastAsia="宋体"/>
                      <w:kern w:val="0"/>
                      <w:sz w:val="20"/>
                      <w:lang w:val="en-US" w:eastAsia="zh-CN"/>
                    </w:rPr>
                    <w:t>204.16</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jc w:val="center"/>
                    <w:textAlignment w:val="auto"/>
                    <w:outlineLvl w:val="9"/>
                    <w:rPr>
                      <w:rFonts w:hint="eastAsia" w:eastAsia="宋体"/>
                      <w:kern w:val="0"/>
                      <w:sz w:val="20"/>
                      <w:lang w:val="en-US" w:eastAsia="zh-CN"/>
                    </w:rPr>
                  </w:pPr>
                  <w:r>
                    <w:rPr>
                      <w:rFonts w:hint="eastAsia" w:eastAsia="宋体"/>
                      <w:kern w:val="0"/>
                      <w:sz w:val="20"/>
                      <w:lang w:val="en-US" w:eastAsia="zh-CN"/>
                    </w:rPr>
                    <w:t>204.16</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bl>
          <w:p>
            <w:pPr>
              <w:widowControl/>
              <w:rPr>
                <w:rFonts w:eastAsia="方正小标宋简体"/>
                <w:kern w:val="0"/>
                <w:sz w:val="44"/>
                <w:szCs w:val="44"/>
              </w:rPr>
            </w:pPr>
          </w:p>
        </w:tc>
      </w:tr>
    </w:tbl>
    <w:p>
      <w:pPr>
        <w:ind w:firstLine="640" w:firstLineChars="200"/>
        <w:rPr>
          <w:rFonts w:eastAsia="楷体"/>
        </w:rPr>
      </w:pPr>
      <w:r>
        <w:rPr>
          <w:rFonts w:hAnsi="楷体" w:eastAsia="楷体"/>
        </w:rPr>
        <w:br w:type="page"/>
      </w:r>
    </w:p>
    <w:tbl>
      <w:tblPr>
        <w:tblStyle w:val="11"/>
        <w:tblW w:w="10405" w:type="dxa"/>
        <w:jc w:val="center"/>
        <w:tblInd w:w="0" w:type="dxa"/>
        <w:tblLayout w:type="fixed"/>
        <w:tblCellMar>
          <w:top w:w="0" w:type="dxa"/>
          <w:left w:w="108" w:type="dxa"/>
          <w:bottom w:w="0" w:type="dxa"/>
          <w:right w:w="108" w:type="dxa"/>
        </w:tblCellMar>
      </w:tblPr>
      <w:tblGrid>
        <w:gridCol w:w="10405"/>
      </w:tblGrid>
      <w:tr>
        <w:tblPrEx>
          <w:tblLayout w:type="fixed"/>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pPr>
              <w:widowControl/>
              <w:rPr>
                <w:rFonts w:eastAsia="方正小标宋简体"/>
                <w:kern w:val="0"/>
                <w:sz w:val="44"/>
                <w:szCs w:val="44"/>
              </w:rPr>
            </w:pPr>
          </w:p>
          <w:tbl>
            <w:tblPr>
              <w:tblStyle w:val="11"/>
              <w:tblW w:w="8789" w:type="dxa"/>
              <w:tblInd w:w="871" w:type="dxa"/>
              <w:tblLayout w:type="fixed"/>
              <w:tblCellMar>
                <w:top w:w="15" w:type="dxa"/>
                <w:left w:w="15" w:type="dxa"/>
                <w:bottom w:w="15" w:type="dxa"/>
                <w:right w:w="15" w:type="dxa"/>
              </w:tblCellMar>
            </w:tblPr>
            <w:tblGrid>
              <w:gridCol w:w="2552"/>
              <w:gridCol w:w="1134"/>
              <w:gridCol w:w="1134"/>
              <w:gridCol w:w="1134"/>
              <w:gridCol w:w="1134"/>
              <w:gridCol w:w="1701"/>
            </w:tblGrid>
            <w:tr>
              <w:tblPrEx>
                <w:tblLayout w:type="fixed"/>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r>
                    <w:rPr>
                      <w:rFonts w:eastAsia="华文细黑"/>
                      <w:color w:val="000000"/>
                      <w:kern w:val="0"/>
                      <w:sz w:val="20"/>
                    </w:rPr>
                    <w:t>单位：万元</w:t>
                  </w:r>
                </w:p>
              </w:tc>
            </w:tr>
            <w:tr>
              <w:tblPrEx>
                <w:tblLayout w:type="fixed"/>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项目                                                               支出</w:t>
                  </w:r>
                </w:p>
              </w:tc>
            </w:tr>
            <w:tr>
              <w:tblPrEx>
                <w:tblLayout w:type="fixed"/>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Layout w:type="fixed"/>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Layout w:type="fixed"/>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both"/>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lang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143.46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111.76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89.44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22.32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31.70</w:t>
                  </w: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eastAsia="宋体"/>
                      <w:color w:val="000000"/>
                      <w:kern w:val="0"/>
                      <w:sz w:val="20"/>
                      <w:lang w:eastAsia="zh-CN"/>
                    </w:rPr>
                  </w:pPr>
                  <w:r>
                    <w:rPr>
                      <w:rFonts w:eastAsia="宋体"/>
                      <w:color w:val="000000"/>
                      <w:kern w:val="0"/>
                      <w:sz w:val="20"/>
                    </w:rPr>
                    <w:t xml:space="preserve">    </w:t>
                  </w:r>
                  <w:r>
                    <w:rPr>
                      <w:rFonts w:hint="eastAsia" w:eastAsia="宋体"/>
                      <w:color w:val="000000"/>
                      <w:kern w:val="0"/>
                      <w:sz w:val="20"/>
                      <w:lang w:eastAsia="zh-CN"/>
                    </w:rPr>
                    <w:t>统计信息</w:t>
                  </w:r>
                  <w:r>
                    <w:rPr>
                      <w:rFonts w:eastAsia="宋体"/>
                      <w:color w:val="000000"/>
                      <w:kern w:val="0"/>
                      <w:sz w:val="20"/>
                    </w:rPr>
                    <w:t>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143.46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111.76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89.44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22.32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31.70</w:t>
                  </w: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eastAsia="宋体"/>
                      <w:color w:val="000000"/>
                      <w:kern w:val="0"/>
                      <w:sz w:val="20"/>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143.46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111.76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89.84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22.32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eastAsia="宋体"/>
                      <w:color w:val="000000"/>
                      <w:kern w:val="0"/>
                      <w:sz w:val="20"/>
                      <w:lang w:eastAsia="zh-CN"/>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26.20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26.20</w:t>
                  </w: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800" w:firstLineChars="400"/>
                    <w:jc w:val="left"/>
                    <w:rPr>
                      <w:rFonts w:eastAsia="宋体"/>
                      <w:color w:val="000000"/>
                      <w:kern w:val="0"/>
                      <w:sz w:val="20"/>
                    </w:rPr>
                  </w:pPr>
                  <w:r>
                    <w:rPr>
                      <w:rFonts w:hint="eastAsia" w:eastAsia="宋体"/>
                      <w:color w:val="000000"/>
                      <w:kern w:val="0"/>
                      <w:sz w:val="20"/>
                      <w:lang w:eastAsia="zh-CN"/>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5.50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5.50</w:t>
                  </w: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r>
                    <w:rPr>
                      <w:rFonts w:eastAsia="宋体"/>
                      <w:color w:val="000000"/>
                      <w:kern w:val="0"/>
                      <w:sz w:val="20"/>
                    </w:rPr>
                    <w:t>二、</w:t>
                  </w:r>
                  <w:r>
                    <w:rPr>
                      <w:rFonts w:hint="eastAsia" w:eastAsia="宋体"/>
                      <w:color w:val="000000"/>
                      <w:kern w:val="0"/>
                      <w:sz w:val="20"/>
                      <w:lang w:eastAsia="zh-CN"/>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38.64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38.64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38.64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400" w:firstLineChars="200"/>
                    <w:jc w:val="left"/>
                    <w:rPr>
                      <w:rFonts w:eastAsia="宋体"/>
                      <w:color w:val="000000"/>
                      <w:kern w:val="0"/>
                      <w:sz w:val="20"/>
                    </w:rPr>
                  </w:pPr>
                  <w:r>
                    <w:rPr>
                      <w:rFonts w:hint="eastAsia" w:eastAsia="宋体"/>
                      <w:color w:val="000000"/>
                      <w:kern w:val="0"/>
                      <w:sz w:val="20"/>
                      <w:lang w:eastAsia="zh-CN"/>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38.64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38.64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38.64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800" w:firstLineChars="400"/>
                    <w:jc w:val="left"/>
                    <w:rPr>
                      <w:rFonts w:eastAsia="宋体"/>
                      <w:color w:val="000000"/>
                      <w:kern w:val="0"/>
                      <w:sz w:val="20"/>
                    </w:rPr>
                  </w:pPr>
                  <w:r>
                    <w:rPr>
                      <w:rFonts w:hint="eastAsia" w:eastAsia="宋体"/>
                      <w:color w:val="000000"/>
                      <w:kern w:val="0"/>
                      <w:sz w:val="20"/>
                      <w:lang w:eastAsia="zh-CN"/>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18.37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18.37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18.37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Layout w:type="fixed"/>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800" w:firstLineChars="400"/>
                    <w:jc w:val="left"/>
                    <w:rPr>
                      <w:rFonts w:eastAsia="华文细黑"/>
                      <w:color w:val="000000"/>
                      <w:kern w:val="0"/>
                      <w:sz w:val="20"/>
                    </w:rPr>
                  </w:pPr>
                  <w:r>
                    <w:rPr>
                      <w:rFonts w:hint="eastAsia" w:eastAsia="宋体"/>
                      <w:color w:val="000000"/>
                      <w:kern w:val="0"/>
                      <w:sz w:val="20"/>
                      <w:lang w:eastAsia="zh-CN"/>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13.51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13.51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13.51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Layout w:type="fixed"/>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800" w:firstLineChars="400"/>
                    <w:jc w:val="left"/>
                    <w:rPr>
                      <w:rFonts w:eastAsia="华文细黑"/>
                      <w:color w:val="000000"/>
                      <w:kern w:val="0"/>
                      <w:sz w:val="20"/>
                    </w:rPr>
                  </w:pPr>
                  <w:r>
                    <w:rPr>
                      <w:rFonts w:hint="eastAsia" w:eastAsia="宋体"/>
                      <w:color w:val="000000"/>
                      <w:kern w:val="0"/>
                      <w:sz w:val="20"/>
                      <w:lang w:eastAsia="zh-CN"/>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6.76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6.76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6.76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both"/>
                    <w:rPr>
                      <w:rFonts w:eastAsia="华文细黑"/>
                      <w:color w:val="000000"/>
                      <w:kern w:val="0"/>
                      <w:sz w:val="20"/>
                    </w:rPr>
                  </w:pPr>
                  <w:r>
                    <w:rPr>
                      <w:rFonts w:hint="eastAsia" w:eastAsia="宋体"/>
                      <w:color w:val="000000"/>
                      <w:kern w:val="0"/>
                      <w:sz w:val="20"/>
                      <w:lang w:eastAsia="zh-CN"/>
                    </w:rPr>
                    <w:t>三</w:t>
                  </w:r>
                  <w:r>
                    <w:rPr>
                      <w:rFonts w:eastAsia="宋体"/>
                      <w:color w:val="000000"/>
                      <w:kern w:val="0"/>
                      <w:sz w:val="20"/>
                    </w:rPr>
                    <w:t>、</w:t>
                  </w:r>
                  <w:r>
                    <w:rPr>
                      <w:rFonts w:hint="eastAsia" w:eastAsia="宋体"/>
                      <w:color w:val="000000"/>
                      <w:kern w:val="0"/>
                      <w:sz w:val="20"/>
                      <w:lang w:eastAsia="zh-CN"/>
                    </w:rPr>
                    <w:t>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10.76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10.76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10.76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400" w:firstLineChars="200"/>
                    <w:jc w:val="both"/>
                    <w:rPr>
                      <w:rFonts w:eastAsia="华文细黑"/>
                      <w:color w:val="000000"/>
                      <w:kern w:val="0"/>
                      <w:sz w:val="20"/>
                    </w:rPr>
                  </w:pPr>
                  <w:r>
                    <w:rPr>
                      <w:rFonts w:hint="eastAsia" w:eastAsia="华文细黑"/>
                      <w:color w:val="000000"/>
                      <w:kern w:val="0"/>
                      <w:sz w:val="20"/>
                      <w:lang w:eastAsia="zh-CN"/>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10.76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10.76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10.76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华文细黑"/>
                      <w:color w:val="000000"/>
                      <w:kern w:val="0"/>
                      <w:sz w:val="20"/>
                    </w:rPr>
                  </w:pPr>
                  <w:r>
                    <w:rPr>
                      <w:rFonts w:hint="eastAsia" w:eastAsia="华文细黑"/>
                      <w:color w:val="000000"/>
                      <w:kern w:val="0"/>
                      <w:sz w:val="20"/>
                      <w:lang w:eastAsia="zh-CN"/>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10.76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10.76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10.76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both"/>
                    <w:rPr>
                      <w:rFonts w:eastAsia="华文细黑"/>
                      <w:color w:val="000000"/>
                      <w:kern w:val="0"/>
                      <w:sz w:val="20"/>
                    </w:rPr>
                  </w:pPr>
                  <w:r>
                    <w:rPr>
                      <w:rFonts w:hint="eastAsia" w:eastAsia="宋体"/>
                      <w:color w:val="000000"/>
                      <w:kern w:val="0"/>
                      <w:sz w:val="20"/>
                      <w:lang w:eastAsia="zh-CN"/>
                    </w:rPr>
                    <w:t>三</w:t>
                  </w:r>
                  <w:r>
                    <w:rPr>
                      <w:rFonts w:eastAsia="宋体"/>
                      <w:color w:val="000000"/>
                      <w:kern w:val="0"/>
                      <w:sz w:val="20"/>
                    </w:rPr>
                    <w:t>、</w:t>
                  </w:r>
                  <w:r>
                    <w:rPr>
                      <w:rFonts w:hint="eastAsia" w:eastAsia="宋体"/>
                      <w:color w:val="000000"/>
                      <w:kern w:val="0"/>
                      <w:sz w:val="20"/>
                      <w:lang w:eastAsia="zh-CN"/>
                    </w:rPr>
                    <w:t>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11.30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11.30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11.30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华文细黑"/>
                      <w:color w:val="000000"/>
                      <w:kern w:val="0"/>
                      <w:sz w:val="20"/>
                    </w:rPr>
                  </w:pPr>
                  <w:r>
                    <w:rPr>
                      <w:rFonts w:hint="eastAsia" w:eastAsia="华文细黑"/>
                      <w:color w:val="000000"/>
                      <w:kern w:val="0"/>
                      <w:sz w:val="20"/>
                      <w:lang w:eastAsia="zh-CN"/>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11.30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11.30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11.30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华文细黑"/>
                      <w:color w:val="000000"/>
                      <w:kern w:val="0"/>
                      <w:sz w:val="20"/>
                    </w:rPr>
                  </w:pPr>
                  <w:r>
                    <w:rPr>
                      <w:rFonts w:hint="eastAsia" w:eastAsia="华文细黑"/>
                      <w:color w:val="000000"/>
                      <w:kern w:val="0"/>
                      <w:sz w:val="20"/>
                      <w:lang w:eastAsia="zh-CN"/>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11.30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11.30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11.30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华文细黑"/>
                      <w:color w:val="000000"/>
                      <w:kern w:val="0"/>
                      <w:sz w:val="20"/>
                    </w:rPr>
                  </w:pPr>
                  <w:r>
                    <w:rPr>
                      <w:rFonts w:hint="eastAsia" w:eastAsia="华文细黑"/>
                      <w:color w:val="000000"/>
                      <w:kern w:val="0"/>
                      <w:sz w:val="20"/>
                      <w:lang w:eastAsia="zh-CN"/>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204.16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172.46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150.14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22.32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31.70</w:t>
                  </w:r>
                </w:p>
              </w:tc>
            </w:tr>
          </w:tbl>
          <w:p>
            <w:pPr>
              <w:widowControl/>
              <w:jc w:val="center"/>
              <w:rPr>
                <w:rFonts w:eastAsia="方正小标宋简体"/>
                <w:kern w:val="0"/>
                <w:sz w:val="44"/>
                <w:szCs w:val="44"/>
              </w:rPr>
            </w:pPr>
          </w:p>
        </w:tc>
      </w:tr>
    </w:tbl>
    <w:p>
      <w:pPr>
        <w:ind w:firstLine="640" w:firstLineChars="200"/>
      </w:pPr>
    </w:p>
    <w:p>
      <w:pPr>
        <w:ind w:firstLine="640" w:firstLineChars="200"/>
        <w:rPr>
          <w:rFonts w:eastAsia="楷体"/>
        </w:rPr>
      </w:pPr>
    </w:p>
    <w:p>
      <w:pPr>
        <w:ind w:firstLine="640" w:firstLineChars="200"/>
        <w:rPr>
          <w:rFonts w:eastAsia="楷体"/>
        </w:rPr>
      </w:pPr>
    </w:p>
    <w:p>
      <w:pPr>
        <w:ind w:firstLine="640" w:firstLineChars="200"/>
        <w:rPr>
          <w:rFonts w:eastAsia="楷体"/>
        </w:rPr>
      </w:pPr>
    </w:p>
    <w:p>
      <w:pPr>
        <w:ind w:firstLine="640" w:firstLineChars="200"/>
        <w:rPr>
          <w:rFonts w:eastAsia="楷体"/>
        </w:rPr>
      </w:pPr>
    </w:p>
    <w:tbl>
      <w:tblPr>
        <w:tblStyle w:val="11"/>
        <w:tblW w:w="8931" w:type="dxa"/>
        <w:jc w:val="center"/>
        <w:tblInd w:w="0" w:type="dxa"/>
        <w:tblLayout w:type="fixed"/>
        <w:tblCellMar>
          <w:top w:w="0" w:type="dxa"/>
          <w:left w:w="108" w:type="dxa"/>
          <w:bottom w:w="0" w:type="dxa"/>
          <w:right w:w="108" w:type="dxa"/>
        </w:tblCellMar>
      </w:tblPr>
      <w:tblGrid>
        <w:gridCol w:w="3327"/>
        <w:gridCol w:w="2069"/>
        <w:gridCol w:w="1704"/>
        <w:gridCol w:w="1831"/>
      </w:tblGrid>
      <w:tr>
        <w:tblPrEx>
          <w:tblLayout w:type="fixed"/>
          <w:tblCellMar>
            <w:top w:w="0" w:type="dxa"/>
            <w:left w:w="108" w:type="dxa"/>
            <w:bottom w:w="0" w:type="dxa"/>
            <w:right w:w="108" w:type="dxa"/>
          </w:tblCellMar>
        </w:tblPrEx>
        <w:trPr>
          <w:trHeight w:val="90" w:hRule="atLeast"/>
          <w:jc w:val="center"/>
        </w:trPr>
        <w:tc>
          <w:tcPr>
            <w:tcW w:w="8931" w:type="dxa"/>
            <w:gridSpan w:val="4"/>
            <w:tcBorders>
              <w:top w:val="nil"/>
              <w:left w:val="nil"/>
              <w:bottom w:val="nil"/>
              <w:right w:val="nil"/>
            </w:tcBorders>
            <w:noWrap w:val="0"/>
            <w:vAlign w:val="bottom"/>
          </w:tcPr>
          <w:p>
            <w:pPr>
              <w:widowControl/>
              <w:jc w:val="center"/>
              <w:rPr>
                <w:rFonts w:eastAsia="方正小标宋简体"/>
                <w:kern w:val="0"/>
                <w:sz w:val="44"/>
                <w:szCs w:val="44"/>
              </w:rPr>
            </w:pPr>
          </w:p>
          <w:p>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tblPrEx>
          <w:tblLayout w:type="fixed"/>
          <w:tblCellMar>
            <w:top w:w="0" w:type="dxa"/>
            <w:left w:w="108" w:type="dxa"/>
            <w:bottom w:w="0" w:type="dxa"/>
            <w:right w:w="108" w:type="dxa"/>
          </w:tblCellMar>
        </w:tblPrEx>
        <w:trPr>
          <w:trHeight w:val="265" w:hRule="atLeast"/>
          <w:jc w:val="center"/>
        </w:trPr>
        <w:tc>
          <w:tcPr>
            <w:tcW w:w="3327" w:type="dxa"/>
            <w:tcBorders>
              <w:top w:val="nil"/>
              <w:left w:val="nil"/>
              <w:bottom w:val="single" w:color="auto" w:sz="4" w:space="0"/>
              <w:right w:val="nil"/>
            </w:tcBorders>
            <w:noWrap w:val="0"/>
            <w:vAlign w:val="center"/>
          </w:tcPr>
          <w:p>
            <w:pPr>
              <w:widowControl/>
              <w:jc w:val="left"/>
              <w:rPr>
                <w:rFonts w:eastAsia="宋体"/>
                <w:kern w:val="0"/>
                <w:sz w:val="20"/>
              </w:rPr>
            </w:pPr>
            <w:r>
              <w:rPr>
                <w:rFonts w:eastAsia="宋体"/>
                <w:kern w:val="0"/>
                <w:sz w:val="20"/>
              </w:rPr>
              <w:t>　</w:t>
            </w:r>
          </w:p>
        </w:tc>
        <w:tc>
          <w:tcPr>
            <w:tcW w:w="2069" w:type="dxa"/>
            <w:tcBorders>
              <w:top w:val="nil"/>
              <w:left w:val="nil"/>
              <w:bottom w:val="single" w:color="auto" w:sz="4" w:space="0"/>
              <w:right w:val="nil"/>
            </w:tcBorders>
            <w:noWrap w:val="0"/>
            <w:vAlign w:val="center"/>
          </w:tcPr>
          <w:p>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tblPrEx>
          <w:tblLayout w:type="fixed"/>
          <w:tblCellMar>
            <w:top w:w="0" w:type="dxa"/>
            <w:left w:w="108" w:type="dxa"/>
            <w:bottom w:w="0" w:type="dxa"/>
            <w:right w:w="108" w:type="dxa"/>
          </w:tblCellMar>
        </w:tblPrEx>
        <w:trPr>
          <w:trHeight w:val="422" w:hRule="atLeast"/>
          <w:jc w:val="center"/>
        </w:trPr>
        <w:tc>
          <w:tcPr>
            <w:tcW w:w="3327" w:type="dxa"/>
            <w:tcBorders>
              <w:top w:val="single" w:color="auto" w:sz="4" w:space="0"/>
              <w:left w:val="single" w:color="auto" w:sz="4" w:space="0"/>
              <w:right w:val="single" w:color="auto" w:sz="4" w:space="0"/>
            </w:tcBorders>
            <w:noWrap w:val="0"/>
            <w:vAlign w:val="center"/>
          </w:tcPr>
          <w:p>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069" w:type="dxa"/>
            <w:tcBorders>
              <w:top w:val="single" w:color="auto" w:sz="4" w:space="0"/>
              <w:left w:val="single" w:color="auto" w:sz="4" w:space="0"/>
              <w:right w:val="single" w:color="auto" w:sz="4" w:space="0"/>
            </w:tcBorders>
            <w:noWrap w:val="0"/>
            <w:vAlign w:val="center"/>
          </w:tcPr>
          <w:p>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center"/>
            </w:pPr>
            <w:r>
              <w:rPr>
                <w:rFonts w:eastAsia="华文细黑"/>
                <w:color w:val="000000"/>
                <w:kern w:val="0"/>
                <w:sz w:val="20"/>
              </w:rPr>
              <w:t>公用经费</w:t>
            </w:r>
          </w:p>
        </w:tc>
      </w:tr>
      <w:tr>
        <w:tblPrEx>
          <w:tblLayout w:type="fixed"/>
          <w:tblCellMar>
            <w:top w:w="0" w:type="dxa"/>
            <w:left w:w="108" w:type="dxa"/>
            <w:bottom w:w="0" w:type="dxa"/>
            <w:right w:w="108" w:type="dxa"/>
          </w:tblCellMar>
        </w:tblPrEx>
        <w:trPr>
          <w:trHeight w:val="339" w:hRule="atLeast"/>
          <w:jc w:val="center"/>
        </w:trPr>
        <w:tc>
          <w:tcPr>
            <w:tcW w:w="33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sz w:val="20"/>
                <w:szCs w:val="20"/>
                <w:lang w:eastAsia="zh-CN"/>
              </w:rPr>
              <w:t>一、</w:t>
            </w:r>
            <w:r>
              <w:rPr>
                <w:rFonts w:hint="eastAsia" w:asciiTheme="minorEastAsia" w:hAnsiTheme="minorEastAsia" w:eastAsiaTheme="minorEastAsia" w:cstheme="minorEastAsia"/>
                <w:sz w:val="20"/>
                <w:szCs w:val="20"/>
              </w:rPr>
              <w:t>工资福利支出</w:t>
            </w:r>
          </w:p>
        </w:tc>
        <w:tc>
          <w:tcPr>
            <w:tcW w:w="20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131.45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cs="Times New Roman"/>
                <w:sz w:val="20"/>
                <w:szCs w:val="20"/>
                <w:lang w:val="en-US" w:eastAsia="zh-CN"/>
              </w:rPr>
              <w:t>131.45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eastAsia="仿宋_GB2312" w:cs="Times New Roman"/>
                <w:sz w:val="20"/>
                <w:szCs w:val="20"/>
                <w:lang w:val="en-US" w:eastAsia="zh-CN"/>
              </w:rPr>
            </w:pPr>
          </w:p>
        </w:tc>
      </w:tr>
      <w:tr>
        <w:tblPrEx>
          <w:tblLayout w:type="fixed"/>
          <w:tblCellMar>
            <w:top w:w="0" w:type="dxa"/>
            <w:left w:w="108" w:type="dxa"/>
            <w:bottom w:w="0" w:type="dxa"/>
            <w:right w:w="108" w:type="dxa"/>
          </w:tblCellMar>
        </w:tblPrEx>
        <w:trPr>
          <w:trHeight w:val="347" w:hRule="atLeast"/>
          <w:jc w:val="center"/>
        </w:trPr>
        <w:tc>
          <w:tcPr>
            <w:tcW w:w="33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sz w:val="20"/>
                <w:szCs w:val="20"/>
              </w:rPr>
              <w:t>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基本工资</w:t>
            </w:r>
          </w:p>
        </w:tc>
        <w:tc>
          <w:tcPr>
            <w:tcW w:w="20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42.40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Times New Roman" w:hAnsi="Times New Roman" w:eastAsia="仿宋_GB2312" w:cs="Times New Roman"/>
                <w:sz w:val="20"/>
                <w:szCs w:val="20"/>
                <w:lang w:val="en-US" w:eastAsia="zh-CN"/>
              </w:rPr>
            </w:pPr>
            <w:r>
              <w:rPr>
                <w:rFonts w:hint="eastAsia" w:ascii="Times New Roman" w:hAnsi="Times New Roman" w:cs="Times New Roman"/>
                <w:sz w:val="20"/>
                <w:szCs w:val="20"/>
                <w:lang w:val="en-US" w:eastAsia="zh-CN"/>
              </w:rPr>
              <w:t>42.40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295" w:hRule="atLeast"/>
          <w:jc w:val="center"/>
        </w:trPr>
        <w:tc>
          <w:tcPr>
            <w:tcW w:w="33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sz w:val="20"/>
                <w:szCs w:val="20"/>
              </w:rPr>
              <w:t>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津贴补贴</w:t>
            </w:r>
          </w:p>
        </w:tc>
        <w:tc>
          <w:tcPr>
            <w:tcW w:w="20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23.00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Times New Roman" w:hAnsi="Times New Roman" w:eastAsia="仿宋_GB2312" w:cs="Times New Roman"/>
                <w:sz w:val="20"/>
                <w:szCs w:val="20"/>
                <w:lang w:val="en-US" w:eastAsia="zh-CN"/>
              </w:rPr>
            </w:pPr>
            <w:r>
              <w:rPr>
                <w:rFonts w:hint="eastAsia" w:ascii="Times New Roman" w:hAnsi="Times New Roman" w:cs="Times New Roman"/>
                <w:sz w:val="20"/>
                <w:szCs w:val="20"/>
                <w:lang w:val="en-US" w:eastAsia="zh-CN"/>
              </w:rPr>
              <w:t>23.00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320" w:hRule="atLeast"/>
          <w:jc w:val="center"/>
        </w:trPr>
        <w:tc>
          <w:tcPr>
            <w:tcW w:w="33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sz w:val="20"/>
                <w:szCs w:val="20"/>
              </w:rPr>
              <w:t>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奖金</w:t>
            </w:r>
          </w:p>
        </w:tc>
        <w:tc>
          <w:tcPr>
            <w:tcW w:w="20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22.22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Times New Roman" w:hAnsi="Times New Roman" w:eastAsia="仿宋_GB2312" w:cs="Times New Roman"/>
                <w:sz w:val="20"/>
                <w:szCs w:val="20"/>
                <w:lang w:val="en-US" w:eastAsia="zh-CN"/>
              </w:rPr>
            </w:pPr>
            <w:r>
              <w:rPr>
                <w:rFonts w:hint="eastAsia" w:ascii="Times New Roman" w:hAnsi="Times New Roman" w:cs="Times New Roman"/>
                <w:sz w:val="20"/>
                <w:szCs w:val="20"/>
                <w:lang w:val="en-US" w:eastAsia="zh-CN"/>
              </w:rPr>
              <w:t>22.22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327" w:hRule="atLeast"/>
          <w:jc w:val="center"/>
        </w:trPr>
        <w:tc>
          <w:tcPr>
            <w:tcW w:w="33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rPr>
              <w:t>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机关事业单位基本养老保险缴费</w:t>
            </w:r>
          </w:p>
        </w:tc>
        <w:tc>
          <w:tcPr>
            <w:tcW w:w="20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13.51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Times New Roman" w:hAnsi="Times New Roman" w:eastAsia="仿宋_GB2312" w:cs="Times New Roman"/>
                <w:sz w:val="20"/>
                <w:szCs w:val="20"/>
                <w:lang w:val="en-US" w:eastAsia="zh-CN"/>
              </w:rPr>
            </w:pPr>
            <w:r>
              <w:rPr>
                <w:rFonts w:hint="eastAsia" w:ascii="Times New Roman" w:hAnsi="Times New Roman" w:cs="Times New Roman"/>
                <w:sz w:val="20"/>
                <w:szCs w:val="20"/>
                <w:lang w:val="en-US" w:eastAsia="zh-CN"/>
              </w:rPr>
              <w:t>13.51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327" w:hRule="atLeast"/>
          <w:jc w:val="center"/>
        </w:trPr>
        <w:tc>
          <w:tcPr>
            <w:tcW w:w="33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sz w:val="20"/>
                <w:szCs w:val="20"/>
              </w:rPr>
              <w:t>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eastAsia="zh-CN"/>
              </w:rPr>
              <w:t>职业年金缴费</w:t>
            </w:r>
          </w:p>
        </w:tc>
        <w:tc>
          <w:tcPr>
            <w:tcW w:w="20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6.76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Times New Roman" w:hAnsi="Times New Roman" w:eastAsia="仿宋_GB2312" w:cs="Times New Roman"/>
                <w:sz w:val="20"/>
                <w:szCs w:val="20"/>
                <w:lang w:val="en-US" w:eastAsia="zh-CN"/>
              </w:rPr>
            </w:pPr>
            <w:r>
              <w:rPr>
                <w:rFonts w:hint="eastAsia" w:ascii="Times New Roman" w:hAnsi="Times New Roman" w:cs="Times New Roman"/>
                <w:sz w:val="20"/>
                <w:szCs w:val="20"/>
                <w:lang w:val="en-US" w:eastAsia="zh-CN"/>
              </w:rPr>
              <w:t>6.76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177" w:hRule="atLeast"/>
          <w:jc w:val="center"/>
        </w:trPr>
        <w:tc>
          <w:tcPr>
            <w:tcW w:w="33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rPr>
              <w:t>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职工基本医疗保险缴费</w:t>
            </w:r>
          </w:p>
        </w:tc>
        <w:tc>
          <w:tcPr>
            <w:tcW w:w="20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4.85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Times New Roman" w:hAnsi="Times New Roman" w:eastAsia="仿宋_GB2312" w:cs="Times New Roman"/>
                <w:sz w:val="20"/>
                <w:szCs w:val="20"/>
                <w:lang w:val="en-US" w:eastAsia="zh-CN"/>
              </w:rPr>
            </w:pPr>
            <w:r>
              <w:rPr>
                <w:rFonts w:hint="eastAsia" w:ascii="Times New Roman" w:hAnsi="Times New Roman" w:cs="Times New Roman"/>
                <w:sz w:val="20"/>
                <w:szCs w:val="20"/>
                <w:lang w:val="en-US" w:eastAsia="zh-CN"/>
              </w:rPr>
              <w:t>4.85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265" w:hRule="atLeast"/>
          <w:jc w:val="center"/>
        </w:trPr>
        <w:tc>
          <w:tcPr>
            <w:tcW w:w="33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rPr>
              <w:t>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公务员医疗补助缴费</w:t>
            </w:r>
          </w:p>
        </w:tc>
        <w:tc>
          <w:tcPr>
            <w:tcW w:w="206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5.78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Times New Roman" w:hAnsi="Times New Roman" w:eastAsia="仿宋_GB2312" w:cs="Times New Roman"/>
                <w:sz w:val="20"/>
                <w:szCs w:val="20"/>
                <w:lang w:val="en-US" w:eastAsia="zh-CN"/>
              </w:rPr>
            </w:pPr>
            <w:r>
              <w:rPr>
                <w:rFonts w:hint="eastAsia" w:ascii="Times New Roman" w:hAnsi="Times New Roman" w:cs="Times New Roman"/>
                <w:sz w:val="20"/>
                <w:szCs w:val="20"/>
                <w:lang w:val="en-US" w:eastAsia="zh-CN"/>
              </w:rPr>
              <w:t>5.78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150" w:hRule="atLeast"/>
          <w:jc w:val="center"/>
        </w:trPr>
        <w:tc>
          <w:tcPr>
            <w:tcW w:w="3327"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rPr>
              <w:t>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其他社会保障缴费</w:t>
            </w:r>
          </w:p>
        </w:tc>
        <w:tc>
          <w:tcPr>
            <w:tcW w:w="20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0.13</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sz w:val="20"/>
                <w:szCs w:val="20"/>
                <w:lang w:val="en-US" w:eastAsia="zh-CN"/>
              </w:rPr>
            </w:pPr>
            <w:r>
              <w:rPr>
                <w:rFonts w:hint="eastAsia" w:ascii="Times New Roman" w:hAnsi="Times New Roman" w:cs="Times New Roman"/>
                <w:sz w:val="20"/>
                <w:szCs w:val="20"/>
                <w:lang w:val="en-US" w:eastAsia="zh-CN"/>
              </w:rPr>
              <w:t>0.13</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210" w:hRule="atLeast"/>
          <w:jc w:val="center"/>
        </w:trPr>
        <w:tc>
          <w:tcPr>
            <w:tcW w:w="3327"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sz w:val="20"/>
                <w:szCs w:val="20"/>
              </w:rPr>
              <w:t>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住房公积金</w:t>
            </w:r>
          </w:p>
        </w:tc>
        <w:tc>
          <w:tcPr>
            <w:tcW w:w="20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11.30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sz w:val="20"/>
                <w:szCs w:val="20"/>
                <w:lang w:val="en-US" w:eastAsia="zh-CN"/>
              </w:rPr>
            </w:pPr>
            <w:r>
              <w:rPr>
                <w:rFonts w:hint="eastAsia" w:ascii="Times New Roman" w:hAnsi="Times New Roman" w:cs="Times New Roman"/>
                <w:sz w:val="20"/>
                <w:szCs w:val="20"/>
                <w:lang w:val="en-US" w:eastAsia="zh-CN"/>
              </w:rPr>
              <w:t>11.30</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180" w:hRule="atLeast"/>
          <w:jc w:val="center"/>
        </w:trPr>
        <w:tc>
          <w:tcPr>
            <w:tcW w:w="3327"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sz w:val="20"/>
                <w:szCs w:val="20"/>
              </w:rPr>
              <w:t>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医疗费</w:t>
            </w:r>
          </w:p>
        </w:tc>
        <w:tc>
          <w:tcPr>
            <w:tcW w:w="20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1.50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sz w:val="20"/>
                <w:szCs w:val="20"/>
                <w:lang w:val="en-US" w:eastAsia="zh-CN"/>
              </w:rPr>
            </w:pPr>
            <w:r>
              <w:rPr>
                <w:rFonts w:hint="eastAsia" w:ascii="Times New Roman" w:hAnsi="Times New Roman" w:cs="Times New Roman"/>
                <w:sz w:val="20"/>
                <w:szCs w:val="20"/>
                <w:lang w:val="en-US" w:eastAsia="zh-CN"/>
              </w:rPr>
              <w:t>1.50</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235" w:hRule="atLeast"/>
          <w:jc w:val="center"/>
        </w:trPr>
        <w:tc>
          <w:tcPr>
            <w:tcW w:w="3327"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sz w:val="20"/>
                <w:szCs w:val="20"/>
                <w:lang w:eastAsia="zh-CN"/>
              </w:rPr>
              <w:t>二、</w:t>
            </w:r>
            <w:r>
              <w:rPr>
                <w:rFonts w:hint="eastAsia" w:asciiTheme="minorEastAsia" w:hAnsiTheme="minorEastAsia" w:eastAsiaTheme="minorEastAsia" w:cstheme="minorEastAsia"/>
                <w:sz w:val="20"/>
                <w:szCs w:val="20"/>
              </w:rPr>
              <w:t>商品和服务支出</w:t>
            </w:r>
          </w:p>
        </w:tc>
        <w:tc>
          <w:tcPr>
            <w:tcW w:w="20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21.73</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sz w:val="20"/>
                <w:szCs w:val="20"/>
                <w:lang w:val="en-US" w:eastAsia="zh-CN"/>
              </w:rPr>
            </w:pPr>
            <w:r>
              <w:rPr>
                <w:rFonts w:hint="eastAsia" w:ascii="Times New Roman" w:hAnsi="Times New Roman" w:cs="Times New Roman"/>
                <w:sz w:val="20"/>
                <w:szCs w:val="20"/>
                <w:lang w:val="en-US" w:eastAsia="zh-CN"/>
              </w:rPr>
              <w:t>21.73</w:t>
            </w:r>
          </w:p>
        </w:tc>
      </w:tr>
      <w:tr>
        <w:tblPrEx>
          <w:tblLayout w:type="fixed"/>
          <w:tblCellMar>
            <w:top w:w="0" w:type="dxa"/>
            <w:left w:w="108" w:type="dxa"/>
            <w:bottom w:w="0" w:type="dxa"/>
            <w:right w:w="108" w:type="dxa"/>
          </w:tblCellMar>
        </w:tblPrEx>
        <w:trPr>
          <w:trHeight w:val="252" w:hRule="atLeast"/>
          <w:jc w:val="center"/>
        </w:trPr>
        <w:tc>
          <w:tcPr>
            <w:tcW w:w="3327"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sz w:val="20"/>
                <w:szCs w:val="20"/>
              </w:rPr>
              <w:t>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办公费</w:t>
            </w:r>
          </w:p>
        </w:tc>
        <w:tc>
          <w:tcPr>
            <w:tcW w:w="20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2.78</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sz w:val="20"/>
                <w:szCs w:val="20"/>
                <w:lang w:val="en-US" w:eastAsia="zh-CN"/>
              </w:rPr>
            </w:pPr>
            <w:r>
              <w:rPr>
                <w:rFonts w:hint="eastAsia" w:ascii="Times New Roman" w:hAnsi="Times New Roman" w:cs="Times New Roman"/>
                <w:sz w:val="20"/>
                <w:szCs w:val="20"/>
                <w:lang w:val="en-US" w:eastAsia="zh-CN"/>
              </w:rPr>
              <w:t>2.78</w:t>
            </w:r>
          </w:p>
        </w:tc>
      </w:tr>
      <w:tr>
        <w:tblPrEx>
          <w:tblLayout w:type="fixed"/>
          <w:tblCellMar>
            <w:top w:w="0" w:type="dxa"/>
            <w:left w:w="108" w:type="dxa"/>
            <w:bottom w:w="0" w:type="dxa"/>
            <w:right w:w="108" w:type="dxa"/>
          </w:tblCellMar>
        </w:tblPrEx>
        <w:trPr>
          <w:trHeight w:val="295" w:hRule="atLeast"/>
          <w:jc w:val="center"/>
        </w:trPr>
        <w:tc>
          <w:tcPr>
            <w:tcW w:w="3327"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sz w:val="20"/>
                <w:szCs w:val="20"/>
              </w:rPr>
              <w:t>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印刷费</w:t>
            </w:r>
          </w:p>
        </w:tc>
        <w:tc>
          <w:tcPr>
            <w:tcW w:w="20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0.50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sz w:val="20"/>
                <w:szCs w:val="20"/>
                <w:lang w:val="en-US" w:eastAsia="zh-CN"/>
              </w:rPr>
            </w:pPr>
            <w:r>
              <w:rPr>
                <w:rFonts w:hint="eastAsia" w:ascii="Times New Roman" w:hAnsi="Times New Roman" w:cs="Times New Roman"/>
                <w:sz w:val="20"/>
                <w:szCs w:val="20"/>
                <w:lang w:val="en-US" w:eastAsia="zh-CN"/>
              </w:rPr>
              <w:t>0.50</w:t>
            </w:r>
          </w:p>
        </w:tc>
      </w:tr>
      <w:tr>
        <w:tblPrEx>
          <w:tblLayout w:type="fixed"/>
          <w:tblCellMar>
            <w:top w:w="0" w:type="dxa"/>
            <w:left w:w="108" w:type="dxa"/>
            <w:bottom w:w="0" w:type="dxa"/>
            <w:right w:w="108" w:type="dxa"/>
          </w:tblCellMar>
        </w:tblPrEx>
        <w:trPr>
          <w:trHeight w:val="210" w:hRule="atLeast"/>
          <w:jc w:val="center"/>
        </w:trPr>
        <w:tc>
          <w:tcPr>
            <w:tcW w:w="3327"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sz w:val="20"/>
                <w:szCs w:val="20"/>
              </w:rPr>
              <w:t>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邮电费</w:t>
            </w:r>
          </w:p>
        </w:tc>
        <w:tc>
          <w:tcPr>
            <w:tcW w:w="20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0.50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sz w:val="20"/>
                <w:szCs w:val="20"/>
                <w:lang w:val="en-US" w:eastAsia="zh-CN"/>
              </w:rPr>
            </w:pPr>
            <w:r>
              <w:rPr>
                <w:rFonts w:hint="eastAsia" w:ascii="Times New Roman" w:hAnsi="Times New Roman" w:cs="Times New Roman"/>
                <w:sz w:val="20"/>
                <w:szCs w:val="20"/>
                <w:lang w:val="en-US" w:eastAsia="zh-CN"/>
              </w:rPr>
              <w:t>0.50</w:t>
            </w:r>
          </w:p>
        </w:tc>
      </w:tr>
      <w:tr>
        <w:tblPrEx>
          <w:tblLayout w:type="fixed"/>
          <w:tblCellMar>
            <w:top w:w="0" w:type="dxa"/>
            <w:left w:w="108" w:type="dxa"/>
            <w:bottom w:w="0" w:type="dxa"/>
            <w:right w:w="108" w:type="dxa"/>
          </w:tblCellMar>
        </w:tblPrEx>
        <w:trPr>
          <w:trHeight w:val="282" w:hRule="atLeast"/>
          <w:jc w:val="center"/>
        </w:trPr>
        <w:tc>
          <w:tcPr>
            <w:tcW w:w="3327"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sz w:val="20"/>
                <w:szCs w:val="20"/>
              </w:rPr>
              <w:t>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差旅费</w:t>
            </w:r>
          </w:p>
        </w:tc>
        <w:tc>
          <w:tcPr>
            <w:tcW w:w="20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3.00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sz w:val="20"/>
                <w:szCs w:val="20"/>
                <w:lang w:val="en-US" w:eastAsia="zh-CN"/>
              </w:rPr>
            </w:pPr>
            <w:r>
              <w:rPr>
                <w:rFonts w:hint="eastAsia" w:ascii="Times New Roman" w:hAnsi="Times New Roman" w:cs="Times New Roman"/>
                <w:sz w:val="20"/>
                <w:szCs w:val="20"/>
                <w:lang w:val="en-US" w:eastAsia="zh-CN"/>
              </w:rPr>
              <w:t>3.00</w:t>
            </w:r>
          </w:p>
        </w:tc>
      </w:tr>
      <w:tr>
        <w:tblPrEx>
          <w:tblLayout w:type="fixed"/>
          <w:tblCellMar>
            <w:top w:w="0" w:type="dxa"/>
            <w:left w:w="108" w:type="dxa"/>
            <w:bottom w:w="0" w:type="dxa"/>
            <w:right w:w="108" w:type="dxa"/>
          </w:tblCellMar>
        </w:tblPrEx>
        <w:trPr>
          <w:trHeight w:val="312" w:hRule="atLeast"/>
          <w:jc w:val="center"/>
        </w:trPr>
        <w:tc>
          <w:tcPr>
            <w:tcW w:w="3327"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sz w:val="20"/>
                <w:szCs w:val="20"/>
              </w:rPr>
              <w:t>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会议费</w:t>
            </w:r>
          </w:p>
        </w:tc>
        <w:tc>
          <w:tcPr>
            <w:tcW w:w="20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0.13</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sz w:val="20"/>
                <w:szCs w:val="20"/>
                <w:lang w:val="en-US" w:eastAsia="zh-CN"/>
              </w:rPr>
            </w:pPr>
            <w:r>
              <w:rPr>
                <w:rFonts w:hint="eastAsia" w:ascii="Times New Roman" w:hAnsi="Times New Roman" w:cs="Times New Roman"/>
                <w:sz w:val="20"/>
                <w:szCs w:val="20"/>
                <w:lang w:val="en-US" w:eastAsia="zh-CN"/>
              </w:rPr>
              <w:t>0.13</w:t>
            </w:r>
          </w:p>
        </w:tc>
      </w:tr>
      <w:tr>
        <w:tblPrEx>
          <w:tblLayout w:type="fixed"/>
          <w:tblCellMar>
            <w:top w:w="0" w:type="dxa"/>
            <w:left w:w="108" w:type="dxa"/>
            <w:bottom w:w="0" w:type="dxa"/>
            <w:right w:w="108" w:type="dxa"/>
          </w:tblCellMar>
        </w:tblPrEx>
        <w:trPr>
          <w:trHeight w:val="312" w:hRule="atLeast"/>
          <w:jc w:val="center"/>
        </w:trPr>
        <w:tc>
          <w:tcPr>
            <w:tcW w:w="3327"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sz w:val="20"/>
                <w:szCs w:val="20"/>
              </w:rPr>
              <w:t>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培训费</w:t>
            </w:r>
          </w:p>
        </w:tc>
        <w:tc>
          <w:tcPr>
            <w:tcW w:w="20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0.32</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sz w:val="20"/>
                <w:szCs w:val="20"/>
                <w:lang w:val="en-US" w:eastAsia="zh-CN"/>
              </w:rPr>
            </w:pPr>
            <w:r>
              <w:rPr>
                <w:rFonts w:hint="eastAsia" w:ascii="Times New Roman" w:hAnsi="Times New Roman" w:cs="Times New Roman"/>
                <w:sz w:val="20"/>
                <w:szCs w:val="20"/>
                <w:lang w:val="en-US" w:eastAsia="zh-CN"/>
              </w:rPr>
              <w:t>0.32</w:t>
            </w:r>
          </w:p>
        </w:tc>
      </w:tr>
      <w:tr>
        <w:tblPrEx>
          <w:tblLayout w:type="fixed"/>
          <w:tblCellMar>
            <w:top w:w="0" w:type="dxa"/>
            <w:left w:w="108" w:type="dxa"/>
            <w:bottom w:w="0" w:type="dxa"/>
            <w:right w:w="108" w:type="dxa"/>
          </w:tblCellMar>
        </w:tblPrEx>
        <w:trPr>
          <w:trHeight w:val="312" w:hRule="atLeast"/>
          <w:jc w:val="center"/>
        </w:trPr>
        <w:tc>
          <w:tcPr>
            <w:tcW w:w="33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300" w:firstLineChars="150"/>
              <w:textAlignment w:val="auto"/>
              <w:outlineLvl w:val="9"/>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公务接待费</w:t>
            </w:r>
          </w:p>
        </w:tc>
        <w:tc>
          <w:tcPr>
            <w:tcW w:w="20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0.15</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0.15</w:t>
            </w:r>
          </w:p>
        </w:tc>
      </w:tr>
      <w:tr>
        <w:tblPrEx>
          <w:tblLayout w:type="fixed"/>
          <w:tblCellMar>
            <w:top w:w="0" w:type="dxa"/>
            <w:left w:w="108" w:type="dxa"/>
            <w:bottom w:w="0" w:type="dxa"/>
            <w:right w:w="108" w:type="dxa"/>
          </w:tblCellMar>
        </w:tblPrEx>
        <w:trPr>
          <w:trHeight w:val="365" w:hRule="atLeast"/>
          <w:jc w:val="center"/>
        </w:trPr>
        <w:tc>
          <w:tcPr>
            <w:tcW w:w="3327"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sz w:val="20"/>
                <w:szCs w:val="20"/>
              </w:rPr>
              <w:t>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工会经费</w:t>
            </w:r>
          </w:p>
        </w:tc>
        <w:tc>
          <w:tcPr>
            <w:tcW w:w="20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1.31</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sz w:val="20"/>
                <w:szCs w:val="20"/>
                <w:lang w:val="en-US" w:eastAsia="zh-CN"/>
              </w:rPr>
            </w:pPr>
            <w:r>
              <w:rPr>
                <w:rFonts w:hint="eastAsia" w:ascii="Times New Roman" w:hAnsi="Times New Roman" w:cs="Times New Roman"/>
                <w:sz w:val="20"/>
                <w:szCs w:val="20"/>
                <w:lang w:val="en-US" w:eastAsia="zh-CN"/>
              </w:rPr>
              <w:t>1.31</w:t>
            </w:r>
          </w:p>
        </w:tc>
      </w:tr>
      <w:tr>
        <w:tblPrEx>
          <w:tblLayout w:type="fixed"/>
          <w:tblCellMar>
            <w:top w:w="0" w:type="dxa"/>
            <w:left w:w="108" w:type="dxa"/>
            <w:bottom w:w="0" w:type="dxa"/>
            <w:right w:w="108" w:type="dxa"/>
          </w:tblCellMar>
        </w:tblPrEx>
        <w:trPr>
          <w:trHeight w:val="315" w:hRule="atLeast"/>
          <w:jc w:val="center"/>
        </w:trPr>
        <w:tc>
          <w:tcPr>
            <w:tcW w:w="3327"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sz w:val="20"/>
                <w:szCs w:val="20"/>
              </w:rPr>
              <w:t>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其他交通费用</w:t>
            </w:r>
          </w:p>
        </w:tc>
        <w:tc>
          <w:tcPr>
            <w:tcW w:w="20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6.83</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sz w:val="20"/>
                <w:szCs w:val="20"/>
                <w:lang w:val="en-US" w:eastAsia="zh-CN"/>
              </w:rPr>
            </w:pPr>
            <w:r>
              <w:rPr>
                <w:rFonts w:hint="eastAsia" w:ascii="Times New Roman" w:hAnsi="Times New Roman" w:cs="Times New Roman"/>
                <w:sz w:val="20"/>
                <w:szCs w:val="20"/>
                <w:lang w:val="en-US" w:eastAsia="zh-CN"/>
              </w:rPr>
              <w:t>6.83</w:t>
            </w:r>
          </w:p>
        </w:tc>
      </w:tr>
      <w:tr>
        <w:tblPrEx>
          <w:tblLayout w:type="fixed"/>
          <w:tblCellMar>
            <w:top w:w="0" w:type="dxa"/>
            <w:left w:w="108" w:type="dxa"/>
            <w:bottom w:w="0" w:type="dxa"/>
            <w:right w:w="108" w:type="dxa"/>
          </w:tblCellMar>
        </w:tblPrEx>
        <w:trPr>
          <w:trHeight w:val="310" w:hRule="atLeast"/>
          <w:jc w:val="center"/>
        </w:trPr>
        <w:tc>
          <w:tcPr>
            <w:tcW w:w="3327"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sz w:val="20"/>
                <w:szCs w:val="20"/>
              </w:rPr>
              <w:t>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其他商品和服务支出</w:t>
            </w:r>
          </w:p>
        </w:tc>
        <w:tc>
          <w:tcPr>
            <w:tcW w:w="20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6.21</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sz w:val="20"/>
                <w:szCs w:val="20"/>
                <w:lang w:val="en-US" w:eastAsia="zh-CN"/>
              </w:rPr>
            </w:pPr>
            <w:r>
              <w:rPr>
                <w:rFonts w:hint="eastAsia" w:ascii="Times New Roman" w:hAnsi="Times New Roman" w:cs="Times New Roman"/>
                <w:sz w:val="20"/>
                <w:szCs w:val="20"/>
                <w:lang w:val="en-US" w:eastAsia="zh-CN"/>
              </w:rPr>
              <w:t>6.21</w:t>
            </w:r>
          </w:p>
        </w:tc>
      </w:tr>
      <w:tr>
        <w:tblPrEx>
          <w:tblLayout w:type="fixed"/>
          <w:tblCellMar>
            <w:top w:w="0" w:type="dxa"/>
            <w:left w:w="108" w:type="dxa"/>
            <w:bottom w:w="0" w:type="dxa"/>
            <w:right w:w="108" w:type="dxa"/>
          </w:tblCellMar>
        </w:tblPrEx>
        <w:trPr>
          <w:trHeight w:val="355" w:hRule="atLeast"/>
          <w:jc w:val="center"/>
        </w:trPr>
        <w:tc>
          <w:tcPr>
            <w:tcW w:w="3327"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sz w:val="20"/>
                <w:szCs w:val="20"/>
                <w:lang w:eastAsia="zh-CN"/>
              </w:rPr>
              <w:t>三、</w:t>
            </w:r>
            <w:r>
              <w:rPr>
                <w:rFonts w:hint="eastAsia" w:asciiTheme="minorEastAsia" w:hAnsiTheme="minorEastAsia" w:eastAsiaTheme="minorEastAsia" w:cstheme="minorEastAsia"/>
                <w:sz w:val="20"/>
                <w:szCs w:val="20"/>
              </w:rPr>
              <w:t>对个人和家庭的补助</w:t>
            </w:r>
          </w:p>
        </w:tc>
        <w:tc>
          <w:tcPr>
            <w:tcW w:w="20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18.69</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sz w:val="20"/>
                <w:szCs w:val="20"/>
                <w:lang w:val="en-US" w:eastAsia="zh-CN"/>
              </w:rPr>
            </w:pPr>
            <w:r>
              <w:rPr>
                <w:rFonts w:hint="eastAsia" w:ascii="Times New Roman" w:hAnsi="Times New Roman" w:cs="Times New Roman"/>
                <w:sz w:val="20"/>
                <w:szCs w:val="20"/>
                <w:lang w:val="en-US" w:eastAsia="zh-CN"/>
              </w:rPr>
              <w:t>18.69</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282" w:hRule="atLeast"/>
          <w:jc w:val="center"/>
        </w:trPr>
        <w:tc>
          <w:tcPr>
            <w:tcW w:w="3327"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sz w:val="20"/>
                <w:szCs w:val="20"/>
              </w:rPr>
              <w:t>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退休费</w:t>
            </w:r>
          </w:p>
        </w:tc>
        <w:tc>
          <w:tcPr>
            <w:tcW w:w="20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18.37</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sz w:val="20"/>
                <w:szCs w:val="20"/>
                <w:lang w:val="en-US" w:eastAsia="zh-CN"/>
              </w:rPr>
            </w:pPr>
            <w:r>
              <w:rPr>
                <w:rFonts w:hint="eastAsia" w:ascii="Times New Roman" w:hAnsi="Times New Roman" w:cs="Times New Roman"/>
                <w:sz w:val="20"/>
                <w:szCs w:val="20"/>
                <w:lang w:val="en-US" w:eastAsia="zh-CN"/>
              </w:rPr>
              <w:t>18.37</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282" w:hRule="atLeast"/>
          <w:jc w:val="center"/>
        </w:trPr>
        <w:tc>
          <w:tcPr>
            <w:tcW w:w="3327"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sz w:val="20"/>
                <w:szCs w:val="20"/>
              </w:rPr>
              <w:t>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其他对个人和家庭的补助</w:t>
            </w:r>
          </w:p>
        </w:tc>
        <w:tc>
          <w:tcPr>
            <w:tcW w:w="20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0.32</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sz w:val="20"/>
                <w:szCs w:val="20"/>
                <w:lang w:val="en-US" w:eastAsia="zh-CN"/>
              </w:rPr>
            </w:pPr>
            <w:r>
              <w:rPr>
                <w:rFonts w:hint="eastAsia" w:ascii="Times New Roman" w:hAnsi="Times New Roman" w:cs="Times New Roman"/>
                <w:sz w:val="20"/>
                <w:szCs w:val="20"/>
                <w:lang w:val="en-US" w:eastAsia="zh-CN"/>
              </w:rPr>
              <w:t>0.32</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365" w:hRule="atLeast"/>
          <w:jc w:val="center"/>
        </w:trPr>
        <w:tc>
          <w:tcPr>
            <w:tcW w:w="332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Theme="minorEastAsia" w:hAnsiTheme="minorEastAsia" w:eastAsiaTheme="minorEastAsia" w:cstheme="minorEastAsia"/>
                <w:color w:val="000000"/>
                <w:kern w:val="0"/>
                <w:sz w:val="20"/>
                <w:szCs w:val="20"/>
                <w:lang w:eastAsia="zh-CN"/>
              </w:rPr>
            </w:pPr>
            <w:r>
              <w:rPr>
                <w:rFonts w:hint="eastAsia" w:asciiTheme="minorEastAsia" w:hAnsiTheme="minorEastAsia" w:eastAsiaTheme="minorEastAsia" w:cstheme="minorEastAsia"/>
                <w:color w:val="000000"/>
                <w:kern w:val="0"/>
                <w:sz w:val="20"/>
                <w:szCs w:val="20"/>
                <w:lang w:eastAsia="zh-CN"/>
              </w:rPr>
              <w:t>四、资本性支出</w:t>
            </w:r>
          </w:p>
        </w:tc>
        <w:tc>
          <w:tcPr>
            <w:tcW w:w="20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0.59</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sz w:val="20"/>
                <w:szCs w:val="20"/>
                <w:lang w:val="en-US" w:eastAsia="zh-CN"/>
              </w:rPr>
            </w:pPr>
            <w:r>
              <w:rPr>
                <w:rFonts w:hint="eastAsia" w:ascii="Times New Roman" w:hAnsi="Times New Roman" w:cs="Times New Roman"/>
                <w:sz w:val="20"/>
                <w:szCs w:val="20"/>
                <w:lang w:val="en-US" w:eastAsia="zh-CN"/>
              </w:rPr>
              <w:t>0.59</w:t>
            </w:r>
          </w:p>
        </w:tc>
      </w:tr>
      <w:tr>
        <w:tblPrEx>
          <w:tblLayout w:type="fixed"/>
          <w:tblCellMar>
            <w:top w:w="0" w:type="dxa"/>
            <w:left w:w="108" w:type="dxa"/>
            <w:bottom w:w="0" w:type="dxa"/>
            <w:right w:w="108" w:type="dxa"/>
          </w:tblCellMar>
        </w:tblPrEx>
        <w:trPr>
          <w:trHeight w:val="355" w:hRule="atLeast"/>
          <w:jc w:val="center"/>
        </w:trPr>
        <w:tc>
          <w:tcPr>
            <w:tcW w:w="3327" w:type="dxa"/>
            <w:tcBorders>
              <w:top w:val="single" w:color="auto" w:sz="4" w:space="0"/>
              <w:left w:val="single" w:color="auto" w:sz="4" w:space="0"/>
              <w:bottom w:val="single" w:color="auto" w:sz="4" w:space="0"/>
              <w:right w:val="single" w:color="auto" w:sz="4" w:space="0"/>
            </w:tcBorders>
            <w:noWrap w:val="0"/>
            <w:vAlign w:val="center"/>
          </w:tcPr>
          <w:p>
            <w:pPr>
              <w:ind w:firstLine="400" w:firstLineChars="200"/>
              <w:rPr>
                <w:rFonts w:hint="eastAsia" w:asciiTheme="minorEastAsia" w:hAnsiTheme="minorEastAsia" w:eastAsiaTheme="minorEastAsia" w:cstheme="minorEastAsia"/>
                <w:color w:val="000000"/>
                <w:kern w:val="0"/>
                <w:sz w:val="20"/>
                <w:szCs w:val="20"/>
                <w:lang w:eastAsia="zh-CN"/>
              </w:rPr>
            </w:pPr>
            <w:r>
              <w:rPr>
                <w:rFonts w:hint="eastAsia" w:asciiTheme="minorEastAsia" w:hAnsiTheme="minorEastAsia" w:eastAsiaTheme="minorEastAsia" w:cstheme="minorEastAsia"/>
                <w:color w:val="000000"/>
                <w:kern w:val="0"/>
                <w:sz w:val="20"/>
                <w:szCs w:val="20"/>
                <w:lang w:eastAsia="zh-CN"/>
              </w:rPr>
              <w:t>办公设备购置</w:t>
            </w:r>
          </w:p>
        </w:tc>
        <w:tc>
          <w:tcPr>
            <w:tcW w:w="20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0.59</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sz w:val="20"/>
                <w:szCs w:val="20"/>
                <w:lang w:val="en-US" w:eastAsia="zh-CN"/>
              </w:rPr>
            </w:pPr>
            <w:r>
              <w:rPr>
                <w:rFonts w:hint="eastAsia" w:ascii="Times New Roman" w:hAnsi="Times New Roman" w:cs="Times New Roman"/>
                <w:sz w:val="20"/>
                <w:szCs w:val="20"/>
                <w:lang w:val="en-US" w:eastAsia="zh-CN"/>
              </w:rPr>
              <w:t>0.59</w:t>
            </w:r>
          </w:p>
        </w:tc>
      </w:tr>
      <w:tr>
        <w:tblPrEx>
          <w:tblLayout w:type="fixed"/>
          <w:tblCellMar>
            <w:top w:w="0" w:type="dxa"/>
            <w:left w:w="108" w:type="dxa"/>
            <w:bottom w:w="0" w:type="dxa"/>
            <w:right w:w="108" w:type="dxa"/>
          </w:tblCellMar>
        </w:tblPrEx>
        <w:trPr>
          <w:trHeight w:val="360" w:hRule="atLeast"/>
          <w:jc w:val="center"/>
        </w:trPr>
        <w:tc>
          <w:tcPr>
            <w:tcW w:w="33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kern w:val="0"/>
                <w:sz w:val="20"/>
                <w:szCs w:val="20"/>
                <w:lang w:eastAsia="zh-CN"/>
              </w:rPr>
            </w:pPr>
            <w:r>
              <w:rPr>
                <w:rFonts w:hint="eastAsia" w:asciiTheme="minorEastAsia" w:hAnsiTheme="minorEastAsia" w:eastAsiaTheme="minorEastAsia" w:cstheme="minorEastAsia"/>
                <w:color w:val="000000"/>
                <w:kern w:val="0"/>
                <w:sz w:val="20"/>
                <w:szCs w:val="20"/>
                <w:lang w:eastAsia="zh-CN"/>
              </w:rPr>
              <w:t>合计</w:t>
            </w:r>
          </w:p>
        </w:tc>
        <w:tc>
          <w:tcPr>
            <w:tcW w:w="20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172.46</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sz w:val="20"/>
                <w:szCs w:val="20"/>
                <w:lang w:val="en-US" w:eastAsia="zh-CN"/>
              </w:rPr>
            </w:pPr>
            <w:r>
              <w:rPr>
                <w:rFonts w:hint="eastAsia" w:ascii="Times New Roman" w:hAnsi="Times New Roman" w:cs="Times New Roman"/>
                <w:sz w:val="20"/>
                <w:szCs w:val="20"/>
                <w:lang w:val="en-US" w:eastAsia="zh-CN"/>
              </w:rPr>
              <w:t>150.14</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sz w:val="20"/>
                <w:szCs w:val="20"/>
                <w:lang w:val="en-US" w:eastAsia="zh-CN"/>
              </w:rPr>
            </w:pPr>
            <w:r>
              <w:rPr>
                <w:rFonts w:hint="eastAsia" w:ascii="Times New Roman" w:hAnsi="Times New Roman" w:cs="Times New Roman"/>
                <w:sz w:val="20"/>
                <w:szCs w:val="20"/>
                <w:lang w:val="en-US" w:eastAsia="zh-CN"/>
              </w:rPr>
              <w:t>22.32</w:t>
            </w:r>
          </w:p>
        </w:tc>
      </w:tr>
    </w:tbl>
    <w:p>
      <w:pPr>
        <w:rPr>
          <w:sz w:val="16"/>
          <w:szCs w:val="16"/>
        </w:rPr>
      </w:pPr>
    </w:p>
    <w:p>
      <w:pPr>
        <w:rPr>
          <w:sz w:val="16"/>
          <w:szCs w:val="16"/>
        </w:rPr>
      </w:pPr>
    </w:p>
    <w:p>
      <w:pPr>
        <w:rPr>
          <w:sz w:val="16"/>
          <w:szCs w:val="16"/>
        </w:rPr>
      </w:pPr>
    </w:p>
    <w:p>
      <w:pPr>
        <w:ind w:firstLine="636"/>
        <w:rPr>
          <w:rFonts w:hAnsi="楷体" w:eastAsia="楷体"/>
        </w:rPr>
      </w:pPr>
    </w:p>
    <w:tbl>
      <w:tblPr>
        <w:tblStyle w:val="11"/>
        <w:tblW w:w="9140" w:type="dxa"/>
        <w:jc w:val="center"/>
        <w:tblInd w:w="0" w:type="dxa"/>
        <w:tblLayout w:type="fixed"/>
        <w:tblCellMar>
          <w:top w:w="0" w:type="dxa"/>
          <w:left w:w="108" w:type="dxa"/>
          <w:bottom w:w="0" w:type="dxa"/>
          <w:right w:w="108" w:type="dxa"/>
        </w:tblCellMar>
      </w:tblPr>
      <w:tblGrid>
        <w:gridCol w:w="5769"/>
        <w:gridCol w:w="3371"/>
      </w:tblGrid>
      <w:tr>
        <w:tblPrEx>
          <w:tblLayout w:type="fixed"/>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pPr>
              <w:ind w:firstLine="636"/>
              <w:rPr>
                <w:rFonts w:eastAsia="宋体"/>
                <w:color w:val="000000"/>
                <w:kern w:val="0"/>
                <w:sz w:val="44"/>
                <w:szCs w:val="44"/>
              </w:rPr>
            </w:pPr>
            <w:r>
              <w:rPr>
                <w:rFonts w:hAnsi="楷体" w:eastAsia="楷体"/>
              </w:rPr>
              <w:br w:type="page"/>
            </w: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tblPrEx>
          <w:tblLayout w:type="fixed"/>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pPr>
              <w:widowControl/>
              <w:jc w:val="right"/>
              <w:rPr>
                <w:rFonts w:eastAsia="华文细黑"/>
                <w:color w:val="000000"/>
                <w:kern w:val="0"/>
                <w:sz w:val="20"/>
              </w:rPr>
            </w:pPr>
            <w:r>
              <w:rPr>
                <w:rFonts w:hAnsi="华文细黑" w:eastAsia="华文细黑"/>
                <w:color w:val="000000"/>
                <w:kern w:val="0"/>
                <w:sz w:val="20"/>
              </w:rPr>
              <w:t>单位：万元</w:t>
            </w:r>
          </w:p>
        </w:tc>
      </w:tr>
      <w:tr>
        <w:tblPrEx>
          <w:tblLayout w:type="fixed"/>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tblPrEx>
          <w:tblLayout w:type="fixed"/>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0.15</w:t>
            </w:r>
          </w:p>
        </w:tc>
      </w:tr>
      <w:tr>
        <w:tblPrEx>
          <w:tblLayout w:type="fixed"/>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Layout w:type="fixed"/>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0.15</w:t>
            </w:r>
          </w:p>
        </w:tc>
      </w:tr>
      <w:tr>
        <w:tblPrEx>
          <w:tblLayout w:type="fixed"/>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Layout w:type="fixed"/>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Layout w:type="fixed"/>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Layout w:type="fixed"/>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pPr>
              <w:widowControl/>
              <w:jc w:val="both"/>
              <w:rPr>
                <w:rFonts w:hint="eastAsia" w:eastAsia="仿宋_GB2312"/>
                <w:color w:val="000000"/>
                <w:kern w:val="0"/>
                <w:sz w:val="28"/>
                <w:szCs w:val="28"/>
                <w:lang w:val="en-US" w:eastAsia="zh-CN"/>
              </w:rPr>
            </w:pPr>
          </w:p>
        </w:tc>
      </w:tr>
    </w:tbl>
    <w:p>
      <w:pPr>
        <w:ind w:firstLine="640" w:firstLineChars="200"/>
        <w:rPr>
          <w:rFonts w:hAnsi="楷体" w:eastAsia="楷体"/>
        </w:rPr>
      </w:pPr>
    </w:p>
    <w:p>
      <w:pPr>
        <w:ind w:firstLine="640" w:firstLineChars="200"/>
        <w:rPr>
          <w:rFonts w:hAnsi="楷体" w:eastAsia="楷体"/>
        </w:rPr>
      </w:pPr>
    </w:p>
    <w:p>
      <w:pPr>
        <w:ind w:firstLine="640" w:firstLineChars="200"/>
        <w:rPr>
          <w:rFonts w:hAnsi="楷体" w:eastAsia="楷体"/>
        </w:rPr>
      </w:pPr>
    </w:p>
    <w:p>
      <w:pPr>
        <w:ind w:firstLine="640" w:firstLineChars="200"/>
        <w:rPr>
          <w:rFonts w:eastAsia="楷体"/>
          <w:kern w:val="0"/>
          <w:szCs w:val="32"/>
        </w:rPr>
      </w:pPr>
      <w:r>
        <w:rPr>
          <w:rFonts w:eastAsia="楷体"/>
          <w:kern w:val="0"/>
          <w:szCs w:val="32"/>
        </w:rPr>
        <w:t xml:space="preserve">    </w:t>
      </w:r>
    </w:p>
    <w:tbl>
      <w:tblPr>
        <w:tblStyle w:val="11"/>
        <w:tblpPr w:leftFromText="180" w:rightFromText="180" w:horzAnchor="margin" w:tblpY="321"/>
        <w:tblW w:w="8789" w:type="dxa"/>
        <w:tblInd w:w="0" w:type="dxa"/>
        <w:tblLayout w:type="fixed"/>
        <w:tblCellMar>
          <w:top w:w="15" w:type="dxa"/>
          <w:left w:w="15" w:type="dxa"/>
          <w:bottom w:w="15" w:type="dxa"/>
          <w:right w:w="15" w:type="dxa"/>
        </w:tblCellMar>
      </w:tblPr>
      <w:tblGrid>
        <w:gridCol w:w="2197"/>
        <w:gridCol w:w="2197"/>
        <w:gridCol w:w="2197"/>
        <w:gridCol w:w="2198"/>
      </w:tblGrid>
      <w:tr>
        <w:tblPrEx>
          <w:tblLayout w:type="fixed"/>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blPrEx>
          <w:tblLayout w:type="fixed"/>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项目支出</w:t>
            </w:r>
          </w:p>
        </w:tc>
      </w:tr>
      <w:tr>
        <w:tblPrEx>
          <w:tblLayout w:type="fixed"/>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Layout w:type="fixed"/>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bl>
    <w:p>
      <w:pPr>
        <w:spacing w:line="700" w:lineRule="exact"/>
        <w:rPr>
          <w:rFonts w:eastAsia="楷体"/>
          <w:kern w:val="0"/>
          <w:szCs w:val="32"/>
        </w:rPr>
      </w:pPr>
      <w:r>
        <w:rPr>
          <w:rFonts w:eastAsia="楷体_GB2312"/>
          <w:kern w:val="0"/>
          <w:szCs w:val="32"/>
        </w:rPr>
        <w:t xml:space="preserve">    </w:t>
      </w:r>
    </w:p>
    <w:p>
      <w:pPr>
        <w:spacing w:line="700" w:lineRule="exact"/>
        <w:ind w:firstLine="640" w:firstLineChars="200"/>
        <w:rPr>
          <w:rFonts w:hint="eastAsia" w:eastAsia="楷体"/>
          <w:kern w:val="0"/>
          <w:szCs w:val="32"/>
          <w:lang w:eastAsia="zh-CN"/>
        </w:rPr>
        <w:sectPr>
          <w:footerReference r:id="rId9" w:type="first"/>
          <w:footerReference r:id="rId8"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r>
        <w:rPr>
          <w:rFonts w:hint="eastAsia" w:eastAsia="楷体"/>
          <w:kern w:val="0"/>
          <w:szCs w:val="32"/>
          <w:lang w:eastAsia="zh-CN"/>
        </w:rPr>
        <w:t>说明</w:t>
      </w:r>
      <w:r>
        <w:rPr>
          <w:rFonts w:eastAsia="楷体"/>
          <w:kern w:val="0"/>
          <w:szCs w:val="32"/>
        </w:rPr>
        <w:t>：</w:t>
      </w:r>
      <w:r>
        <w:rPr>
          <w:rFonts w:hint="eastAsia" w:eastAsia="楷体"/>
          <w:kern w:val="0"/>
          <w:szCs w:val="32"/>
          <w:lang w:eastAsia="zh-CN"/>
        </w:rPr>
        <w:t>本单位</w:t>
      </w:r>
      <w:r>
        <w:rPr>
          <w:rFonts w:hint="eastAsia" w:eastAsia="楷体"/>
          <w:kern w:val="0"/>
          <w:szCs w:val="32"/>
          <w:lang w:val="en-US" w:eastAsia="zh-CN"/>
        </w:rPr>
        <w:t>2026年度无政府性基金预算，故本表无数据</w:t>
      </w:r>
      <w:r>
        <w:rPr>
          <w:rFonts w:hint="eastAsia" w:eastAsia="楷体"/>
          <w:kern w:val="0"/>
          <w:szCs w:val="32"/>
          <w:lang w:eastAsia="zh-CN"/>
        </w:rPr>
        <w:t>。</w:t>
      </w:r>
    </w:p>
    <w:p>
      <w:pPr>
        <w:spacing w:line="700" w:lineRule="exact"/>
        <w:ind w:firstLine="640" w:firstLineChars="200"/>
        <w:rPr>
          <w:rFonts w:eastAsia="楷体"/>
          <w:kern w:val="0"/>
          <w:szCs w:val="32"/>
        </w:rPr>
      </w:pPr>
    </w:p>
    <w:tbl>
      <w:tblPr>
        <w:tblStyle w:val="11"/>
        <w:tblpPr w:leftFromText="180" w:rightFromText="180" w:vertAnchor="page" w:horzAnchor="page" w:tblpX="1573" w:tblpY="3079"/>
        <w:tblW w:w="8789" w:type="dxa"/>
        <w:tblInd w:w="0" w:type="dxa"/>
        <w:tblLayout w:type="fixed"/>
        <w:tblCellMar>
          <w:top w:w="15" w:type="dxa"/>
          <w:left w:w="15" w:type="dxa"/>
          <w:bottom w:w="15" w:type="dxa"/>
          <w:right w:w="15" w:type="dxa"/>
        </w:tblCellMar>
      </w:tblPr>
      <w:tblGrid>
        <w:gridCol w:w="2197"/>
        <w:gridCol w:w="2197"/>
        <w:gridCol w:w="2197"/>
        <w:gridCol w:w="2198"/>
      </w:tblGrid>
      <w:tr>
        <w:tblPrEx>
          <w:tblLayout w:type="fixed"/>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blPrEx>
          <w:tblLayout w:type="fixed"/>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hint="eastAsia" w:eastAsia="华文细黑"/>
                <w:color w:val="000000"/>
                <w:kern w:val="0"/>
                <w:sz w:val="20"/>
              </w:rPr>
              <w:t>项目支出</w:t>
            </w:r>
          </w:p>
        </w:tc>
      </w:tr>
      <w:tr>
        <w:tblPrEx>
          <w:tblLayout w:type="fixed"/>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Layout w:type="fixed"/>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r>
      <w:tr>
        <w:tblPrEx>
          <w:tblLayout w:type="fixed"/>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bl>
    <w:p>
      <w:pPr>
        <w:rPr>
          <w:rFonts w:eastAsia="楷体"/>
          <w:kern w:val="0"/>
          <w:szCs w:val="32"/>
        </w:rPr>
      </w:pPr>
    </w:p>
    <w:p>
      <w:pPr>
        <w:spacing w:line="700" w:lineRule="exact"/>
        <w:ind w:firstLine="640" w:firstLineChars="200"/>
        <w:rPr>
          <w:rFonts w:hint="eastAsia" w:eastAsia="楷体"/>
          <w:kern w:val="0"/>
          <w:szCs w:val="32"/>
          <w:lang w:eastAsia="zh-CN"/>
        </w:rPr>
        <w:sectPr>
          <w:footerReference r:id="rId11" w:type="first"/>
          <w:footerReference r:id="rId10"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cols w:space="720" w:num="1"/>
          <w:rtlGutter w:val="0"/>
          <w:docGrid w:type="lines" w:linePitch="574" w:charSpace="0"/>
        </w:sectPr>
      </w:pPr>
      <w:r>
        <w:rPr>
          <w:rFonts w:hint="eastAsia" w:eastAsia="楷体"/>
          <w:kern w:val="0"/>
          <w:szCs w:val="32"/>
          <w:lang w:eastAsia="zh-CN"/>
        </w:rPr>
        <w:t>说明</w:t>
      </w:r>
      <w:r>
        <w:rPr>
          <w:rFonts w:eastAsia="楷体"/>
          <w:kern w:val="0"/>
          <w:szCs w:val="32"/>
        </w:rPr>
        <w:t>：</w:t>
      </w:r>
      <w:r>
        <w:rPr>
          <w:rFonts w:hint="eastAsia" w:eastAsia="楷体"/>
          <w:kern w:val="0"/>
          <w:szCs w:val="32"/>
          <w:lang w:eastAsia="zh-CN"/>
        </w:rPr>
        <w:t>本单位</w:t>
      </w:r>
      <w:r>
        <w:rPr>
          <w:rFonts w:hint="eastAsia" w:eastAsia="楷体"/>
          <w:kern w:val="0"/>
          <w:szCs w:val="32"/>
          <w:lang w:val="en-US" w:eastAsia="zh-CN"/>
        </w:rPr>
        <w:t>2026年度无国有资本经营预算，故本表无数据</w:t>
      </w:r>
      <w:r>
        <w:rPr>
          <w:rFonts w:hint="eastAsia" w:eastAsia="楷体"/>
          <w:kern w:val="0"/>
          <w:szCs w:val="32"/>
          <w:lang w:eastAsia="zh-CN"/>
        </w:rPr>
        <w:t>。</w:t>
      </w:r>
    </w:p>
    <w:p>
      <w:pPr>
        <w:spacing w:line="700" w:lineRule="exact"/>
        <w:jc w:val="center"/>
        <w:rPr>
          <w:rFonts w:eastAsia="楷体"/>
          <w:kern w:val="0"/>
          <w:szCs w:val="32"/>
        </w:rPr>
      </w:pPr>
    </w:p>
    <w:p>
      <w:pPr>
        <w:rPr>
          <w:rFonts w:eastAsia="楷体"/>
          <w:kern w:val="0"/>
          <w:szCs w:val="32"/>
        </w:rPr>
      </w:pPr>
    </w:p>
    <w:tbl>
      <w:tblPr>
        <w:tblStyle w:val="11"/>
        <w:tblW w:w="8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720"/>
        <w:gridCol w:w="439"/>
        <w:gridCol w:w="266"/>
        <w:gridCol w:w="825"/>
        <w:gridCol w:w="795"/>
        <w:gridCol w:w="765"/>
        <w:gridCol w:w="540"/>
        <w:gridCol w:w="480"/>
        <w:gridCol w:w="465"/>
        <w:gridCol w:w="405"/>
        <w:gridCol w:w="465"/>
        <w:gridCol w:w="465"/>
        <w:gridCol w:w="510"/>
        <w:gridCol w:w="480"/>
        <w:gridCol w:w="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pPr>
              <w:autoSpaceDN w:val="0"/>
              <w:jc w:val="center"/>
              <w:textAlignment w:val="center"/>
              <w:rPr>
                <w:rFonts w:hint="eastAsia" w:ascii="Calibri" w:hAnsi="Calibri" w:eastAsia="华文细黑"/>
                <w:color w:val="000000"/>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jc w:val="center"/>
        </w:trPr>
        <w:tc>
          <w:tcPr>
            <w:tcW w:w="680"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1159" w:type="dxa"/>
            <w:gridSpan w:val="2"/>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266"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825"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795"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2655" w:type="dxa"/>
            <w:gridSpan w:val="5"/>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2296" w:type="dxa"/>
            <w:gridSpan w:val="5"/>
            <w:tcBorders>
              <w:top w:val="nil"/>
              <w:left w:val="nil"/>
              <w:right w:val="nil"/>
            </w:tcBorders>
            <w:noWrap w:val="0"/>
            <w:vAlign w:val="bottom"/>
          </w:tcPr>
          <w:p>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680" w:type="dxa"/>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425" w:type="dxa"/>
            <w:gridSpan w:val="3"/>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825" w:type="dxa"/>
            <w:vMerge w:val="restart"/>
            <w:noWrap w:val="0"/>
            <w:textDirection w:val="tbLrV"/>
            <w:vAlign w:val="center"/>
          </w:tcPr>
          <w:p>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795" w:type="dxa"/>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655" w:type="dxa"/>
            <w:gridSpan w:val="5"/>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296" w:type="dxa"/>
            <w:gridSpan w:val="5"/>
            <w:noWrap w:val="0"/>
            <w:vAlign w:val="center"/>
          </w:tcPr>
          <w:p>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680"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720" w:type="dxa"/>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705" w:type="dxa"/>
            <w:gridSpan w:val="2"/>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825" w:type="dxa"/>
            <w:vMerge w:val="continue"/>
            <w:noWrap w:val="0"/>
            <w:textDirection w:val="tbLrV"/>
            <w:vAlign w:val="center"/>
          </w:tcPr>
          <w:p>
            <w:pPr>
              <w:autoSpaceDN w:val="0"/>
              <w:ind w:left="113" w:right="113"/>
              <w:jc w:val="center"/>
              <w:textAlignment w:val="center"/>
              <w:rPr>
                <w:rFonts w:hint="eastAsia" w:ascii="宋体" w:hAnsi="宋体" w:eastAsia="宋体" w:cs="宋体"/>
                <w:color w:val="000000"/>
                <w:sz w:val="20"/>
                <w:szCs w:val="22"/>
                <w:lang w:eastAsia="zh-CN"/>
              </w:rPr>
            </w:pPr>
          </w:p>
        </w:tc>
        <w:tc>
          <w:tcPr>
            <w:tcW w:w="795"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1785" w:type="dxa"/>
            <w:gridSpan w:val="3"/>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465" w:type="dxa"/>
            <w:vMerge w:val="restart"/>
            <w:noWrap w:val="0"/>
            <w:vAlign w:val="center"/>
          </w:tcPr>
          <w:p>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405" w:type="dxa"/>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440" w:type="dxa"/>
            <w:gridSpan w:val="3"/>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856" w:type="dxa"/>
            <w:gridSpan w:val="2"/>
            <w:noWrap w:val="0"/>
            <w:vAlign w:val="center"/>
          </w:tcPr>
          <w:p>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5" w:hRule="atLeast"/>
          <w:jc w:val="center"/>
        </w:trPr>
        <w:tc>
          <w:tcPr>
            <w:tcW w:w="680"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720"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705" w:type="dxa"/>
            <w:gridSpan w:val="2"/>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825"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795"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765"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540"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480" w:type="dxa"/>
            <w:noWrap w:val="0"/>
            <w:vAlign w:val="center"/>
          </w:tcPr>
          <w:p>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465" w:type="dxa"/>
            <w:vMerge w:val="continue"/>
            <w:noWrap w:val="0"/>
            <w:textDirection w:val="tbLrV"/>
            <w:vAlign w:val="center"/>
          </w:tcPr>
          <w:p>
            <w:pPr>
              <w:autoSpaceDN w:val="0"/>
              <w:ind w:left="113" w:right="113"/>
              <w:jc w:val="center"/>
              <w:textAlignment w:val="center"/>
              <w:rPr>
                <w:rFonts w:hint="eastAsia" w:ascii="宋体" w:hAnsi="宋体" w:eastAsia="宋体" w:cs="宋体"/>
                <w:color w:val="000000"/>
                <w:sz w:val="20"/>
                <w:szCs w:val="22"/>
                <w:lang w:eastAsia="zh-CN"/>
              </w:rPr>
            </w:pPr>
          </w:p>
        </w:tc>
        <w:tc>
          <w:tcPr>
            <w:tcW w:w="405" w:type="dxa"/>
            <w:vMerge w:val="continue"/>
            <w:noWrap w:val="0"/>
            <w:textDirection w:val="tbLrV"/>
            <w:vAlign w:val="center"/>
          </w:tcPr>
          <w:p>
            <w:pPr>
              <w:autoSpaceDN w:val="0"/>
              <w:ind w:left="113" w:right="113"/>
              <w:jc w:val="center"/>
              <w:textAlignment w:val="center"/>
              <w:rPr>
                <w:rFonts w:hint="eastAsia" w:ascii="宋体" w:hAnsi="宋体" w:eastAsia="宋体" w:cs="宋体"/>
                <w:color w:val="000000"/>
                <w:sz w:val="20"/>
                <w:szCs w:val="22"/>
              </w:rPr>
            </w:pPr>
          </w:p>
        </w:tc>
        <w:tc>
          <w:tcPr>
            <w:tcW w:w="465"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65"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10"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80" w:type="dxa"/>
            <w:noWrap w:val="0"/>
            <w:vAlign w:val="center"/>
          </w:tcPr>
          <w:p>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376"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1" w:hRule="atLeast"/>
          <w:jc w:val="center"/>
        </w:trPr>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top"/>
              <w:outlineLvl w:val="9"/>
              <w:rPr>
                <w:rFonts w:hint="eastAsia" w:ascii="Calibri" w:hAnsi="Calibri" w:eastAsia="楷体"/>
                <w:kern w:val="0"/>
                <w:szCs w:val="32"/>
                <w:lang w:val="en-US" w:eastAsia="zh-CN"/>
              </w:rPr>
            </w:pPr>
            <w:r>
              <w:rPr>
                <w:rFonts w:hint="eastAsia" w:asciiTheme="minorEastAsia" w:hAnsiTheme="minorEastAsia" w:eastAsiaTheme="minorEastAsia" w:cstheme="minorEastAsia"/>
                <w:kern w:val="0"/>
                <w:sz w:val="20"/>
                <w:szCs w:val="20"/>
                <w:lang w:val="en-US" w:eastAsia="zh-CN"/>
              </w:rPr>
              <w:t>部门特定目标类项目</w:t>
            </w:r>
          </w:p>
        </w:tc>
        <w:tc>
          <w:tcPr>
            <w:tcW w:w="720" w:type="dxa"/>
            <w:noWrap w:val="0"/>
            <w:vAlign w:val="center"/>
          </w:tcPr>
          <w:p>
            <w:pPr>
              <w:spacing w:line="700" w:lineRule="exact"/>
              <w:jc w:val="center"/>
              <w:rPr>
                <w:rFonts w:ascii="Calibri" w:hAnsi="Calibri" w:eastAsia="楷体"/>
                <w:kern w:val="0"/>
                <w:szCs w:val="32"/>
              </w:rPr>
            </w:pPr>
          </w:p>
        </w:tc>
        <w:tc>
          <w:tcPr>
            <w:tcW w:w="70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31.70</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31.70</w:t>
            </w: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4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4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4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4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680" w:type="dxa"/>
            <w:noWrap w:val="0"/>
            <w:vAlign w:val="center"/>
          </w:tcPr>
          <w:p>
            <w:pPr>
              <w:spacing w:line="700" w:lineRule="exact"/>
              <w:jc w:val="center"/>
              <w:rPr>
                <w:rFonts w:ascii="Calibri" w:hAnsi="Calibri" w:eastAsia="楷体"/>
                <w:kern w:val="0"/>
                <w:szCs w:val="32"/>
              </w:rPr>
            </w:pPr>
          </w:p>
        </w:tc>
        <w:tc>
          <w:tcPr>
            <w:tcW w:w="720" w:type="dxa"/>
            <w:noWrap w:val="0"/>
            <w:vAlign w:val="center"/>
          </w:tcPr>
          <w:p>
            <w:pPr>
              <w:keepNext w:val="0"/>
              <w:keepLines w:val="0"/>
              <w:pageBreakBefore w:val="0"/>
              <w:widowControl w:val="0"/>
              <w:kinsoku/>
              <w:wordWrap/>
              <w:overflowPunct/>
              <w:topLinePunct w:val="0"/>
              <w:autoSpaceDE/>
              <w:bidi w:val="0"/>
              <w:adjustRightInd/>
              <w:snapToGrid/>
              <w:spacing w:line="240" w:lineRule="auto"/>
              <w:jc w:val="center"/>
              <w:outlineLvl w:val="9"/>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kern w:val="0"/>
                <w:sz w:val="20"/>
                <w:szCs w:val="20"/>
                <w:lang w:eastAsia="zh-CN"/>
              </w:rPr>
              <w:t>专项统计业务</w:t>
            </w:r>
          </w:p>
        </w:tc>
        <w:tc>
          <w:tcPr>
            <w:tcW w:w="70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26.20</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26.20</w:t>
            </w: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4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4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4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4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6" w:hRule="atLeast"/>
          <w:jc w:val="center"/>
        </w:trPr>
        <w:tc>
          <w:tcPr>
            <w:tcW w:w="680" w:type="dxa"/>
            <w:noWrap w:val="0"/>
            <w:vAlign w:val="center"/>
          </w:tcPr>
          <w:p>
            <w:pPr>
              <w:spacing w:line="700" w:lineRule="exact"/>
              <w:jc w:val="center"/>
              <w:rPr>
                <w:rFonts w:ascii="Calibri" w:hAnsi="Calibri" w:eastAsia="楷体"/>
                <w:kern w:val="0"/>
                <w:szCs w:val="32"/>
              </w:rPr>
            </w:pPr>
          </w:p>
        </w:tc>
        <w:tc>
          <w:tcPr>
            <w:tcW w:w="720" w:type="dxa"/>
            <w:noWrap w:val="0"/>
            <w:vAlign w:val="center"/>
          </w:tcPr>
          <w:p>
            <w:pPr>
              <w:keepNext w:val="0"/>
              <w:keepLines w:val="0"/>
              <w:pageBreakBefore w:val="0"/>
              <w:widowControl w:val="0"/>
              <w:kinsoku/>
              <w:wordWrap/>
              <w:overflowPunct/>
              <w:topLinePunct w:val="0"/>
              <w:autoSpaceDE/>
              <w:bidi w:val="0"/>
              <w:adjustRightInd/>
              <w:snapToGrid/>
              <w:spacing w:line="240" w:lineRule="auto"/>
              <w:jc w:val="center"/>
              <w:outlineLvl w:val="9"/>
              <w:rPr>
                <w:rFonts w:hint="eastAsia" w:asciiTheme="minorEastAsia" w:hAnsiTheme="minorEastAsia" w:eastAsiaTheme="minorEastAsia" w:cstheme="minorEastAsia"/>
                <w:kern w:val="0"/>
                <w:sz w:val="20"/>
                <w:szCs w:val="20"/>
              </w:rPr>
            </w:pPr>
          </w:p>
        </w:tc>
        <w:tc>
          <w:tcPr>
            <w:tcW w:w="70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kern w:val="0"/>
                <w:sz w:val="20"/>
                <w:szCs w:val="20"/>
                <w:lang w:eastAsia="zh-CN"/>
              </w:rPr>
              <w:t>综合统计业务费</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kern w:val="0"/>
                <w:sz w:val="20"/>
                <w:szCs w:val="20"/>
                <w:lang w:eastAsia="zh-CN"/>
              </w:rPr>
              <w:t>长春市统计局双阳区分局</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26.20</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26.20</w:t>
            </w: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4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4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4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4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680" w:type="dxa"/>
            <w:noWrap w:val="0"/>
            <w:vAlign w:val="center"/>
          </w:tcPr>
          <w:p>
            <w:pPr>
              <w:spacing w:line="700" w:lineRule="exact"/>
              <w:jc w:val="center"/>
              <w:rPr>
                <w:rFonts w:ascii="Calibri" w:hAnsi="Calibri" w:eastAsia="楷体"/>
                <w:kern w:val="0"/>
                <w:szCs w:val="32"/>
              </w:rPr>
            </w:pPr>
          </w:p>
        </w:tc>
        <w:tc>
          <w:tcPr>
            <w:tcW w:w="720" w:type="dxa"/>
            <w:noWrap w:val="0"/>
            <w:vAlign w:val="center"/>
          </w:tcPr>
          <w:p>
            <w:pPr>
              <w:keepNext w:val="0"/>
              <w:keepLines w:val="0"/>
              <w:pageBreakBefore w:val="0"/>
              <w:widowControl w:val="0"/>
              <w:kinsoku/>
              <w:wordWrap/>
              <w:overflowPunct/>
              <w:topLinePunct w:val="0"/>
              <w:autoSpaceDE/>
              <w:bidi w:val="0"/>
              <w:adjustRightInd/>
              <w:snapToGrid/>
              <w:spacing w:line="240" w:lineRule="auto"/>
              <w:jc w:val="center"/>
              <w:outlineLvl w:val="9"/>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kern w:val="0"/>
                <w:sz w:val="20"/>
                <w:szCs w:val="20"/>
                <w:lang w:eastAsia="zh-CN"/>
              </w:rPr>
              <w:t>专项普查活动</w:t>
            </w:r>
          </w:p>
        </w:tc>
        <w:tc>
          <w:tcPr>
            <w:tcW w:w="70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5.50</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5.50</w:t>
            </w: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4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4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4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4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1" w:hRule="atLeast"/>
          <w:jc w:val="center"/>
        </w:trPr>
        <w:tc>
          <w:tcPr>
            <w:tcW w:w="680" w:type="dxa"/>
            <w:noWrap w:val="0"/>
            <w:vAlign w:val="center"/>
          </w:tcPr>
          <w:p>
            <w:pPr>
              <w:autoSpaceDN w:val="0"/>
              <w:jc w:val="center"/>
              <w:textAlignment w:val="center"/>
              <w:rPr>
                <w:rFonts w:hint="eastAsia" w:ascii="Calibri" w:hAnsi="Calibri" w:eastAsia="华文细黑"/>
                <w:color w:val="000000"/>
                <w:sz w:val="20"/>
                <w:szCs w:val="22"/>
              </w:rPr>
            </w:pPr>
          </w:p>
        </w:tc>
        <w:tc>
          <w:tcPr>
            <w:tcW w:w="720" w:type="dxa"/>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outlineLvl w:val="9"/>
              <w:rPr>
                <w:rFonts w:hint="eastAsia" w:asciiTheme="minorEastAsia" w:hAnsiTheme="minorEastAsia" w:eastAsiaTheme="minorEastAsia" w:cstheme="minorEastAsia"/>
                <w:color w:val="000000"/>
                <w:sz w:val="20"/>
                <w:szCs w:val="20"/>
              </w:rPr>
            </w:pPr>
          </w:p>
        </w:tc>
        <w:tc>
          <w:tcPr>
            <w:tcW w:w="70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eastAsia="zh-CN"/>
              </w:rPr>
              <w:t>大型普查综合业务费</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eastAsia="zh-CN"/>
              </w:rPr>
              <w:t>长春市统计局双阳区分局</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5.50</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5.50</w:t>
            </w: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4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4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4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4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680" w:type="dxa"/>
            <w:noWrap w:val="0"/>
            <w:vAlign w:val="center"/>
          </w:tcPr>
          <w:p>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合计</w:t>
            </w:r>
          </w:p>
        </w:tc>
        <w:tc>
          <w:tcPr>
            <w:tcW w:w="720" w:type="dxa"/>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outlineLvl w:val="9"/>
              <w:rPr>
                <w:rFonts w:hint="eastAsia" w:asciiTheme="minorEastAsia" w:hAnsiTheme="minorEastAsia" w:eastAsiaTheme="minorEastAsia" w:cstheme="minorEastAsia"/>
                <w:color w:val="000000"/>
                <w:sz w:val="20"/>
                <w:szCs w:val="20"/>
              </w:rPr>
            </w:pPr>
          </w:p>
        </w:tc>
        <w:tc>
          <w:tcPr>
            <w:tcW w:w="70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lang w:eastAsia="zh-CN"/>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31.70</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31.70</w:t>
            </w: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4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4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4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4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c>
          <w:tcPr>
            <w:tcW w:w="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kern w:val="0"/>
                <w:sz w:val="20"/>
                <w:szCs w:val="20"/>
              </w:rPr>
            </w:pPr>
          </w:p>
        </w:tc>
      </w:tr>
    </w:tbl>
    <w:tbl>
      <w:tblPr>
        <w:tblStyle w:val="12"/>
        <w:tblpPr w:leftFromText="180" w:rightFromText="180" w:vertAnchor="text" w:tblpX="90" w:tblpY="337"/>
        <w:tblOverlap w:val="never"/>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816" w:type="dxa"/>
            <w:noWrap w:val="0"/>
            <w:vAlign w:val="center"/>
          </w:tcPr>
          <w:p>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lang w:val="en-US" w:eastAsia="zh-CN"/>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1816" w:type="dxa"/>
            <w:noWrap w:val="0"/>
            <w:vAlign w:val="center"/>
          </w:tcPr>
          <w:p>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bl>
    <w:p>
      <w:pPr>
        <w:ind w:firstLine="640" w:firstLineChars="200"/>
        <w:rPr>
          <w:rFonts w:eastAsia="楷体"/>
          <w:kern w:val="0"/>
          <w:szCs w:val="32"/>
        </w:rPr>
      </w:pPr>
    </w:p>
    <w:p>
      <w:pPr>
        <w:ind w:firstLine="640" w:firstLineChars="200"/>
        <w:rPr>
          <w:rFonts w:eastAsia="楷体"/>
          <w:kern w:val="0"/>
          <w:szCs w:val="32"/>
        </w:rPr>
      </w:pPr>
    </w:p>
    <w:p>
      <w:pPr>
        <w:ind w:firstLine="640" w:firstLineChars="200"/>
        <w:rPr>
          <w:rFonts w:eastAsia="楷体"/>
          <w:kern w:val="0"/>
          <w:szCs w:val="32"/>
        </w:rPr>
      </w:pPr>
    </w:p>
    <w:p>
      <w:pPr>
        <w:ind w:firstLine="640" w:firstLineChars="200"/>
        <w:rPr>
          <w:rFonts w:eastAsia="楷体"/>
          <w:kern w:val="0"/>
          <w:szCs w:val="32"/>
        </w:rPr>
      </w:pPr>
    </w:p>
    <w:p>
      <w:pPr>
        <w:ind w:firstLine="640" w:firstLineChars="200"/>
        <w:rPr>
          <w:rFonts w:eastAsia="楷体"/>
          <w:kern w:val="0"/>
          <w:szCs w:val="32"/>
        </w:rPr>
      </w:pPr>
    </w:p>
    <w:p>
      <w:pPr>
        <w:ind w:firstLine="640" w:firstLineChars="200"/>
        <w:rPr>
          <w:rFonts w:eastAsia="楷体"/>
          <w:kern w:val="0"/>
          <w:szCs w:val="32"/>
        </w:rPr>
      </w:pPr>
    </w:p>
    <w:tbl>
      <w:tblPr>
        <w:tblStyle w:val="12"/>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870"/>
        <w:gridCol w:w="705"/>
        <w:gridCol w:w="2220"/>
        <w:gridCol w:w="675"/>
        <w:gridCol w:w="555"/>
        <w:gridCol w:w="1159"/>
        <w:gridCol w:w="866"/>
        <w:gridCol w:w="630"/>
        <w:gridCol w:w="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trPr>
        <w:tc>
          <w:tcPr>
            <w:tcW w:w="8941" w:type="dxa"/>
            <w:gridSpan w:val="10"/>
            <w:tcBorders>
              <w:top w:val="nil"/>
              <w:left w:val="nil"/>
              <w:bottom w:val="single" w:color="000000" w:sz="4" w:space="0"/>
              <w:right w:val="nil"/>
            </w:tcBorders>
            <w:noWrap w:val="0"/>
            <w:vAlign w:val="top"/>
          </w:tcPr>
          <w:p>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320" w:leftChars="0" w:right="0" w:rightChars="0" w:hanging="320" w:hangingChars="200"/>
              <w:jc w:val="center"/>
              <w:textAlignment w:val="auto"/>
              <w:outlineLvl w:val="9"/>
              <w:rPr>
                <w:rFonts w:hint="eastAsia"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kern w:val="0"/>
                <w:sz w:val="16"/>
                <w:szCs w:val="16"/>
                <w:vertAlign w:val="baseline"/>
                <w:lang w:val="en-US" w:eastAsia="zh-CN"/>
              </w:rPr>
              <w:t>单位名称</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项目名称</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年度资</w:t>
            </w:r>
            <w:r>
              <w:rPr>
                <w:rFonts w:hint="eastAsia" w:ascii="华文细黑" w:hAnsi="华文细黑" w:eastAsia="华文细黑" w:cs="华文细黑"/>
                <w:kern w:val="0"/>
                <w:sz w:val="16"/>
                <w:szCs w:val="16"/>
                <w:vertAlign w:val="baseline"/>
                <w:lang w:val="en-US" w:eastAsia="zh-CN"/>
              </w:rPr>
              <w:t xml:space="preserve">  </w:t>
            </w:r>
            <w:r>
              <w:rPr>
                <w:rFonts w:hint="eastAsia" w:ascii="华文细黑" w:hAnsi="华文细黑" w:eastAsia="华文细黑" w:cs="华文细黑"/>
                <w:kern w:val="0"/>
                <w:sz w:val="16"/>
                <w:szCs w:val="16"/>
                <w:vertAlign w:val="baseline"/>
                <w:lang w:eastAsia="zh-CN"/>
              </w:rPr>
              <w:t>金总额</w:t>
            </w:r>
            <w:r>
              <w:rPr>
                <w:rFonts w:hint="eastAsia" w:ascii="华文细黑" w:hAnsi="华文细黑" w:eastAsia="华文细黑" w:cs="华文细黑"/>
                <w:kern w:val="0"/>
                <w:sz w:val="16"/>
                <w:szCs w:val="16"/>
                <w:vertAlign w:val="baseline"/>
                <w:lang w:val="en-US" w:eastAsia="zh-CN"/>
              </w:rPr>
              <w:t xml:space="preserve">   </w:t>
            </w:r>
            <w:r>
              <w:rPr>
                <w:rFonts w:hint="eastAsia" w:ascii="华文细黑" w:hAnsi="华文细黑" w:eastAsia="华文细黑" w:cs="华文细黑"/>
                <w:kern w:val="0"/>
                <w:sz w:val="16"/>
                <w:szCs w:val="16"/>
                <w:vertAlign w:val="baseline"/>
                <w:lang w:eastAsia="zh-CN"/>
              </w:rPr>
              <w:t>（万元）</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年度绩</w:t>
            </w:r>
            <w:r>
              <w:rPr>
                <w:rFonts w:hint="eastAsia" w:ascii="华文细黑" w:hAnsi="华文细黑" w:eastAsia="华文细黑" w:cs="华文细黑"/>
                <w:kern w:val="0"/>
                <w:sz w:val="16"/>
                <w:szCs w:val="16"/>
                <w:vertAlign w:val="baseline"/>
                <w:lang w:val="en-US" w:eastAsia="zh-CN"/>
              </w:rPr>
              <w:t xml:space="preserve">  </w:t>
            </w:r>
            <w:r>
              <w:rPr>
                <w:rFonts w:hint="eastAsia" w:ascii="华文细黑" w:hAnsi="华文细黑" w:eastAsia="华文细黑" w:cs="华文细黑"/>
                <w:kern w:val="0"/>
                <w:sz w:val="16"/>
                <w:szCs w:val="16"/>
                <w:vertAlign w:val="baseline"/>
                <w:lang w:eastAsia="zh-CN"/>
              </w:rPr>
              <w:t>效目标</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一级指标</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二级指标</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三级指标</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指标解释</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指标值</w:t>
            </w:r>
          </w:p>
        </w:tc>
        <w:tc>
          <w:tcPr>
            <w:tcW w:w="47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785" w:type="dxa"/>
            <w:vMerge w:val="restart"/>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sz w:val="16"/>
                <w:szCs w:val="16"/>
              </w:rPr>
              <w:t>143021007长春市统计局双阳区分局</w:t>
            </w:r>
          </w:p>
        </w:tc>
        <w:tc>
          <w:tcPr>
            <w:tcW w:w="870" w:type="dxa"/>
            <w:vMerge w:val="restart"/>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sz w:val="16"/>
                <w:szCs w:val="16"/>
              </w:rPr>
              <w:t>大型普查综合业务费</w:t>
            </w:r>
          </w:p>
        </w:tc>
        <w:tc>
          <w:tcPr>
            <w:tcW w:w="705" w:type="dxa"/>
            <w:vMerge w:val="restart"/>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kern w:val="0"/>
                <w:sz w:val="16"/>
                <w:szCs w:val="16"/>
                <w:vertAlign w:val="baseline"/>
                <w:lang w:val="en-US" w:eastAsia="zh-CN"/>
              </w:rPr>
              <w:t>5.50</w:t>
            </w:r>
          </w:p>
        </w:tc>
        <w:tc>
          <w:tcPr>
            <w:tcW w:w="2220" w:type="dxa"/>
            <w:vMerge w:val="restart"/>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5"/>
                <w:szCs w:val="15"/>
                <w:vertAlign w:val="baseline"/>
              </w:rPr>
            </w:pPr>
            <w:r>
              <w:rPr>
                <w:rFonts w:hint="eastAsia" w:ascii="华文细黑" w:hAnsi="华文细黑" w:eastAsia="华文细黑" w:cs="华文细黑"/>
                <w:kern w:val="0"/>
                <w:sz w:val="15"/>
                <w:szCs w:val="15"/>
                <w:vertAlign w:val="baseline"/>
              </w:rPr>
              <w:t>根据《中华人民共和国统计法》，《中华人民共和国统计法实施条例》，【国务院办公厅关于开展2025年全国1%人口抽样调查的通知】，开展我区1%人口抽样调查工作，制定普查方案和工作计划，开展调查宣传、入户登记及事后质量抽查。</w:t>
            </w:r>
          </w:p>
        </w:tc>
        <w:tc>
          <w:tcPr>
            <w:tcW w:w="675" w:type="dxa"/>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产出指标</w:t>
            </w:r>
          </w:p>
        </w:tc>
        <w:tc>
          <w:tcPr>
            <w:tcW w:w="555" w:type="dxa"/>
            <w:noWrap w:val="0"/>
            <w:vAlign w:val="center"/>
          </w:tcPr>
          <w:p>
            <w:pPr>
              <w:spacing w:line="240" w:lineRule="auto"/>
              <w:jc w:val="both"/>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数量指标</w:t>
            </w:r>
          </w:p>
        </w:tc>
        <w:tc>
          <w:tcPr>
            <w:tcW w:w="1159" w:type="dxa"/>
            <w:noWrap w:val="0"/>
            <w:vAlign w:val="center"/>
          </w:tcPr>
          <w:p>
            <w:pPr>
              <w:spacing w:line="240" w:lineRule="auto"/>
              <w:jc w:val="center"/>
              <w:rPr>
                <w:rFonts w:hint="eastAsia" w:ascii="华文细黑" w:hAnsi="华文细黑" w:eastAsia="华文细黑" w:cs="华文细黑"/>
                <w:kern w:val="0"/>
                <w:sz w:val="13"/>
                <w:szCs w:val="13"/>
                <w:vertAlign w:val="baseline"/>
              </w:rPr>
            </w:pPr>
            <w:r>
              <w:rPr>
                <w:rFonts w:hint="eastAsia" w:ascii="华文细黑" w:hAnsi="华文细黑" w:eastAsia="华文细黑" w:cs="华文细黑"/>
                <w:kern w:val="0"/>
                <w:sz w:val="13"/>
                <w:szCs w:val="13"/>
                <w:vertAlign w:val="baseline"/>
              </w:rPr>
              <w:t>普查员、普查指导员补贴发放人数</w:t>
            </w:r>
          </w:p>
        </w:tc>
        <w:tc>
          <w:tcPr>
            <w:tcW w:w="866" w:type="dxa"/>
            <w:noWrap w:val="0"/>
            <w:vAlign w:val="center"/>
          </w:tcPr>
          <w:p>
            <w:pPr>
              <w:spacing w:line="240" w:lineRule="auto"/>
              <w:jc w:val="center"/>
              <w:rPr>
                <w:rFonts w:hint="eastAsia" w:ascii="华文细黑" w:hAnsi="华文细黑" w:eastAsia="华文细黑" w:cs="华文细黑"/>
                <w:kern w:val="0"/>
                <w:sz w:val="13"/>
                <w:szCs w:val="13"/>
                <w:vertAlign w:val="baseline"/>
              </w:rPr>
            </w:pPr>
            <w:r>
              <w:rPr>
                <w:rFonts w:hint="eastAsia" w:ascii="华文细黑" w:hAnsi="华文细黑" w:eastAsia="华文细黑" w:cs="华文细黑"/>
                <w:kern w:val="0"/>
                <w:sz w:val="13"/>
                <w:szCs w:val="13"/>
                <w:vertAlign w:val="baseline"/>
              </w:rPr>
              <w:t>反映普查员、普查指导员补贴发放人数。</w:t>
            </w:r>
          </w:p>
        </w:tc>
        <w:tc>
          <w:tcPr>
            <w:tcW w:w="630" w:type="dxa"/>
            <w:noWrap w:val="0"/>
            <w:vAlign w:val="center"/>
          </w:tcPr>
          <w:p>
            <w:pPr>
              <w:spacing w:line="240" w:lineRule="auto"/>
              <w:jc w:val="center"/>
              <w:rPr>
                <w:rFonts w:hint="eastAsia" w:ascii="华文细黑" w:hAnsi="华文细黑" w:eastAsia="华文细黑" w:cs="华文细黑"/>
                <w:kern w:val="0"/>
                <w:sz w:val="13"/>
                <w:szCs w:val="13"/>
                <w:vertAlign w:val="baseline"/>
                <w:lang w:val="en-US" w:eastAsia="zh-CN"/>
              </w:rPr>
            </w:pPr>
            <w:r>
              <w:rPr>
                <w:rFonts w:hint="eastAsia" w:ascii="华文细黑" w:hAnsi="华文细黑" w:eastAsia="华文细黑" w:cs="华文细黑"/>
                <w:color w:val="auto"/>
                <w:kern w:val="0"/>
                <w:sz w:val="13"/>
                <w:szCs w:val="13"/>
                <w:vertAlign w:val="baseline"/>
                <w:lang w:val="en-US" w:eastAsia="zh-CN"/>
              </w:rPr>
              <w:t>≥</w:t>
            </w:r>
            <w:r>
              <w:rPr>
                <w:rFonts w:hint="eastAsia" w:ascii="华文细黑" w:hAnsi="华文细黑" w:eastAsia="华文细黑" w:cs="华文细黑"/>
                <w:kern w:val="0"/>
                <w:sz w:val="13"/>
                <w:szCs w:val="13"/>
                <w:vertAlign w:val="baseline"/>
                <w:lang w:val="en-US" w:eastAsia="zh-CN"/>
              </w:rPr>
              <w:t>72人</w:t>
            </w:r>
          </w:p>
        </w:tc>
        <w:tc>
          <w:tcPr>
            <w:tcW w:w="476" w:type="dxa"/>
            <w:noWrap w:val="0"/>
            <w:vAlign w:val="center"/>
          </w:tcPr>
          <w:p>
            <w:pPr>
              <w:spacing w:line="240" w:lineRule="auto"/>
              <w:jc w:val="center"/>
              <w:rPr>
                <w:rFonts w:hint="eastAsia" w:ascii="华文细黑" w:hAnsi="华文细黑" w:eastAsia="华文细黑" w:cs="华文细黑"/>
                <w:kern w:val="0"/>
                <w:sz w:val="13"/>
                <w:szCs w:val="13"/>
                <w:vertAlign w:val="baseline"/>
                <w:lang w:val="en-US" w:eastAsia="zh-CN"/>
              </w:rPr>
            </w:pPr>
            <w:r>
              <w:rPr>
                <w:rFonts w:hint="eastAsia" w:ascii="华文细黑" w:hAnsi="华文细黑" w:eastAsia="华文细黑" w:cs="华文细黑"/>
                <w:kern w:val="0"/>
                <w:sz w:val="13"/>
                <w:szCs w:val="13"/>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785"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87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705"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222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5"/>
                <w:szCs w:val="15"/>
                <w:vertAlign w:val="baseline"/>
              </w:rPr>
            </w:pPr>
          </w:p>
        </w:tc>
        <w:tc>
          <w:tcPr>
            <w:tcW w:w="675" w:type="dxa"/>
            <w:noWrap w:val="0"/>
            <w:vAlign w:val="center"/>
          </w:tcPr>
          <w:p>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成本指标</w:t>
            </w:r>
          </w:p>
        </w:tc>
        <w:tc>
          <w:tcPr>
            <w:tcW w:w="555" w:type="dxa"/>
            <w:noWrap w:val="0"/>
            <w:vAlign w:val="center"/>
          </w:tcPr>
          <w:p>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经济成本指标</w:t>
            </w:r>
          </w:p>
        </w:tc>
        <w:tc>
          <w:tcPr>
            <w:tcW w:w="1159" w:type="dxa"/>
            <w:noWrap w:val="0"/>
            <w:vAlign w:val="center"/>
          </w:tcPr>
          <w:p>
            <w:pPr>
              <w:spacing w:line="240" w:lineRule="auto"/>
              <w:jc w:val="center"/>
              <w:rPr>
                <w:rFonts w:hint="eastAsia" w:ascii="华文细黑" w:hAnsi="华文细黑" w:eastAsia="华文细黑" w:cs="华文细黑"/>
                <w:kern w:val="0"/>
                <w:sz w:val="13"/>
                <w:szCs w:val="13"/>
                <w:vertAlign w:val="baseline"/>
              </w:rPr>
            </w:pPr>
            <w:r>
              <w:rPr>
                <w:rFonts w:hint="eastAsia" w:ascii="华文细黑" w:hAnsi="华文细黑" w:eastAsia="华文细黑" w:cs="华文细黑"/>
                <w:kern w:val="0"/>
                <w:sz w:val="13"/>
                <w:szCs w:val="13"/>
                <w:vertAlign w:val="baseline"/>
              </w:rPr>
              <w:t>两员补贴费用</w:t>
            </w:r>
          </w:p>
        </w:tc>
        <w:tc>
          <w:tcPr>
            <w:tcW w:w="866" w:type="dxa"/>
            <w:noWrap w:val="0"/>
            <w:vAlign w:val="center"/>
          </w:tcPr>
          <w:p>
            <w:pPr>
              <w:spacing w:line="240" w:lineRule="auto"/>
              <w:jc w:val="center"/>
              <w:rPr>
                <w:rFonts w:hint="eastAsia" w:ascii="华文细黑" w:hAnsi="华文细黑" w:eastAsia="华文细黑" w:cs="华文细黑"/>
                <w:kern w:val="0"/>
                <w:sz w:val="13"/>
                <w:szCs w:val="13"/>
                <w:vertAlign w:val="baseline"/>
              </w:rPr>
            </w:pPr>
            <w:r>
              <w:rPr>
                <w:rFonts w:hint="eastAsia" w:ascii="华文细黑" w:hAnsi="华文细黑" w:eastAsia="华文细黑" w:cs="华文细黑"/>
                <w:kern w:val="0"/>
                <w:sz w:val="13"/>
                <w:szCs w:val="13"/>
                <w:vertAlign w:val="baseline"/>
              </w:rPr>
              <w:t>普查指导员与普查员补贴费用。</w:t>
            </w:r>
          </w:p>
        </w:tc>
        <w:tc>
          <w:tcPr>
            <w:tcW w:w="630" w:type="dxa"/>
            <w:noWrap w:val="0"/>
            <w:vAlign w:val="center"/>
          </w:tcPr>
          <w:p>
            <w:pPr>
              <w:spacing w:line="240" w:lineRule="auto"/>
              <w:jc w:val="center"/>
              <w:rPr>
                <w:rFonts w:hint="eastAsia" w:ascii="华文细黑" w:hAnsi="华文细黑" w:eastAsia="华文细黑" w:cs="华文细黑"/>
                <w:kern w:val="0"/>
                <w:sz w:val="13"/>
                <w:szCs w:val="13"/>
                <w:vertAlign w:val="baseline"/>
                <w:lang w:val="en-US" w:eastAsia="zh-CN"/>
              </w:rPr>
            </w:pPr>
            <w:r>
              <w:rPr>
                <w:rFonts w:hint="eastAsia" w:ascii="华文细黑" w:hAnsi="华文细黑" w:eastAsia="华文细黑" w:cs="华文细黑"/>
                <w:color w:val="auto"/>
                <w:kern w:val="0"/>
                <w:sz w:val="13"/>
                <w:szCs w:val="13"/>
                <w:vertAlign w:val="baseline"/>
                <w:lang w:val="en-US" w:eastAsia="zh-CN"/>
              </w:rPr>
              <w:t>≥</w:t>
            </w:r>
            <w:r>
              <w:rPr>
                <w:rFonts w:hint="eastAsia" w:ascii="华文细黑" w:hAnsi="华文细黑" w:eastAsia="华文细黑" w:cs="华文细黑"/>
                <w:kern w:val="0"/>
                <w:sz w:val="13"/>
                <w:szCs w:val="13"/>
                <w:vertAlign w:val="baseline"/>
                <w:lang w:val="en-US" w:eastAsia="zh-CN"/>
              </w:rPr>
              <w:t>5.5万元</w:t>
            </w:r>
          </w:p>
        </w:tc>
        <w:tc>
          <w:tcPr>
            <w:tcW w:w="476" w:type="dxa"/>
            <w:noWrap w:val="0"/>
            <w:vAlign w:val="center"/>
          </w:tcPr>
          <w:p>
            <w:pPr>
              <w:spacing w:line="240" w:lineRule="auto"/>
              <w:jc w:val="center"/>
              <w:rPr>
                <w:rFonts w:hint="eastAsia" w:ascii="华文细黑" w:hAnsi="华文细黑" w:eastAsia="华文细黑" w:cs="华文细黑"/>
                <w:kern w:val="0"/>
                <w:sz w:val="13"/>
                <w:szCs w:val="13"/>
                <w:vertAlign w:val="baseline"/>
                <w:lang w:val="en-US" w:eastAsia="zh-CN"/>
              </w:rPr>
            </w:pPr>
            <w:r>
              <w:rPr>
                <w:rFonts w:hint="eastAsia" w:ascii="华文细黑" w:hAnsi="华文细黑" w:eastAsia="华文细黑" w:cs="华文细黑"/>
                <w:kern w:val="0"/>
                <w:sz w:val="13"/>
                <w:szCs w:val="13"/>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785"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87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705"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p>
        </w:tc>
        <w:tc>
          <w:tcPr>
            <w:tcW w:w="2220"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5"/>
                <w:szCs w:val="15"/>
                <w:vertAlign w:val="baseline"/>
              </w:rPr>
            </w:pPr>
          </w:p>
        </w:tc>
        <w:tc>
          <w:tcPr>
            <w:tcW w:w="675" w:type="dxa"/>
            <w:noWrap w:val="0"/>
            <w:vAlign w:val="center"/>
          </w:tcPr>
          <w:p>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效益指标</w:t>
            </w:r>
          </w:p>
        </w:tc>
        <w:tc>
          <w:tcPr>
            <w:tcW w:w="555" w:type="dxa"/>
            <w:noWrap w:val="0"/>
            <w:vAlign w:val="center"/>
          </w:tcPr>
          <w:p>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社会效益指标</w:t>
            </w:r>
          </w:p>
        </w:tc>
        <w:tc>
          <w:tcPr>
            <w:tcW w:w="1159" w:type="dxa"/>
            <w:noWrap w:val="0"/>
            <w:vAlign w:val="center"/>
          </w:tcPr>
          <w:p>
            <w:pPr>
              <w:spacing w:line="240" w:lineRule="auto"/>
              <w:jc w:val="center"/>
              <w:rPr>
                <w:rFonts w:hint="eastAsia" w:ascii="华文细黑" w:hAnsi="华文细黑" w:eastAsia="华文细黑" w:cs="华文细黑"/>
                <w:kern w:val="0"/>
                <w:sz w:val="13"/>
                <w:szCs w:val="13"/>
                <w:vertAlign w:val="baseline"/>
              </w:rPr>
            </w:pPr>
            <w:r>
              <w:rPr>
                <w:rFonts w:hint="eastAsia" w:ascii="华文细黑" w:hAnsi="华文细黑" w:eastAsia="华文细黑" w:cs="华文细黑"/>
                <w:kern w:val="0"/>
                <w:sz w:val="13"/>
                <w:szCs w:val="13"/>
                <w:vertAlign w:val="baseline"/>
              </w:rPr>
              <w:t>发布人口数据，为政府制定国民经济和社会发展政策提供数据支撑</w:t>
            </w:r>
          </w:p>
        </w:tc>
        <w:tc>
          <w:tcPr>
            <w:tcW w:w="866" w:type="dxa"/>
            <w:noWrap w:val="0"/>
            <w:vAlign w:val="center"/>
          </w:tcPr>
          <w:p>
            <w:pPr>
              <w:spacing w:line="240" w:lineRule="auto"/>
              <w:jc w:val="center"/>
              <w:rPr>
                <w:rFonts w:hint="eastAsia" w:ascii="华文细黑" w:hAnsi="华文细黑" w:eastAsia="华文细黑" w:cs="华文细黑"/>
                <w:kern w:val="0"/>
                <w:sz w:val="13"/>
                <w:szCs w:val="13"/>
                <w:vertAlign w:val="baseline"/>
              </w:rPr>
            </w:pPr>
            <w:r>
              <w:rPr>
                <w:rFonts w:hint="eastAsia" w:ascii="华文细黑" w:hAnsi="华文细黑" w:eastAsia="华文细黑" w:cs="华文细黑"/>
                <w:kern w:val="0"/>
                <w:sz w:val="13"/>
                <w:szCs w:val="13"/>
                <w:vertAlign w:val="baseline"/>
              </w:rPr>
              <w:t>发布人口主要数据指标，为政府制定国民经济和社会发展政策提供数据支撑</w:t>
            </w:r>
          </w:p>
        </w:tc>
        <w:tc>
          <w:tcPr>
            <w:tcW w:w="630" w:type="dxa"/>
            <w:noWrap w:val="0"/>
            <w:vAlign w:val="center"/>
          </w:tcPr>
          <w:p>
            <w:pPr>
              <w:spacing w:line="240" w:lineRule="auto"/>
              <w:jc w:val="center"/>
              <w:rPr>
                <w:rFonts w:hint="eastAsia" w:ascii="华文细黑" w:hAnsi="华文细黑" w:eastAsia="华文细黑" w:cs="华文细黑"/>
                <w:kern w:val="0"/>
                <w:sz w:val="13"/>
                <w:szCs w:val="13"/>
                <w:vertAlign w:val="baseline"/>
                <w:lang w:val="en-US" w:eastAsia="zh-CN"/>
              </w:rPr>
            </w:pPr>
            <w:r>
              <w:rPr>
                <w:rFonts w:hint="eastAsia" w:ascii="华文细黑" w:hAnsi="华文细黑" w:eastAsia="华文细黑" w:cs="华文细黑"/>
                <w:color w:val="auto"/>
                <w:kern w:val="0"/>
                <w:sz w:val="13"/>
                <w:szCs w:val="13"/>
                <w:vertAlign w:val="baseline"/>
                <w:lang w:val="en-US" w:eastAsia="zh-CN"/>
              </w:rPr>
              <w:t>≥</w:t>
            </w:r>
            <w:r>
              <w:rPr>
                <w:rFonts w:hint="eastAsia" w:ascii="华文细黑" w:hAnsi="华文细黑" w:eastAsia="华文细黑" w:cs="华文细黑"/>
                <w:kern w:val="0"/>
                <w:sz w:val="13"/>
                <w:szCs w:val="13"/>
                <w:vertAlign w:val="baseline"/>
                <w:lang w:val="en-US" w:eastAsia="zh-CN"/>
              </w:rPr>
              <w:t>1条</w:t>
            </w:r>
          </w:p>
        </w:tc>
        <w:tc>
          <w:tcPr>
            <w:tcW w:w="476" w:type="dxa"/>
            <w:noWrap w:val="0"/>
            <w:vAlign w:val="center"/>
          </w:tcPr>
          <w:p>
            <w:pPr>
              <w:spacing w:line="240" w:lineRule="auto"/>
              <w:jc w:val="center"/>
              <w:rPr>
                <w:rFonts w:hint="eastAsia" w:ascii="华文细黑" w:hAnsi="华文细黑" w:eastAsia="华文细黑" w:cs="华文细黑"/>
                <w:kern w:val="0"/>
                <w:sz w:val="13"/>
                <w:szCs w:val="13"/>
                <w:vertAlign w:val="baseline"/>
                <w:lang w:val="en-US" w:eastAsia="zh-CN"/>
              </w:rPr>
            </w:pPr>
            <w:r>
              <w:rPr>
                <w:rFonts w:hint="eastAsia" w:ascii="华文细黑" w:hAnsi="华文细黑" w:eastAsia="华文细黑" w:cs="华文细黑"/>
                <w:kern w:val="0"/>
                <w:sz w:val="13"/>
                <w:szCs w:val="13"/>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trPr>
        <w:tc>
          <w:tcPr>
            <w:tcW w:w="785" w:type="dxa"/>
            <w:vMerge w:val="continue"/>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870" w:type="dxa"/>
            <w:vMerge w:val="restart"/>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rPr>
            </w:pPr>
            <w:r>
              <w:rPr>
                <w:rFonts w:hint="eastAsia" w:ascii="华文细黑" w:hAnsi="华文细黑" w:eastAsia="华文细黑" w:cs="华文细黑"/>
                <w:kern w:val="0"/>
                <w:sz w:val="16"/>
                <w:szCs w:val="16"/>
                <w:vertAlign w:val="baseline"/>
                <w:lang w:eastAsia="zh-CN"/>
              </w:rPr>
              <w:t>综合统计业务费</w:t>
            </w:r>
          </w:p>
        </w:tc>
        <w:tc>
          <w:tcPr>
            <w:tcW w:w="705" w:type="dxa"/>
            <w:vMerge w:val="restart"/>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6"/>
                <w:szCs w:val="16"/>
                <w:vertAlign w:val="baseline"/>
                <w:lang w:val="en-US" w:eastAsia="zh-CN"/>
              </w:rPr>
            </w:pPr>
            <w:r>
              <w:rPr>
                <w:rFonts w:hint="eastAsia" w:ascii="华文细黑" w:hAnsi="华文细黑" w:eastAsia="华文细黑" w:cs="华文细黑"/>
                <w:kern w:val="0"/>
                <w:sz w:val="16"/>
                <w:szCs w:val="16"/>
                <w:vertAlign w:val="baseline"/>
                <w:lang w:val="en-US" w:eastAsia="zh-CN"/>
              </w:rPr>
              <w:t>26.20</w:t>
            </w:r>
          </w:p>
        </w:tc>
        <w:tc>
          <w:tcPr>
            <w:tcW w:w="2220" w:type="dxa"/>
            <w:vMerge w:val="restart"/>
            <w:tcBorders>
              <w:left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15"/>
                <w:szCs w:val="15"/>
                <w:vertAlign w:val="baseline"/>
              </w:rPr>
            </w:pPr>
            <w:r>
              <w:rPr>
                <w:rFonts w:hint="eastAsia" w:ascii="华文细黑" w:hAnsi="华文细黑" w:eastAsia="华文细黑" w:cs="华文细黑"/>
                <w:kern w:val="0"/>
                <w:sz w:val="15"/>
                <w:szCs w:val="15"/>
                <w:vertAlign w:val="baseline"/>
              </w:rPr>
              <w:t>通过开展各类、各项统计调查、统计抽样调查，统计监测，不断深化统计管理改革，全面及时、准确地上报各专业统计报表，及时发布统计公报，为社会公众需要和政府决策，提供经济社会发展所需要的统计数据。目标1：为了顺利开展各项统计调查、统计抽样调查工作，我单位对基层单位人员及调查员进行业务培训，保证调查数据质量。目标:2：通过座谈交流，实地调研，深入研究分析基层单位运行现状，经济结构特点、存在问题，为基层单位经济高质量发展提供引领和指导。目标3：为了更好的做好搜集、整理提供全区的基本统计资料工作，开展统计宣传，统计服务工作的透明度，配合度。目标4：为更好的向区委、区政府提供统计信息和建议，建立和完善全社会新国民经济核算等统计制度和体系，印发各专业统计报表及统计制度。</w:t>
            </w:r>
          </w:p>
        </w:tc>
        <w:tc>
          <w:tcPr>
            <w:tcW w:w="675" w:type="dxa"/>
            <w:noWrap w:val="0"/>
            <w:vAlign w:val="center"/>
          </w:tcPr>
          <w:p>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产出指标</w:t>
            </w:r>
          </w:p>
        </w:tc>
        <w:tc>
          <w:tcPr>
            <w:tcW w:w="555" w:type="dxa"/>
            <w:noWrap w:val="0"/>
            <w:vAlign w:val="center"/>
          </w:tcPr>
          <w:p>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数量指标</w:t>
            </w:r>
          </w:p>
        </w:tc>
        <w:tc>
          <w:tcPr>
            <w:tcW w:w="1159" w:type="dxa"/>
            <w:noWrap w:val="0"/>
            <w:vAlign w:val="center"/>
          </w:tcPr>
          <w:p>
            <w:pPr>
              <w:spacing w:line="240" w:lineRule="auto"/>
              <w:jc w:val="center"/>
              <w:rPr>
                <w:rFonts w:hint="eastAsia" w:ascii="华文细黑" w:hAnsi="华文细黑" w:eastAsia="华文细黑" w:cs="华文细黑"/>
                <w:kern w:val="0"/>
                <w:sz w:val="13"/>
                <w:szCs w:val="13"/>
                <w:vertAlign w:val="baseline"/>
              </w:rPr>
            </w:pPr>
            <w:r>
              <w:rPr>
                <w:rFonts w:hint="eastAsia" w:ascii="华文细黑" w:hAnsi="华文细黑" w:eastAsia="华文细黑" w:cs="华文细黑"/>
                <w:kern w:val="0"/>
                <w:sz w:val="13"/>
                <w:szCs w:val="13"/>
                <w:vertAlign w:val="baseline"/>
              </w:rPr>
              <w:t>统计信息发布条数</w:t>
            </w:r>
          </w:p>
        </w:tc>
        <w:tc>
          <w:tcPr>
            <w:tcW w:w="866" w:type="dxa"/>
            <w:noWrap w:val="0"/>
            <w:vAlign w:val="center"/>
          </w:tcPr>
          <w:p>
            <w:pPr>
              <w:spacing w:line="240" w:lineRule="auto"/>
              <w:jc w:val="center"/>
              <w:rPr>
                <w:rFonts w:hint="eastAsia" w:ascii="华文细黑" w:hAnsi="华文细黑" w:eastAsia="华文细黑" w:cs="华文细黑"/>
                <w:kern w:val="0"/>
                <w:sz w:val="13"/>
                <w:szCs w:val="13"/>
                <w:vertAlign w:val="baseline"/>
              </w:rPr>
            </w:pPr>
            <w:r>
              <w:rPr>
                <w:rFonts w:hint="eastAsia" w:ascii="华文细黑" w:hAnsi="华文细黑" w:eastAsia="华文细黑" w:cs="华文细黑"/>
                <w:kern w:val="0"/>
                <w:sz w:val="13"/>
                <w:szCs w:val="13"/>
                <w:vertAlign w:val="baseline"/>
              </w:rPr>
              <w:t>反映数据发布情况</w:t>
            </w:r>
          </w:p>
        </w:tc>
        <w:tc>
          <w:tcPr>
            <w:tcW w:w="630" w:type="dxa"/>
            <w:noWrap w:val="0"/>
            <w:vAlign w:val="center"/>
          </w:tcPr>
          <w:p>
            <w:pPr>
              <w:spacing w:line="240" w:lineRule="auto"/>
              <w:jc w:val="center"/>
              <w:rPr>
                <w:rFonts w:hint="eastAsia" w:ascii="华文细黑" w:hAnsi="华文细黑" w:eastAsia="华文细黑" w:cs="华文细黑"/>
                <w:kern w:val="0"/>
                <w:sz w:val="13"/>
                <w:szCs w:val="13"/>
                <w:vertAlign w:val="baseline"/>
                <w:lang w:val="en-US" w:eastAsia="zh-CN"/>
              </w:rPr>
            </w:pPr>
            <w:r>
              <w:rPr>
                <w:rFonts w:hint="eastAsia" w:ascii="华文细黑" w:hAnsi="华文细黑" w:eastAsia="华文细黑" w:cs="华文细黑"/>
                <w:kern w:val="0"/>
                <w:sz w:val="13"/>
                <w:szCs w:val="13"/>
                <w:vertAlign w:val="baseline"/>
                <w:lang w:val="en-US" w:eastAsia="zh-CN"/>
              </w:rPr>
              <w:t>≥10条</w:t>
            </w:r>
          </w:p>
        </w:tc>
        <w:tc>
          <w:tcPr>
            <w:tcW w:w="476" w:type="dxa"/>
            <w:noWrap w:val="0"/>
            <w:vAlign w:val="center"/>
          </w:tcPr>
          <w:p>
            <w:pPr>
              <w:spacing w:line="240" w:lineRule="auto"/>
              <w:jc w:val="center"/>
              <w:rPr>
                <w:rFonts w:hint="eastAsia" w:ascii="华文细黑" w:hAnsi="华文细黑" w:eastAsia="华文细黑" w:cs="华文细黑"/>
                <w:kern w:val="0"/>
                <w:sz w:val="13"/>
                <w:szCs w:val="13"/>
                <w:vertAlign w:val="baseline"/>
                <w:lang w:val="en-US" w:eastAsia="zh-CN"/>
              </w:rPr>
            </w:pPr>
            <w:r>
              <w:rPr>
                <w:rFonts w:hint="eastAsia" w:ascii="华文细黑" w:hAnsi="华文细黑" w:eastAsia="华文细黑" w:cs="华文细黑"/>
                <w:kern w:val="0"/>
                <w:sz w:val="13"/>
                <w:szCs w:val="13"/>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trPr>
        <w:tc>
          <w:tcPr>
            <w:tcW w:w="785" w:type="dxa"/>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870" w:type="dxa"/>
            <w:vMerge w:val="continue"/>
            <w:vAlign w:val="center"/>
          </w:tcPr>
          <w:p>
            <w:pPr>
              <w:spacing w:line="240" w:lineRule="auto"/>
              <w:jc w:val="center"/>
              <w:rPr>
                <w:rFonts w:hint="eastAsia" w:ascii="华文细黑" w:hAnsi="华文细黑" w:eastAsia="华文细黑" w:cs="华文细黑"/>
                <w:kern w:val="0"/>
                <w:sz w:val="20"/>
                <w:szCs w:val="20"/>
                <w:vertAlign w:val="baseline"/>
              </w:rPr>
            </w:pPr>
          </w:p>
        </w:tc>
        <w:tc>
          <w:tcPr>
            <w:tcW w:w="705" w:type="dxa"/>
            <w:vMerge w:val="continue"/>
            <w:vAlign w:val="center"/>
          </w:tcPr>
          <w:p>
            <w:pPr>
              <w:spacing w:line="240" w:lineRule="auto"/>
              <w:jc w:val="center"/>
              <w:rPr>
                <w:rFonts w:hint="eastAsia" w:ascii="华文细黑" w:hAnsi="华文细黑" w:eastAsia="华文细黑" w:cs="华文细黑"/>
                <w:kern w:val="0"/>
                <w:sz w:val="20"/>
                <w:szCs w:val="20"/>
                <w:vertAlign w:val="baseline"/>
              </w:rPr>
            </w:pPr>
          </w:p>
        </w:tc>
        <w:tc>
          <w:tcPr>
            <w:tcW w:w="2220" w:type="dxa"/>
            <w:vMerge w:val="continue"/>
            <w:vAlign w:val="center"/>
          </w:tcPr>
          <w:p>
            <w:pPr>
              <w:spacing w:line="240" w:lineRule="auto"/>
              <w:jc w:val="center"/>
              <w:rPr>
                <w:rFonts w:hint="eastAsia" w:ascii="华文细黑" w:hAnsi="华文细黑" w:eastAsia="华文细黑" w:cs="华文细黑"/>
                <w:kern w:val="0"/>
                <w:sz w:val="20"/>
                <w:szCs w:val="20"/>
                <w:vertAlign w:val="baseline"/>
              </w:rPr>
            </w:pPr>
          </w:p>
        </w:tc>
        <w:tc>
          <w:tcPr>
            <w:tcW w:w="675" w:type="dxa"/>
            <w:vAlign w:val="center"/>
          </w:tcPr>
          <w:p>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产出指标</w:t>
            </w:r>
          </w:p>
        </w:tc>
        <w:tc>
          <w:tcPr>
            <w:tcW w:w="555" w:type="dxa"/>
            <w:vAlign w:val="center"/>
          </w:tcPr>
          <w:p>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数量指标</w:t>
            </w:r>
          </w:p>
        </w:tc>
        <w:tc>
          <w:tcPr>
            <w:tcW w:w="1159" w:type="dxa"/>
            <w:vAlign w:val="center"/>
          </w:tcPr>
          <w:p>
            <w:pPr>
              <w:spacing w:line="240" w:lineRule="auto"/>
              <w:jc w:val="center"/>
              <w:rPr>
                <w:rFonts w:hint="eastAsia" w:ascii="华文细黑" w:hAnsi="华文细黑" w:eastAsia="华文细黑" w:cs="华文细黑"/>
                <w:kern w:val="0"/>
                <w:sz w:val="13"/>
                <w:szCs w:val="13"/>
                <w:vertAlign w:val="baseline"/>
              </w:rPr>
            </w:pPr>
            <w:r>
              <w:rPr>
                <w:rFonts w:hint="eastAsia" w:ascii="华文细黑" w:hAnsi="华文细黑" w:eastAsia="华文细黑" w:cs="华文细黑"/>
                <w:kern w:val="0"/>
                <w:sz w:val="13"/>
                <w:szCs w:val="13"/>
                <w:vertAlign w:val="baseline"/>
              </w:rPr>
              <w:t>统计分析报告篇数</w:t>
            </w:r>
          </w:p>
        </w:tc>
        <w:tc>
          <w:tcPr>
            <w:tcW w:w="866" w:type="dxa"/>
            <w:vAlign w:val="center"/>
          </w:tcPr>
          <w:p>
            <w:pPr>
              <w:spacing w:line="240" w:lineRule="auto"/>
              <w:jc w:val="center"/>
              <w:rPr>
                <w:rFonts w:hint="eastAsia" w:ascii="华文细黑" w:hAnsi="华文细黑" w:eastAsia="华文细黑" w:cs="华文细黑"/>
                <w:kern w:val="0"/>
                <w:sz w:val="13"/>
                <w:szCs w:val="13"/>
                <w:vertAlign w:val="baseline"/>
              </w:rPr>
            </w:pPr>
            <w:r>
              <w:rPr>
                <w:rFonts w:hint="eastAsia" w:ascii="华文细黑" w:hAnsi="华文细黑" w:eastAsia="华文细黑" w:cs="华文细黑"/>
                <w:kern w:val="0"/>
                <w:sz w:val="13"/>
                <w:szCs w:val="13"/>
                <w:vertAlign w:val="baseline"/>
              </w:rPr>
              <w:t>反映统计分析报告篇数情况。</w:t>
            </w:r>
          </w:p>
        </w:tc>
        <w:tc>
          <w:tcPr>
            <w:tcW w:w="630" w:type="dxa"/>
            <w:vAlign w:val="center"/>
          </w:tcPr>
          <w:p>
            <w:pPr>
              <w:spacing w:line="240" w:lineRule="auto"/>
              <w:jc w:val="center"/>
              <w:rPr>
                <w:rFonts w:hint="eastAsia" w:ascii="华文细黑" w:hAnsi="华文细黑" w:eastAsia="华文细黑" w:cs="华文细黑"/>
                <w:kern w:val="0"/>
                <w:sz w:val="13"/>
                <w:szCs w:val="13"/>
                <w:vertAlign w:val="baseline"/>
                <w:lang w:val="en-US" w:eastAsia="zh-CN"/>
              </w:rPr>
            </w:pPr>
            <w:r>
              <w:rPr>
                <w:rFonts w:hint="eastAsia" w:ascii="华文细黑" w:hAnsi="华文细黑" w:eastAsia="华文细黑" w:cs="华文细黑"/>
                <w:kern w:val="0"/>
                <w:sz w:val="13"/>
                <w:szCs w:val="13"/>
                <w:vertAlign w:val="baseline"/>
                <w:lang w:eastAsia="zh-CN"/>
              </w:rPr>
              <w:t>≥</w:t>
            </w:r>
            <w:r>
              <w:rPr>
                <w:rFonts w:hint="eastAsia" w:ascii="华文细黑" w:hAnsi="华文细黑" w:eastAsia="华文细黑" w:cs="华文细黑"/>
                <w:kern w:val="0"/>
                <w:sz w:val="13"/>
                <w:szCs w:val="13"/>
                <w:vertAlign w:val="baseline"/>
                <w:lang w:val="en-US" w:eastAsia="zh-CN"/>
              </w:rPr>
              <w:t>4篇</w:t>
            </w:r>
          </w:p>
        </w:tc>
        <w:tc>
          <w:tcPr>
            <w:tcW w:w="476" w:type="dxa"/>
            <w:vAlign w:val="center"/>
          </w:tcPr>
          <w:p>
            <w:pPr>
              <w:spacing w:line="240" w:lineRule="auto"/>
              <w:jc w:val="center"/>
              <w:rPr>
                <w:rFonts w:hint="eastAsia" w:ascii="华文细黑" w:hAnsi="华文细黑" w:eastAsia="华文细黑" w:cs="华文细黑"/>
                <w:kern w:val="0"/>
                <w:sz w:val="13"/>
                <w:szCs w:val="13"/>
                <w:vertAlign w:val="baseline"/>
                <w:lang w:val="en-US" w:eastAsia="zh-CN"/>
              </w:rPr>
            </w:pPr>
            <w:r>
              <w:rPr>
                <w:rFonts w:hint="eastAsia" w:ascii="华文细黑" w:hAnsi="华文细黑" w:eastAsia="华文细黑" w:cs="华文细黑"/>
                <w:kern w:val="0"/>
                <w:sz w:val="13"/>
                <w:szCs w:val="13"/>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trPr>
        <w:tc>
          <w:tcPr>
            <w:tcW w:w="785" w:type="dxa"/>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870" w:type="dxa"/>
            <w:vMerge w:val="continue"/>
            <w:vAlign w:val="center"/>
          </w:tcPr>
          <w:p>
            <w:pPr>
              <w:spacing w:line="240" w:lineRule="auto"/>
              <w:jc w:val="center"/>
              <w:rPr>
                <w:rFonts w:hint="eastAsia" w:ascii="华文细黑" w:hAnsi="华文细黑" w:eastAsia="华文细黑" w:cs="华文细黑"/>
                <w:kern w:val="0"/>
                <w:sz w:val="20"/>
                <w:szCs w:val="20"/>
                <w:vertAlign w:val="baseline"/>
              </w:rPr>
            </w:pPr>
          </w:p>
        </w:tc>
        <w:tc>
          <w:tcPr>
            <w:tcW w:w="705" w:type="dxa"/>
            <w:vMerge w:val="continue"/>
            <w:vAlign w:val="center"/>
          </w:tcPr>
          <w:p>
            <w:pPr>
              <w:spacing w:line="240" w:lineRule="auto"/>
              <w:jc w:val="center"/>
              <w:rPr>
                <w:rFonts w:hint="eastAsia" w:ascii="华文细黑" w:hAnsi="华文细黑" w:eastAsia="华文细黑" w:cs="华文细黑"/>
                <w:kern w:val="0"/>
                <w:sz w:val="20"/>
                <w:szCs w:val="20"/>
                <w:vertAlign w:val="baseline"/>
              </w:rPr>
            </w:pPr>
          </w:p>
        </w:tc>
        <w:tc>
          <w:tcPr>
            <w:tcW w:w="2220" w:type="dxa"/>
            <w:vMerge w:val="continue"/>
            <w:vAlign w:val="center"/>
          </w:tcPr>
          <w:p>
            <w:pPr>
              <w:spacing w:line="240" w:lineRule="auto"/>
              <w:jc w:val="center"/>
              <w:rPr>
                <w:rFonts w:hint="eastAsia" w:ascii="华文细黑" w:hAnsi="华文细黑" w:eastAsia="华文细黑" w:cs="华文细黑"/>
                <w:kern w:val="0"/>
                <w:sz w:val="20"/>
                <w:szCs w:val="20"/>
                <w:vertAlign w:val="baseline"/>
              </w:rPr>
            </w:pPr>
          </w:p>
        </w:tc>
        <w:tc>
          <w:tcPr>
            <w:tcW w:w="675" w:type="dxa"/>
            <w:vAlign w:val="center"/>
          </w:tcPr>
          <w:p>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效益指标</w:t>
            </w:r>
          </w:p>
        </w:tc>
        <w:tc>
          <w:tcPr>
            <w:tcW w:w="555" w:type="dxa"/>
            <w:vAlign w:val="center"/>
          </w:tcPr>
          <w:p>
            <w:pPr>
              <w:spacing w:line="240" w:lineRule="auto"/>
              <w:jc w:val="center"/>
              <w:rPr>
                <w:rFonts w:hint="eastAsia" w:ascii="华文细黑" w:hAnsi="华文细黑" w:eastAsia="华文细黑" w:cs="华文细黑"/>
                <w:kern w:val="0"/>
                <w:sz w:val="16"/>
                <w:szCs w:val="16"/>
                <w:vertAlign w:val="baseline"/>
                <w:lang w:eastAsia="zh-CN"/>
              </w:rPr>
            </w:pPr>
            <w:r>
              <w:rPr>
                <w:rFonts w:hint="eastAsia" w:ascii="华文细黑" w:hAnsi="华文细黑" w:eastAsia="华文细黑" w:cs="华文细黑"/>
                <w:kern w:val="0"/>
                <w:sz w:val="16"/>
                <w:szCs w:val="16"/>
                <w:vertAlign w:val="baseline"/>
                <w:lang w:eastAsia="zh-CN"/>
              </w:rPr>
              <w:t>社会效益指标</w:t>
            </w:r>
          </w:p>
        </w:tc>
        <w:tc>
          <w:tcPr>
            <w:tcW w:w="1159" w:type="dxa"/>
            <w:vAlign w:val="center"/>
          </w:tcPr>
          <w:p>
            <w:pPr>
              <w:spacing w:line="240" w:lineRule="auto"/>
              <w:jc w:val="center"/>
              <w:rPr>
                <w:rFonts w:hint="eastAsia" w:ascii="华文细黑" w:hAnsi="华文细黑" w:eastAsia="华文细黑" w:cs="华文细黑"/>
                <w:kern w:val="0"/>
                <w:sz w:val="13"/>
                <w:szCs w:val="13"/>
                <w:vertAlign w:val="baseline"/>
              </w:rPr>
            </w:pPr>
            <w:r>
              <w:rPr>
                <w:rFonts w:hint="eastAsia" w:ascii="华文细黑" w:hAnsi="华文细黑" w:eastAsia="华文细黑" w:cs="华文细黑"/>
                <w:kern w:val="0"/>
                <w:sz w:val="13"/>
                <w:szCs w:val="13"/>
                <w:vertAlign w:val="baseline"/>
              </w:rPr>
              <w:t>向社会公众提供统计公报</w:t>
            </w:r>
          </w:p>
        </w:tc>
        <w:tc>
          <w:tcPr>
            <w:tcW w:w="866" w:type="dxa"/>
            <w:vAlign w:val="center"/>
          </w:tcPr>
          <w:p>
            <w:pPr>
              <w:spacing w:line="240" w:lineRule="auto"/>
              <w:jc w:val="center"/>
              <w:rPr>
                <w:rFonts w:hint="eastAsia" w:ascii="华文细黑" w:hAnsi="华文细黑" w:eastAsia="华文细黑" w:cs="华文细黑"/>
                <w:kern w:val="0"/>
                <w:sz w:val="13"/>
                <w:szCs w:val="13"/>
                <w:vertAlign w:val="baseline"/>
              </w:rPr>
            </w:pPr>
            <w:r>
              <w:rPr>
                <w:rFonts w:hint="eastAsia" w:ascii="华文细黑" w:hAnsi="华文细黑" w:eastAsia="华文细黑" w:cs="华文细黑"/>
                <w:kern w:val="0"/>
                <w:sz w:val="13"/>
                <w:szCs w:val="13"/>
                <w:vertAlign w:val="baseline"/>
              </w:rPr>
              <w:t>向社会公众提供统计公报篇数</w:t>
            </w:r>
          </w:p>
        </w:tc>
        <w:tc>
          <w:tcPr>
            <w:tcW w:w="630" w:type="dxa"/>
            <w:vAlign w:val="center"/>
          </w:tcPr>
          <w:p>
            <w:pPr>
              <w:spacing w:line="240" w:lineRule="auto"/>
              <w:jc w:val="center"/>
              <w:rPr>
                <w:rFonts w:hint="eastAsia" w:ascii="华文细黑" w:hAnsi="华文细黑" w:eastAsia="华文细黑" w:cs="华文细黑"/>
                <w:kern w:val="0"/>
                <w:sz w:val="13"/>
                <w:szCs w:val="13"/>
                <w:vertAlign w:val="baseline"/>
                <w:lang w:val="en-US" w:eastAsia="zh-CN"/>
              </w:rPr>
            </w:pPr>
            <w:r>
              <w:rPr>
                <w:rFonts w:hint="eastAsia" w:ascii="华文细黑" w:hAnsi="华文细黑" w:eastAsia="华文细黑" w:cs="华文细黑"/>
                <w:kern w:val="0"/>
                <w:sz w:val="13"/>
                <w:szCs w:val="13"/>
                <w:vertAlign w:val="baseline"/>
                <w:lang w:val="en-US" w:eastAsia="zh-CN"/>
              </w:rPr>
              <w:t>=1篇</w:t>
            </w:r>
          </w:p>
        </w:tc>
        <w:tc>
          <w:tcPr>
            <w:tcW w:w="476" w:type="dxa"/>
            <w:vAlign w:val="center"/>
          </w:tcPr>
          <w:p>
            <w:pPr>
              <w:spacing w:line="240" w:lineRule="auto"/>
              <w:jc w:val="center"/>
              <w:rPr>
                <w:rFonts w:hint="eastAsia" w:ascii="华文细黑" w:hAnsi="华文细黑" w:eastAsia="华文细黑" w:cs="华文细黑"/>
                <w:kern w:val="0"/>
                <w:sz w:val="13"/>
                <w:szCs w:val="13"/>
                <w:vertAlign w:val="baseline"/>
                <w:lang w:val="en-US" w:eastAsia="zh-CN"/>
              </w:rPr>
            </w:pPr>
            <w:r>
              <w:rPr>
                <w:rFonts w:hint="eastAsia" w:ascii="华文细黑" w:hAnsi="华文细黑" w:eastAsia="华文细黑" w:cs="华文细黑"/>
                <w:kern w:val="0"/>
                <w:sz w:val="13"/>
                <w:szCs w:val="13"/>
                <w:vertAlign w:val="baseline"/>
                <w:lang w:val="en-US" w:eastAsia="zh-CN"/>
              </w:rPr>
              <w:t>40</w:t>
            </w:r>
          </w:p>
        </w:tc>
      </w:tr>
    </w:tbl>
    <w:p>
      <w:pPr>
        <w:spacing w:line="700" w:lineRule="exact"/>
        <w:rPr>
          <w:rFonts w:eastAsia="楷体"/>
          <w:kern w:val="0"/>
          <w:szCs w:val="32"/>
        </w:rPr>
      </w:pPr>
    </w:p>
    <w:p>
      <w:pPr>
        <w:spacing w:line="700" w:lineRule="exact"/>
        <w:ind w:firstLine="640" w:firstLineChars="200"/>
        <w:rPr>
          <w:rFonts w:eastAsia="楷体"/>
          <w:kern w:val="0"/>
          <w:szCs w:val="32"/>
        </w:rPr>
      </w:pPr>
    </w:p>
    <w:p>
      <w:pPr>
        <w:ind w:firstLine="640" w:firstLineChars="200"/>
        <w:jc w:val="center"/>
        <w:rPr>
          <w:rFonts w:eastAsia="黑体"/>
        </w:rPr>
      </w:pPr>
    </w:p>
    <w:p>
      <w:pPr>
        <w:ind w:firstLine="640" w:firstLineChars="200"/>
        <w:jc w:val="center"/>
        <w:rPr>
          <w:rFonts w:eastAsia="黑体"/>
        </w:rPr>
      </w:pPr>
      <w:r>
        <w:rPr>
          <w:rFonts w:eastAsia="黑体"/>
        </w:rPr>
        <w:t>第三部分 情况说明</w:t>
      </w:r>
    </w:p>
    <w:p>
      <w:pPr>
        <w:rPr>
          <w:rFonts w:eastAsia="仿宋"/>
          <w:szCs w:val="32"/>
        </w:rPr>
      </w:pPr>
    </w:p>
    <w:p>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w:t>
      </w:r>
      <w:r>
        <w:rPr>
          <w:rFonts w:hint="eastAsia"/>
          <w:color w:val="auto"/>
          <w:szCs w:val="32"/>
          <w:lang w:eastAsia="zh-CN"/>
        </w:rPr>
        <w:t>单位</w:t>
      </w:r>
      <w:r>
        <w:rPr>
          <w:szCs w:val="32"/>
        </w:rPr>
        <w:t>预算管理。收入包括：一般公共预算拨款收入；支出包括：一般公共服务支出、社会保障和就业支出、</w:t>
      </w:r>
      <w:r>
        <w:rPr>
          <w:rFonts w:hint="eastAsia"/>
          <w:szCs w:val="32"/>
          <w:lang w:eastAsia="zh-CN"/>
        </w:rPr>
        <w:t>卫生健康支出、</w:t>
      </w:r>
      <w:r>
        <w:rPr>
          <w:kern w:val="0"/>
          <w:szCs w:val="32"/>
        </w:rPr>
        <w:t>住房保障支出</w:t>
      </w:r>
      <w:r>
        <w:rPr>
          <w:szCs w:val="32"/>
        </w:rPr>
        <w:t>等。20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204.16</w:t>
      </w:r>
      <w:r>
        <w:rPr>
          <w:szCs w:val="32"/>
        </w:rPr>
        <w:t>万元</w:t>
      </w:r>
      <w:r>
        <w:rPr>
          <w:rFonts w:hint="eastAsia"/>
          <w:szCs w:val="32"/>
          <w:lang w:eastAsia="zh-CN"/>
        </w:rPr>
        <w:t>，其中：本年预算</w:t>
      </w:r>
      <w:r>
        <w:rPr>
          <w:rFonts w:hint="eastAsia"/>
          <w:szCs w:val="32"/>
          <w:lang w:val="en-US" w:eastAsia="zh-CN"/>
        </w:rPr>
        <w:t>204.16</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25.71</w:t>
      </w:r>
      <w:r>
        <w:rPr>
          <w:szCs w:val="32"/>
        </w:rPr>
        <w:t>万元，主要原因是</w:t>
      </w:r>
      <w:r>
        <w:rPr>
          <w:rFonts w:hint="eastAsia"/>
          <w:szCs w:val="32"/>
          <w:lang w:val="en-US" w:eastAsia="zh-CN"/>
        </w:rPr>
        <w:t>2026年新增1%人口抽样调查经费及新调入公务员1人</w:t>
      </w:r>
      <w:r>
        <w:rPr>
          <w:szCs w:val="32"/>
        </w:rPr>
        <w:t>。</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pPr>
        <w:ind w:firstLine="640" w:firstLineChars="200"/>
        <w:rPr>
          <w:rFonts w:eastAsia="楷体"/>
          <w:szCs w:val="30"/>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204.16</w:t>
      </w:r>
      <w:r>
        <w:rPr>
          <w:szCs w:val="32"/>
        </w:rPr>
        <w:t>万元，其中：本年收入</w:t>
      </w:r>
      <w:r>
        <w:rPr>
          <w:rFonts w:hint="eastAsia"/>
          <w:szCs w:val="32"/>
          <w:lang w:val="en-US" w:eastAsia="zh-CN"/>
        </w:rPr>
        <w:t>204.16</w:t>
      </w:r>
      <w:r>
        <w:rPr>
          <w:szCs w:val="32"/>
        </w:rPr>
        <w:t>万元，占</w:t>
      </w:r>
      <w:r>
        <w:rPr>
          <w:rFonts w:hint="eastAsia"/>
          <w:szCs w:val="32"/>
          <w:lang w:val="en-US" w:eastAsia="zh-CN"/>
        </w:rPr>
        <w:t>100</w:t>
      </w:r>
      <w:r>
        <w:rPr>
          <w:szCs w:val="32"/>
        </w:rPr>
        <w:t>%。本年收入中，一般公共预算拨款收入</w:t>
      </w:r>
      <w:r>
        <w:rPr>
          <w:rFonts w:hint="eastAsia"/>
          <w:szCs w:val="32"/>
          <w:lang w:val="en-US" w:eastAsia="zh-CN"/>
        </w:rPr>
        <w:t>204.16</w:t>
      </w:r>
      <w:r>
        <w:rPr>
          <w:szCs w:val="32"/>
        </w:rPr>
        <w:t>万元，占</w:t>
      </w:r>
      <w:r>
        <w:rPr>
          <w:rFonts w:hint="eastAsia"/>
          <w:szCs w:val="32"/>
          <w:lang w:val="en-US" w:eastAsia="zh-CN"/>
        </w:rPr>
        <w:t>100</w:t>
      </w:r>
      <w:r>
        <w:rPr>
          <w:szCs w:val="32"/>
        </w:rPr>
        <w:t>%</w:t>
      </w:r>
      <w:r>
        <w:rPr>
          <w:rFonts w:hint="eastAsia"/>
          <w:szCs w:val="32"/>
          <w:lang w:eastAsia="zh-CN"/>
        </w:rPr>
        <w:t>。</w:t>
      </w:r>
    </w:p>
    <w:p>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pPr>
        <w:ind w:firstLine="640" w:firstLineChars="200"/>
        <w:rPr>
          <w:rFonts w:eastAsia="楷体"/>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204.16</w:t>
      </w:r>
      <w:r>
        <w:rPr>
          <w:szCs w:val="32"/>
        </w:rPr>
        <w:t>万元，其中：基本支出</w:t>
      </w:r>
      <w:r>
        <w:rPr>
          <w:rFonts w:hint="eastAsia"/>
          <w:szCs w:val="32"/>
          <w:lang w:val="en-US" w:eastAsia="zh-CN"/>
        </w:rPr>
        <w:t>172.46</w:t>
      </w:r>
      <w:r>
        <w:rPr>
          <w:szCs w:val="32"/>
        </w:rPr>
        <w:t>万元，占</w:t>
      </w:r>
      <w:r>
        <w:rPr>
          <w:rFonts w:hint="eastAsia"/>
          <w:szCs w:val="32"/>
          <w:lang w:val="en-US" w:eastAsia="zh-CN"/>
        </w:rPr>
        <w:t>84.47</w:t>
      </w:r>
      <w:r>
        <w:rPr>
          <w:szCs w:val="32"/>
        </w:rPr>
        <w:t>%；项目支出</w:t>
      </w:r>
      <w:r>
        <w:rPr>
          <w:rFonts w:hint="eastAsia"/>
          <w:szCs w:val="32"/>
          <w:lang w:val="en-US" w:eastAsia="zh-CN"/>
        </w:rPr>
        <w:t>31.70</w:t>
      </w:r>
      <w:r>
        <w:rPr>
          <w:szCs w:val="32"/>
        </w:rPr>
        <w:t>万元，占</w:t>
      </w:r>
      <w:r>
        <w:rPr>
          <w:rFonts w:hint="eastAsia"/>
          <w:szCs w:val="32"/>
          <w:lang w:val="en-US" w:eastAsia="zh-CN"/>
        </w:rPr>
        <w:t>15.53</w:t>
      </w:r>
      <w:r>
        <w:rPr>
          <w:szCs w:val="32"/>
        </w:rPr>
        <w:t>%。</w:t>
      </w:r>
    </w:p>
    <w:p>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204.16</w:t>
      </w:r>
      <w:r>
        <w:rPr>
          <w:szCs w:val="32"/>
        </w:rPr>
        <w:t>万元，其中：</w:t>
      </w:r>
      <w:r>
        <w:rPr>
          <w:rFonts w:hint="eastAsia"/>
          <w:szCs w:val="32"/>
        </w:rPr>
        <w:t>本年</w:t>
      </w:r>
      <w:r>
        <w:rPr>
          <w:rFonts w:hint="eastAsia"/>
          <w:szCs w:val="32"/>
          <w:lang w:eastAsia="zh-CN"/>
        </w:rPr>
        <w:t>预算</w:t>
      </w:r>
      <w:r>
        <w:rPr>
          <w:rFonts w:hint="eastAsia"/>
          <w:szCs w:val="32"/>
          <w:lang w:val="en-US" w:eastAsia="zh-CN"/>
        </w:rPr>
        <w:t>204.16</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143.46</w:t>
      </w:r>
      <w:r>
        <w:rPr>
          <w:szCs w:val="32"/>
        </w:rPr>
        <w:t>万元，</w:t>
      </w:r>
      <w:r>
        <w:rPr>
          <w:kern w:val="0"/>
          <w:szCs w:val="32"/>
        </w:rPr>
        <w:t>社会保障和就业支出</w:t>
      </w:r>
      <w:r>
        <w:rPr>
          <w:rFonts w:hint="eastAsia"/>
          <w:szCs w:val="32"/>
          <w:lang w:val="en-US" w:eastAsia="zh-CN"/>
        </w:rPr>
        <w:t>38.64</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10.76</w:t>
      </w:r>
      <w:r>
        <w:rPr>
          <w:szCs w:val="32"/>
        </w:rPr>
        <w:t>万元，</w:t>
      </w:r>
      <w:r>
        <w:rPr>
          <w:kern w:val="0"/>
          <w:szCs w:val="32"/>
        </w:rPr>
        <w:t>住房保障支出</w:t>
      </w:r>
      <w:r>
        <w:rPr>
          <w:rFonts w:hint="eastAsia"/>
          <w:szCs w:val="32"/>
          <w:lang w:val="en-US" w:eastAsia="zh-CN"/>
        </w:rPr>
        <w:t>11.30</w:t>
      </w:r>
      <w:r>
        <w:rPr>
          <w:szCs w:val="32"/>
        </w:rPr>
        <w:t>万元。</w:t>
      </w:r>
    </w:p>
    <w:p>
      <w:pPr>
        <w:ind w:firstLine="600"/>
        <w:rPr>
          <w:rFonts w:eastAsia="黑体"/>
          <w:szCs w:val="30"/>
        </w:rPr>
      </w:pPr>
      <w:r>
        <w:rPr>
          <w:rFonts w:eastAsia="楷体"/>
          <w:szCs w:val="32"/>
        </w:rPr>
        <w:br w:type="page"/>
      </w: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204.16</w:t>
      </w:r>
      <w:r>
        <w:rPr>
          <w:szCs w:val="32"/>
        </w:rPr>
        <w:t>万元，其中：基本支出</w:t>
      </w:r>
      <w:r>
        <w:rPr>
          <w:rFonts w:hint="eastAsia"/>
          <w:szCs w:val="32"/>
          <w:lang w:val="en-US" w:eastAsia="zh-CN"/>
        </w:rPr>
        <w:t>172.46</w:t>
      </w:r>
      <w:r>
        <w:rPr>
          <w:szCs w:val="32"/>
        </w:rPr>
        <w:t>万元，占</w:t>
      </w:r>
      <w:r>
        <w:rPr>
          <w:rFonts w:hint="eastAsia"/>
          <w:szCs w:val="32"/>
          <w:lang w:val="en-US" w:eastAsia="zh-CN"/>
        </w:rPr>
        <w:t>84.47</w:t>
      </w:r>
      <w:r>
        <w:rPr>
          <w:szCs w:val="32"/>
        </w:rPr>
        <w:t>%；项目支出</w:t>
      </w:r>
      <w:r>
        <w:rPr>
          <w:rFonts w:hint="eastAsia"/>
          <w:szCs w:val="32"/>
          <w:lang w:val="en-US" w:eastAsia="zh-CN"/>
        </w:rPr>
        <w:t>31.70</w:t>
      </w:r>
      <w:r>
        <w:rPr>
          <w:szCs w:val="32"/>
        </w:rPr>
        <w:t>万元，占</w:t>
      </w:r>
      <w:r>
        <w:rPr>
          <w:rFonts w:hint="eastAsia"/>
          <w:szCs w:val="32"/>
          <w:lang w:val="en-US" w:eastAsia="zh-CN"/>
        </w:rPr>
        <w:t>15.53</w:t>
      </w:r>
      <w:r>
        <w:rPr>
          <w:szCs w:val="32"/>
        </w:rPr>
        <w:t>%。基本支出中，人员经费</w:t>
      </w:r>
      <w:r>
        <w:rPr>
          <w:rFonts w:hint="eastAsia"/>
          <w:szCs w:val="32"/>
          <w:lang w:val="en-US" w:eastAsia="zh-CN"/>
        </w:rPr>
        <w:t>150.14</w:t>
      </w:r>
      <w:r>
        <w:rPr>
          <w:szCs w:val="32"/>
        </w:rPr>
        <w:t>万元，占</w:t>
      </w:r>
      <w:r>
        <w:rPr>
          <w:rFonts w:hint="eastAsia"/>
          <w:szCs w:val="32"/>
          <w:lang w:val="en-US" w:eastAsia="zh-CN"/>
        </w:rPr>
        <w:t>87.06</w:t>
      </w:r>
      <w:r>
        <w:rPr>
          <w:szCs w:val="32"/>
        </w:rPr>
        <w:t>%；公用经费</w:t>
      </w:r>
      <w:r>
        <w:rPr>
          <w:rFonts w:hint="eastAsia"/>
          <w:szCs w:val="32"/>
          <w:lang w:val="en-US" w:eastAsia="zh-CN"/>
        </w:rPr>
        <w:t>22.32</w:t>
      </w:r>
      <w:r>
        <w:rPr>
          <w:szCs w:val="32"/>
        </w:rPr>
        <w:t>万元，占</w:t>
      </w:r>
      <w:r>
        <w:rPr>
          <w:rFonts w:hint="eastAsia"/>
          <w:szCs w:val="32"/>
          <w:lang w:val="en-US" w:eastAsia="zh-CN"/>
        </w:rPr>
        <w:t>12.94</w:t>
      </w:r>
      <w:r>
        <w:rPr>
          <w:szCs w:val="32"/>
        </w:rPr>
        <w:t>%。</w:t>
      </w:r>
    </w:p>
    <w:p>
      <w:pPr>
        <w:spacing w:line="520" w:lineRule="exact"/>
        <w:ind w:firstLine="640" w:firstLineChars="200"/>
        <w:rPr>
          <w:szCs w:val="32"/>
        </w:rPr>
      </w:pPr>
      <w:r>
        <w:rPr>
          <w:szCs w:val="32"/>
        </w:rPr>
        <w:t>一般公共服务（类）支出</w:t>
      </w:r>
      <w:r>
        <w:rPr>
          <w:rFonts w:hint="eastAsia"/>
          <w:szCs w:val="32"/>
          <w:lang w:val="en-US" w:eastAsia="zh-CN"/>
        </w:rPr>
        <w:t>143.46</w:t>
      </w:r>
      <w:r>
        <w:rPr>
          <w:szCs w:val="32"/>
        </w:rPr>
        <w:t>万元，占</w:t>
      </w:r>
      <w:r>
        <w:rPr>
          <w:rFonts w:hint="eastAsia"/>
          <w:szCs w:val="32"/>
          <w:lang w:val="en-US" w:eastAsia="zh-CN"/>
        </w:rPr>
        <w:t>70.27</w:t>
      </w:r>
      <w:r>
        <w:rPr>
          <w:szCs w:val="32"/>
        </w:rPr>
        <w:t>%，主要用于</w:t>
      </w:r>
      <w:r>
        <w:rPr>
          <w:rFonts w:hint="eastAsia"/>
          <w:szCs w:val="32"/>
        </w:rPr>
        <w:t>保障职工工资，维持机关正常运转以及完成年度统计工作</w:t>
      </w:r>
      <w:r>
        <w:rPr>
          <w:szCs w:val="32"/>
        </w:rPr>
        <w:t>。</w:t>
      </w:r>
    </w:p>
    <w:p>
      <w:pPr>
        <w:spacing w:line="520" w:lineRule="exact"/>
        <w:ind w:firstLine="640" w:firstLineChars="200"/>
        <w:rPr>
          <w:szCs w:val="32"/>
        </w:rPr>
      </w:pPr>
      <w:r>
        <w:rPr>
          <w:szCs w:val="32"/>
        </w:rPr>
        <w:t>社会保障和就业（类）支出</w:t>
      </w:r>
      <w:r>
        <w:rPr>
          <w:rFonts w:hint="eastAsia"/>
          <w:szCs w:val="32"/>
          <w:lang w:val="en-US" w:eastAsia="zh-CN"/>
        </w:rPr>
        <w:t>38.64</w:t>
      </w:r>
      <w:r>
        <w:rPr>
          <w:szCs w:val="32"/>
        </w:rPr>
        <w:t>万元，占</w:t>
      </w:r>
      <w:r>
        <w:rPr>
          <w:rFonts w:hint="eastAsia"/>
          <w:szCs w:val="32"/>
          <w:lang w:val="en-US" w:eastAsia="zh-CN"/>
        </w:rPr>
        <w:t>18.93</w:t>
      </w:r>
      <w:r>
        <w:rPr>
          <w:szCs w:val="32"/>
        </w:rPr>
        <w:t>%，主要用于</w:t>
      </w:r>
      <w:r>
        <w:rPr>
          <w:rFonts w:hint="eastAsia"/>
          <w:szCs w:val="32"/>
        </w:rPr>
        <w:t>保障行政事业单位退休职工工资、取暖费以及缴纳在职职工养老保险</w:t>
      </w:r>
      <w:r>
        <w:rPr>
          <w:rFonts w:hint="eastAsia"/>
          <w:color w:val="auto"/>
          <w:szCs w:val="32"/>
          <w:lang w:eastAsia="zh-CN"/>
        </w:rPr>
        <w:t>及职业年金</w:t>
      </w:r>
      <w:r>
        <w:rPr>
          <w:szCs w:val="32"/>
        </w:rPr>
        <w:t>。</w:t>
      </w:r>
    </w:p>
    <w:p>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10.76</w:t>
      </w:r>
      <w:r>
        <w:rPr>
          <w:szCs w:val="32"/>
        </w:rPr>
        <w:t>万元，占</w:t>
      </w:r>
      <w:r>
        <w:rPr>
          <w:rFonts w:hint="eastAsia"/>
          <w:szCs w:val="32"/>
          <w:lang w:val="en-US" w:eastAsia="zh-CN"/>
        </w:rPr>
        <w:t>5.27</w:t>
      </w:r>
      <w:r>
        <w:rPr>
          <w:szCs w:val="32"/>
        </w:rPr>
        <w:t>%，主要</w:t>
      </w:r>
      <w:r>
        <w:rPr>
          <w:rFonts w:hint="eastAsia"/>
          <w:szCs w:val="32"/>
        </w:rPr>
        <w:t>用于缴纳职工医疗保险</w:t>
      </w:r>
      <w:r>
        <w:rPr>
          <w:szCs w:val="32"/>
        </w:rPr>
        <w:t>。</w:t>
      </w:r>
    </w:p>
    <w:p>
      <w:pPr>
        <w:spacing w:line="520" w:lineRule="exact"/>
        <w:ind w:firstLine="640" w:firstLineChars="200"/>
        <w:rPr>
          <w:szCs w:val="32"/>
        </w:rPr>
      </w:pPr>
      <w:r>
        <w:rPr>
          <w:szCs w:val="32"/>
        </w:rPr>
        <w:t>住房保障（类）支出</w:t>
      </w:r>
      <w:r>
        <w:rPr>
          <w:rFonts w:hint="eastAsia"/>
          <w:szCs w:val="32"/>
          <w:lang w:val="en-US" w:eastAsia="zh-CN"/>
        </w:rPr>
        <w:t>11.30</w:t>
      </w:r>
      <w:r>
        <w:rPr>
          <w:szCs w:val="32"/>
        </w:rPr>
        <w:t>万元，占</w:t>
      </w:r>
      <w:r>
        <w:rPr>
          <w:rFonts w:hint="eastAsia"/>
          <w:szCs w:val="32"/>
          <w:lang w:val="en-US" w:eastAsia="zh-CN"/>
        </w:rPr>
        <w:t>5.53</w:t>
      </w:r>
      <w:r>
        <w:rPr>
          <w:szCs w:val="32"/>
        </w:rPr>
        <w:t>%，主要用于</w:t>
      </w:r>
      <w:r>
        <w:rPr>
          <w:rFonts w:hint="eastAsia"/>
          <w:szCs w:val="32"/>
        </w:rPr>
        <w:t>缴纳职工住房公积金</w:t>
      </w:r>
      <w:r>
        <w:rPr>
          <w:szCs w:val="32"/>
        </w:rPr>
        <w:t>。</w:t>
      </w:r>
    </w:p>
    <w:p>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172.46</w:t>
      </w:r>
      <w:r>
        <w:rPr>
          <w:szCs w:val="32"/>
        </w:rPr>
        <w:t>万元，其中：</w:t>
      </w:r>
    </w:p>
    <w:p>
      <w:pPr>
        <w:ind w:firstLine="640" w:firstLineChars="200"/>
        <w:rPr>
          <w:kern w:val="0"/>
          <w:szCs w:val="32"/>
        </w:rPr>
      </w:pPr>
      <w:r>
        <w:rPr>
          <w:szCs w:val="32"/>
        </w:rPr>
        <w:t>人员经费</w:t>
      </w:r>
      <w:r>
        <w:rPr>
          <w:rFonts w:hint="eastAsia"/>
          <w:szCs w:val="32"/>
          <w:lang w:val="en-US" w:eastAsia="zh-CN"/>
        </w:rPr>
        <w:t>150.14</w:t>
      </w:r>
      <w:r>
        <w:rPr>
          <w:szCs w:val="32"/>
        </w:rPr>
        <w:t>万元，主要包括：</w:t>
      </w:r>
      <w:r>
        <w:rPr>
          <w:kern w:val="0"/>
          <w:szCs w:val="32"/>
        </w:rPr>
        <w:t>基本工资、津贴补贴</w:t>
      </w:r>
      <w:r>
        <w:rPr>
          <w:szCs w:val="32"/>
        </w:rPr>
        <w:t>、</w:t>
      </w:r>
      <w:r>
        <w:rPr>
          <w:kern w:val="0"/>
          <w:szCs w:val="32"/>
        </w:rPr>
        <w:t>奖金</w:t>
      </w:r>
      <w:r>
        <w:rPr>
          <w:rFonts w:hint="eastAsia"/>
          <w:szCs w:val="32"/>
          <w:lang w:eastAsia="zh-CN"/>
        </w:rPr>
        <w:t>、机关事业单位基本养老保险缴费、职业年金缴费、职工基本医疗保险缴费、公务员医疗补助缴费、其他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pPr>
        <w:ind w:firstLine="640" w:firstLineChars="200"/>
        <w:rPr>
          <w:szCs w:val="32"/>
        </w:rPr>
      </w:pPr>
      <w:r>
        <w:rPr>
          <w:kern w:val="0"/>
          <w:szCs w:val="32"/>
        </w:rPr>
        <w:t>公用经费</w:t>
      </w:r>
      <w:r>
        <w:rPr>
          <w:rFonts w:hint="eastAsia"/>
          <w:szCs w:val="32"/>
          <w:lang w:val="en-US" w:eastAsia="zh-CN"/>
        </w:rPr>
        <w:t>22.32</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差旅费</w:t>
      </w:r>
      <w:r>
        <w:rPr>
          <w:rFonts w:hint="eastAsia"/>
          <w:szCs w:val="32"/>
          <w:lang w:eastAsia="zh-CN"/>
        </w:rPr>
        <w:t>、</w:t>
      </w:r>
      <w:r>
        <w:rPr>
          <w:kern w:val="0"/>
          <w:szCs w:val="32"/>
        </w:rPr>
        <w:t>会议费</w:t>
      </w:r>
      <w:r>
        <w:rPr>
          <w:szCs w:val="32"/>
        </w:rPr>
        <w:t>、</w:t>
      </w:r>
      <w:r>
        <w:rPr>
          <w:kern w:val="0"/>
          <w:szCs w:val="32"/>
        </w:rPr>
        <w:t>培训费</w:t>
      </w:r>
      <w:r>
        <w:rPr>
          <w:szCs w:val="32"/>
        </w:rPr>
        <w:t>、</w:t>
      </w:r>
      <w:r>
        <w:rPr>
          <w:kern w:val="0"/>
          <w:szCs w:val="32"/>
        </w:rPr>
        <w:t>公务接待费</w:t>
      </w:r>
      <w:r>
        <w:rPr>
          <w:rFonts w:hint="eastAsia"/>
          <w:szCs w:val="32"/>
          <w:lang w:eastAsia="zh-CN"/>
        </w:rPr>
        <w:t>、</w:t>
      </w:r>
      <w:r>
        <w:rPr>
          <w:kern w:val="0"/>
          <w:szCs w:val="32"/>
        </w:rPr>
        <w:t>工会经费、福利费</w:t>
      </w:r>
      <w:r>
        <w:rPr>
          <w:szCs w:val="32"/>
        </w:rPr>
        <w:t>、</w:t>
      </w:r>
      <w:r>
        <w:rPr>
          <w:kern w:val="0"/>
          <w:szCs w:val="32"/>
        </w:rPr>
        <w:t>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0.15</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0.15</w:t>
      </w:r>
      <w:r>
        <w:rPr>
          <w:szCs w:val="32"/>
        </w:rPr>
        <w:t>万元。其中：</w:t>
      </w:r>
    </w:p>
    <w:p>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p>
    <w:p>
      <w:pPr>
        <w:ind w:firstLine="640" w:firstLineChars="200"/>
        <w:rPr>
          <w:rFonts w:hint="eastAsia" w:eastAsia="仿宋_GB2312"/>
          <w:szCs w:val="32"/>
          <w:lang w:eastAsia="zh-CN"/>
        </w:rPr>
      </w:pPr>
      <w:r>
        <w:rPr>
          <w:szCs w:val="32"/>
        </w:rPr>
        <w:t>2.公务接待费</w:t>
      </w:r>
      <w:r>
        <w:rPr>
          <w:rFonts w:hint="eastAsia"/>
          <w:szCs w:val="32"/>
          <w:lang w:val="en-US" w:eastAsia="zh-CN"/>
        </w:rPr>
        <w:t>0.15</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0.15</w:t>
      </w:r>
      <w:r>
        <w:rPr>
          <w:szCs w:val="32"/>
        </w:rPr>
        <w:t>万元，主要原因是</w:t>
      </w:r>
      <w:r>
        <w:rPr>
          <w:rFonts w:hint="eastAsia"/>
          <w:szCs w:val="32"/>
          <w:lang w:eastAsia="zh-CN"/>
        </w:rPr>
        <w:t>上年度无公务接待计划，本年度根据工作需要安排公务接待计划。</w:t>
      </w:r>
    </w:p>
    <w:p>
      <w:pPr>
        <w:ind w:firstLine="640" w:firstLineChars="200"/>
        <w:jc w:val="both"/>
        <w:rPr>
          <w:rFonts w:eastAsia="楷体"/>
          <w:szCs w:val="32"/>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bookmarkStart w:id="0" w:name="_GoBack"/>
      <w:bookmarkEnd w:id="0"/>
      <w:r>
        <w:rPr>
          <w:szCs w:val="32"/>
        </w:rPr>
        <w:t>。</w:t>
      </w:r>
      <w:r>
        <w:rPr>
          <w:rFonts w:hint="eastAsia"/>
          <w:szCs w:val="32"/>
          <w:lang w:val="en-US" w:eastAsia="zh-CN"/>
        </w:rPr>
        <w:t xml:space="preserve">         </w:t>
      </w:r>
    </w:p>
    <w:p>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pPr>
        <w:ind w:firstLine="640" w:firstLineChars="200"/>
        <w:rPr>
          <w:rFonts w:hint="eastAsia" w:eastAsia="楷体"/>
          <w:szCs w:val="32"/>
          <w:lang w:eastAsia="zh-CN"/>
        </w:rPr>
      </w:pPr>
      <w:r>
        <w:rPr>
          <w:rFonts w:eastAsia="楷体"/>
          <w:szCs w:val="32"/>
        </w:rPr>
        <w:t>本</w:t>
      </w:r>
      <w:r>
        <w:rPr>
          <w:rFonts w:hint="eastAsia" w:eastAsia="楷体"/>
          <w:szCs w:val="32"/>
          <w:lang w:eastAsia="zh-CN"/>
        </w:rPr>
        <w:t>单位</w:t>
      </w:r>
      <w:r>
        <w:rPr>
          <w:rFonts w:eastAsia="楷体"/>
          <w:szCs w:val="32"/>
        </w:rPr>
        <w:t>无政府性基金预算拨款</w:t>
      </w:r>
      <w:r>
        <w:rPr>
          <w:rFonts w:hint="eastAsia" w:eastAsia="楷体"/>
          <w:szCs w:val="32"/>
          <w:lang w:eastAsia="zh-CN"/>
        </w:rPr>
        <w:t>。</w:t>
      </w:r>
    </w:p>
    <w:p>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pPr>
        <w:ind w:firstLine="640"/>
        <w:rPr>
          <w:rFonts w:hint="eastAsia" w:eastAsia="楷体"/>
          <w:szCs w:val="32"/>
          <w:lang w:eastAsia="zh-CN"/>
        </w:rPr>
      </w:pPr>
      <w:r>
        <w:rPr>
          <w:rFonts w:eastAsia="楷体"/>
          <w:szCs w:val="32"/>
        </w:rPr>
        <w:t>本</w:t>
      </w:r>
      <w:r>
        <w:rPr>
          <w:rFonts w:hint="eastAsia" w:eastAsia="楷体"/>
          <w:szCs w:val="32"/>
          <w:lang w:eastAsia="zh-CN"/>
        </w:rPr>
        <w:t>单位</w:t>
      </w:r>
      <w:r>
        <w:rPr>
          <w:rFonts w:eastAsia="楷体"/>
          <w:szCs w:val="32"/>
        </w:rPr>
        <w:t>无</w:t>
      </w:r>
      <w:r>
        <w:rPr>
          <w:rFonts w:hint="eastAsia" w:eastAsia="楷体"/>
          <w:szCs w:val="32"/>
        </w:rPr>
        <w:t>国有资本经营</w:t>
      </w:r>
      <w:r>
        <w:rPr>
          <w:rFonts w:eastAsia="楷体"/>
          <w:szCs w:val="32"/>
        </w:rPr>
        <w:t>预算拨款</w:t>
      </w:r>
      <w:r>
        <w:rPr>
          <w:rFonts w:hint="eastAsia" w:eastAsia="楷体"/>
          <w:szCs w:val="32"/>
          <w:lang w:eastAsia="zh-CN"/>
        </w:rPr>
        <w:t>。</w:t>
      </w:r>
    </w:p>
    <w:p>
      <w:pPr>
        <w:ind w:firstLine="640"/>
        <w:rPr>
          <w:rFonts w:eastAsia="黑体"/>
          <w:szCs w:val="32"/>
        </w:rPr>
      </w:pPr>
      <w:r>
        <w:rPr>
          <w:rFonts w:hint="eastAsia" w:eastAsia="黑体"/>
          <w:szCs w:val="32"/>
        </w:rPr>
        <w:t>十</w:t>
      </w:r>
      <w:r>
        <w:rPr>
          <w:rFonts w:eastAsia="黑体"/>
          <w:szCs w:val="32"/>
        </w:rPr>
        <w:t>、其他重要事项的说明情况</w:t>
      </w:r>
    </w:p>
    <w:p>
      <w:pPr>
        <w:spacing w:line="540" w:lineRule="exact"/>
        <w:ind w:firstLine="640" w:firstLineChars="200"/>
        <w:rPr>
          <w:rFonts w:eastAsia="楷体"/>
          <w:szCs w:val="32"/>
        </w:rPr>
      </w:pPr>
      <w:r>
        <w:rPr>
          <w:rFonts w:eastAsia="楷体"/>
          <w:szCs w:val="32"/>
        </w:rPr>
        <w:t>（一）机关运行经费</w:t>
      </w:r>
    </w:p>
    <w:p>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eastAsia="zh-CN"/>
        </w:rPr>
        <w:t>本</w:t>
      </w:r>
      <w:r>
        <w:rPr>
          <w:szCs w:val="32"/>
        </w:rPr>
        <w:t>单位的机关运行经费财政拨款预算</w:t>
      </w:r>
      <w:r>
        <w:rPr>
          <w:rFonts w:hint="eastAsia"/>
          <w:szCs w:val="32"/>
          <w:lang w:val="en-US" w:eastAsia="zh-CN"/>
        </w:rPr>
        <w:t>22.32</w:t>
      </w:r>
      <w:r>
        <w:rPr>
          <w:szCs w:val="32"/>
        </w:rPr>
        <w:t>万元，比20</w:t>
      </w:r>
      <w:r>
        <w:rPr>
          <w:rFonts w:hint="eastAsia"/>
          <w:szCs w:val="32"/>
        </w:rPr>
        <w:t>2</w:t>
      </w:r>
      <w:r>
        <w:rPr>
          <w:rFonts w:hint="eastAsia"/>
          <w:szCs w:val="32"/>
          <w:lang w:val="en-US" w:eastAsia="zh-CN"/>
        </w:rPr>
        <w:t>5</w:t>
      </w:r>
      <w:r>
        <w:rPr>
          <w:szCs w:val="32"/>
        </w:rPr>
        <w:t>年预算增加</w:t>
      </w:r>
      <w:r>
        <w:rPr>
          <w:rFonts w:hint="eastAsia"/>
          <w:szCs w:val="32"/>
          <w:lang w:val="en-US" w:eastAsia="zh-CN"/>
        </w:rPr>
        <w:t>2.7</w:t>
      </w:r>
      <w:r>
        <w:rPr>
          <w:szCs w:val="32"/>
        </w:rPr>
        <w:t>万元，增长</w:t>
      </w:r>
      <w:r>
        <w:rPr>
          <w:rFonts w:hint="eastAsia"/>
          <w:szCs w:val="32"/>
          <w:lang w:val="en-US" w:eastAsia="zh-CN"/>
        </w:rPr>
        <w:t>13.8</w:t>
      </w:r>
      <w:r>
        <w:rPr>
          <w:szCs w:val="32"/>
        </w:rPr>
        <w:t>%</w:t>
      </w:r>
      <w:r>
        <w:rPr>
          <w:rFonts w:hint="eastAsia"/>
          <w:szCs w:val="32"/>
        </w:rPr>
        <w:t>，主要原因是</w:t>
      </w:r>
      <w:r>
        <w:rPr>
          <w:rFonts w:hint="eastAsia"/>
          <w:szCs w:val="32"/>
          <w:lang w:eastAsia="zh-CN"/>
        </w:rPr>
        <w:t>单位新调入公务员</w:t>
      </w:r>
      <w:r>
        <w:rPr>
          <w:rFonts w:hint="eastAsia"/>
          <w:szCs w:val="32"/>
          <w:lang w:val="en-US" w:eastAsia="zh-CN"/>
        </w:rPr>
        <w:t>1人</w:t>
      </w:r>
      <w:r>
        <w:rPr>
          <w:szCs w:val="32"/>
        </w:rPr>
        <w:t>。</w:t>
      </w:r>
    </w:p>
    <w:p>
      <w:pPr>
        <w:spacing w:line="540" w:lineRule="exact"/>
        <w:ind w:firstLine="640" w:firstLineChars="200"/>
        <w:rPr>
          <w:rFonts w:eastAsia="楷体"/>
          <w:szCs w:val="32"/>
        </w:rPr>
      </w:pPr>
      <w:r>
        <w:rPr>
          <w:rFonts w:eastAsia="楷体"/>
          <w:szCs w:val="32"/>
        </w:rPr>
        <w:t>（二）政府采购情况</w:t>
      </w:r>
    </w:p>
    <w:p>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年政府采购预算总额</w:t>
      </w:r>
      <w:r>
        <w:rPr>
          <w:rFonts w:hint="eastAsia"/>
          <w:szCs w:val="32"/>
          <w:lang w:val="en-US" w:eastAsia="zh-CN"/>
        </w:rPr>
        <w:t>6.45</w:t>
      </w:r>
      <w:r>
        <w:rPr>
          <w:szCs w:val="32"/>
        </w:rPr>
        <w:t>万元，其中：政府采购货物预算</w:t>
      </w:r>
      <w:r>
        <w:rPr>
          <w:rFonts w:hint="eastAsia"/>
          <w:szCs w:val="32"/>
          <w:lang w:val="en-US" w:eastAsia="zh-CN"/>
        </w:rPr>
        <w:t>2.05</w:t>
      </w:r>
      <w:r>
        <w:rPr>
          <w:szCs w:val="32"/>
        </w:rPr>
        <w:t>万元、政府采购工程预算</w:t>
      </w:r>
      <w:r>
        <w:rPr>
          <w:rFonts w:hint="eastAsia"/>
          <w:szCs w:val="32"/>
          <w:lang w:val="en-US" w:eastAsia="zh-CN"/>
        </w:rPr>
        <w:t>0</w:t>
      </w:r>
      <w:r>
        <w:rPr>
          <w:szCs w:val="32"/>
        </w:rPr>
        <w:t>万元、政府采购服务预算</w:t>
      </w:r>
      <w:r>
        <w:rPr>
          <w:rFonts w:hint="eastAsia"/>
          <w:szCs w:val="32"/>
          <w:lang w:val="en-US" w:eastAsia="zh-CN"/>
        </w:rPr>
        <w:t>4.4</w:t>
      </w:r>
      <w:r>
        <w:rPr>
          <w:szCs w:val="32"/>
        </w:rPr>
        <w:t>万元。</w:t>
      </w:r>
    </w:p>
    <w:p>
      <w:pPr>
        <w:spacing w:line="540" w:lineRule="exact"/>
        <w:ind w:firstLine="640" w:firstLineChars="200"/>
        <w:rPr>
          <w:rFonts w:eastAsia="楷体"/>
          <w:szCs w:val="32"/>
        </w:rPr>
      </w:pPr>
      <w:r>
        <w:rPr>
          <w:rFonts w:eastAsia="楷体"/>
          <w:szCs w:val="32"/>
        </w:rPr>
        <w:t>（三）国有资产占有使用情况</w:t>
      </w:r>
    </w:p>
    <w:p>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pPr>
        <w:spacing w:line="540" w:lineRule="exact"/>
        <w:ind w:firstLine="640" w:firstLineChars="200"/>
      </w:pPr>
      <w:r>
        <w:t>202</w:t>
      </w:r>
      <w:r>
        <w:rPr>
          <w:rFonts w:hint="eastAsia"/>
          <w:lang w:val="en-US" w:eastAsia="zh-CN"/>
        </w:rPr>
        <w:t>6</w:t>
      </w:r>
      <w:r>
        <w:t>年</w:t>
      </w:r>
      <w:r>
        <w:rPr>
          <w:rFonts w:hint="eastAsia"/>
          <w:lang w:eastAsia="zh-CN"/>
        </w:rPr>
        <w:t>单位</w:t>
      </w:r>
      <w:r>
        <w:t>项目支出</w:t>
      </w:r>
      <w:r>
        <w:rPr>
          <w:rFonts w:hint="eastAsia"/>
          <w:szCs w:val="32"/>
          <w:lang w:val="en-US" w:eastAsia="zh-CN"/>
        </w:rPr>
        <w:t>31.7</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w:t>
      </w:r>
      <w:r>
        <w:rPr>
          <w:rFonts w:hint="eastAsia"/>
          <w:szCs w:val="32"/>
          <w:lang w:eastAsia="zh-CN"/>
        </w:rPr>
        <w:t>财政</w:t>
      </w:r>
      <w:r>
        <w:rPr>
          <w:rFonts w:hint="eastAsia"/>
          <w:szCs w:val="32"/>
        </w:rPr>
        <w:t>拨款</w:t>
      </w:r>
      <w:r>
        <w:rPr>
          <w:rFonts w:hint="eastAsia"/>
          <w:szCs w:val="32"/>
          <w:lang w:val="en-US" w:eastAsia="zh-CN"/>
        </w:rPr>
        <w:t>31.7</w:t>
      </w:r>
      <w:r>
        <w:rPr>
          <w:szCs w:val="32"/>
        </w:rPr>
        <w:t>万元，</w:t>
      </w:r>
      <w:r>
        <w:rPr>
          <w:rFonts w:hint="eastAsia"/>
          <w:szCs w:val="32"/>
        </w:rPr>
        <w:t>财政拨款结转</w:t>
      </w:r>
      <w:r>
        <w:rPr>
          <w:rFonts w:hint="eastAsia"/>
          <w:szCs w:val="32"/>
          <w:lang w:val="en-US" w:eastAsia="zh-CN"/>
        </w:rPr>
        <w:t>0</w:t>
      </w:r>
      <w:r>
        <w:rPr>
          <w:szCs w:val="32"/>
        </w:rPr>
        <w:t>万元</w:t>
      </w:r>
      <w:r>
        <w:rPr>
          <w:rFonts w:hint="eastAsia"/>
          <w:szCs w:val="32"/>
          <w:lang w:eastAsia="zh-CN"/>
        </w:rPr>
        <w:t>；</w:t>
      </w:r>
      <w:r>
        <w:rPr>
          <w:rFonts w:hint="eastAsia"/>
          <w:color w:val="auto"/>
          <w:szCs w:val="32"/>
          <w:lang w:eastAsia="zh-CN"/>
        </w:rPr>
        <w:t>使用单位资金</w:t>
      </w:r>
      <w:r>
        <w:rPr>
          <w:rFonts w:hint="eastAsia"/>
          <w:color w:val="auto"/>
          <w:szCs w:val="32"/>
          <w:lang w:val="en-US" w:eastAsia="zh-CN"/>
        </w:rPr>
        <w:t>0万元，非财政拨款结转0万元</w:t>
      </w:r>
      <w:r>
        <w:rPr>
          <w:szCs w:val="32"/>
        </w:rPr>
        <w:t>。</w:t>
      </w:r>
    </w:p>
    <w:p>
      <w:pPr>
        <w:spacing w:line="540" w:lineRule="exact"/>
        <w:ind w:firstLine="640" w:firstLineChars="200"/>
        <w:rPr>
          <w:rFonts w:eastAsia="楷体"/>
          <w:szCs w:val="32"/>
        </w:rPr>
      </w:pPr>
      <w:r>
        <w:rPr>
          <w:rFonts w:hint="eastAsia" w:eastAsia="楷体"/>
          <w:szCs w:val="32"/>
        </w:rPr>
        <w:t>（五）项目支出绩效目标情况说明</w:t>
      </w:r>
    </w:p>
    <w:p>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31.7</w:t>
      </w:r>
      <w:r>
        <w:rPr>
          <w:rFonts w:hint="eastAsia" w:ascii="宋体" w:hAnsi="宋体"/>
        </w:rPr>
        <w:t>万元。</w:t>
      </w:r>
    </w:p>
    <w:p>
      <w:pPr>
        <w:ind w:firstLine="645"/>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r>
        <w:rPr>
          <w:rFonts w:eastAsia="楷体"/>
          <w:szCs w:val="32"/>
        </w:rPr>
        <w:br w:type="page"/>
      </w:r>
    </w:p>
    <w:p>
      <w:pPr>
        <w:ind w:firstLine="640" w:firstLineChars="200"/>
        <w:rPr>
          <w:szCs w:val="32"/>
        </w:rPr>
      </w:pPr>
    </w:p>
    <w:p>
      <w:pPr>
        <w:jc w:val="center"/>
        <w:rPr>
          <w:rFonts w:eastAsia="黑体"/>
        </w:rPr>
      </w:pPr>
      <w:r>
        <w:rPr>
          <w:rFonts w:eastAsia="黑体"/>
        </w:rPr>
        <w:t>第四部分 名词解释</w:t>
      </w:r>
    </w:p>
    <w:p>
      <w:pPr>
        <w:ind w:firstLine="640" w:firstLineChars="200"/>
        <w:jc w:val="center"/>
        <w:rPr>
          <w:rFonts w:eastAsia="黑体"/>
        </w:rPr>
      </w:pPr>
    </w:p>
    <w:p>
      <w:pPr>
        <w:ind w:firstLine="640" w:firstLineChars="200"/>
        <w:rPr>
          <w:szCs w:val="32"/>
        </w:rPr>
      </w:pPr>
      <w:r>
        <w:rPr>
          <w:rFonts w:eastAsia="楷体"/>
          <w:szCs w:val="32"/>
        </w:rPr>
        <w:t>（一）一般公共预算拨款收入：</w:t>
      </w:r>
      <w:r>
        <w:rPr>
          <w:szCs w:val="32"/>
        </w:rPr>
        <w:t>指省级财政通过当年一般公共预算拨付的资金。</w:t>
      </w:r>
    </w:p>
    <w:p>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pPr>
        <w:ind w:firstLine="640"/>
        <w:rPr>
          <w:szCs w:val="32"/>
        </w:rPr>
      </w:pPr>
      <w:r>
        <w:rPr>
          <w:rFonts w:eastAsia="楷体"/>
          <w:szCs w:val="32"/>
        </w:rPr>
        <w:t>（十）上年结转：</w:t>
      </w:r>
      <w:r>
        <w:rPr>
          <w:szCs w:val="32"/>
        </w:rPr>
        <w:t>指以前年度尚未完成、结转到本年仍按原规定用途继续使用的资金。</w:t>
      </w:r>
    </w:p>
    <w:p>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pPr>
        <w:ind w:firstLine="640"/>
        <w:rPr>
          <w:szCs w:val="32"/>
        </w:rPr>
      </w:pPr>
    </w:p>
    <w:p>
      <w:pPr>
        <w:ind w:firstLine="640"/>
        <w:rPr>
          <w:szCs w:val="32"/>
        </w:rPr>
      </w:pPr>
    </w:p>
    <w:p>
      <w:pPr>
        <w:rPr>
          <w:szCs w:val="32"/>
        </w:rPr>
      </w:pPr>
    </w:p>
    <w:p>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0"/>
      </w:rPr>
    </w:pPr>
  </w:p>
  <w:p>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0"/>
      </w:rPr>
    </w:pPr>
    <w:r>
      <w:fldChar w:fldCharType="begin"/>
    </w:r>
    <w:r>
      <w:rPr>
        <w:rStyle w:val="10"/>
      </w:rPr>
      <w:instrText xml:space="preserve">PAGE  </w:instrText>
    </w:r>
    <w:r>
      <w:fldChar w:fldCharType="separate"/>
    </w:r>
    <w:r>
      <w:rPr>
        <w:rStyle w:val="10"/>
      </w:rPr>
      <w:t>0</w: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5bwaPwwEAAHEDAAAOAAAAAAAAAAEAIAAAAB4BAABkcnMvZTJvRG9jLnhtbFBL&#10;BQYAAAAABgAGAFkBAABT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4Ci0k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p>
                          <w:pPr>
                            <w:snapToGrid w:val="0"/>
                            <w:rPr>
                              <w:rFonts w:hint="eastAsia" w:ascii="宋体" w:hAnsi="宋体" w:eastAsia="宋体" w:cs="宋体"/>
                              <w:sz w:val="28"/>
                              <w:szCs w:val="28"/>
                              <w:lang w:eastAsia="zh-CN"/>
                            </w:rPr>
                          </w:pPr>
                        </w:p>
                        <w:p>
                          <w:pPr>
                            <w:snapToGrid w:val="0"/>
                            <w:rPr>
                              <w:rFonts w:hint="eastAsia" w:ascii="宋体" w:hAnsi="宋体" w:eastAsia="宋体" w:cs="宋体"/>
                              <w:sz w:val="28"/>
                              <w:szCs w:val="28"/>
                              <w:lang w:eastAsia="zh-CN"/>
                            </w:rPr>
                          </w:pP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51sfJwwEAAHEDAAAOAAAAAAAAAAEAIAAAAB4BAABkcnMvZTJvRG9jLnhtbFBL&#10;BQYAAAAABgAGAFkBAABT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p>
                    <w:pPr>
                      <w:snapToGrid w:val="0"/>
                      <w:rPr>
                        <w:rFonts w:hint="eastAsia" w:ascii="宋体" w:hAnsi="宋体" w:eastAsia="宋体" w:cs="宋体"/>
                        <w:sz w:val="28"/>
                        <w:szCs w:val="28"/>
                        <w:lang w:eastAsia="zh-CN"/>
                      </w:rPr>
                    </w:pPr>
                  </w:p>
                  <w:p>
                    <w:pPr>
                      <w:snapToGrid w:val="0"/>
                      <w:rPr>
                        <w:rFonts w:hint="eastAsia" w:ascii="宋体" w:hAnsi="宋体" w:eastAsia="宋体" w:cs="宋体"/>
                        <w:sz w:val="28"/>
                        <w:szCs w:val="28"/>
                        <w:lang w:eastAsia="zh-CN"/>
                      </w:rPr>
                    </w:pPr>
                  </w:p>
                </w:txbxContent>
              </v:textbox>
            </v:shape>
          </w:pict>
        </mc:Fallback>
      </mc:AlternateContent>
    </w:r>
  </w:p>
  <w:p>
    <w:pPr>
      <w:pStyle w:val="6"/>
      <w:tabs>
        <w:tab w:val="left" w:pos="5124"/>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32"/>
                              <w:lang w:eastAsia="zh-CN"/>
                            </w:rPr>
                            <w:fldChar w:fldCharType="begin"/>
                          </w:r>
                          <w:r>
                            <w:rPr>
                              <w:rFonts w:hint="eastAsia" w:asciiTheme="minorEastAsia" w:hAnsiTheme="minorEastAsia" w:eastAsiaTheme="minorEastAsia" w:cstheme="minorEastAsia"/>
                              <w:sz w:val="28"/>
                              <w:szCs w:val="32"/>
                              <w:lang w:eastAsia="zh-CN"/>
                            </w:rPr>
                            <w:instrText xml:space="preserve"> PAGE  \* MERGEFORMAT </w:instrText>
                          </w:r>
                          <w:r>
                            <w:rPr>
                              <w:rFonts w:hint="eastAsia" w:asciiTheme="minorEastAsia" w:hAnsiTheme="minorEastAsia" w:eastAsiaTheme="minorEastAsia" w:cstheme="minorEastAsia"/>
                              <w:sz w:val="28"/>
                              <w:szCs w:val="32"/>
                              <w:lang w:eastAsia="zh-CN"/>
                            </w:rPr>
                            <w:fldChar w:fldCharType="separate"/>
                          </w:r>
                          <w:r>
                            <w:rPr>
                              <w:rFonts w:hint="eastAsia" w:asciiTheme="minorEastAsia" w:hAnsiTheme="minorEastAsia" w:eastAsiaTheme="minorEastAsia" w:cstheme="minorEastAsia"/>
                              <w:sz w:val="28"/>
                              <w:szCs w:val="32"/>
                              <w:lang w:eastAsia="zh-CN"/>
                            </w:rPr>
                            <w:t>- 0 -</w:t>
                          </w:r>
                          <w:r>
                            <w:rPr>
                              <w:rFonts w:hint="eastAsia" w:asciiTheme="minorEastAsia" w:hAnsiTheme="minorEastAsia" w:eastAsiaTheme="minorEastAsia" w:cstheme="minorEastAsia"/>
                              <w:sz w:val="28"/>
                              <w:szCs w:val="32"/>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aTeV9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32"/>
                        <w:lang w:eastAsia="zh-CN"/>
                      </w:rPr>
                      <w:fldChar w:fldCharType="begin"/>
                    </w:r>
                    <w:r>
                      <w:rPr>
                        <w:rFonts w:hint="eastAsia" w:asciiTheme="minorEastAsia" w:hAnsiTheme="minorEastAsia" w:eastAsiaTheme="minorEastAsia" w:cstheme="minorEastAsia"/>
                        <w:sz w:val="28"/>
                        <w:szCs w:val="32"/>
                        <w:lang w:eastAsia="zh-CN"/>
                      </w:rPr>
                      <w:instrText xml:space="preserve"> PAGE  \* MERGEFORMAT </w:instrText>
                    </w:r>
                    <w:r>
                      <w:rPr>
                        <w:rFonts w:hint="eastAsia" w:asciiTheme="minorEastAsia" w:hAnsiTheme="minorEastAsia" w:eastAsiaTheme="minorEastAsia" w:cstheme="minorEastAsia"/>
                        <w:sz w:val="28"/>
                        <w:szCs w:val="32"/>
                        <w:lang w:eastAsia="zh-CN"/>
                      </w:rPr>
                      <w:fldChar w:fldCharType="separate"/>
                    </w:r>
                    <w:r>
                      <w:rPr>
                        <w:rFonts w:hint="eastAsia" w:asciiTheme="minorEastAsia" w:hAnsiTheme="minorEastAsia" w:eastAsiaTheme="minorEastAsia" w:cstheme="minorEastAsia"/>
                        <w:sz w:val="28"/>
                        <w:szCs w:val="32"/>
                        <w:lang w:eastAsia="zh-CN"/>
                      </w:rPr>
                      <w:t>- 0 -</w:t>
                    </w:r>
                    <w:r>
                      <w:rPr>
                        <w:rFonts w:hint="eastAsia" w:asciiTheme="minorEastAsia" w:hAnsiTheme="minorEastAsia" w:eastAsiaTheme="minorEastAsia" w:cstheme="minorEastAsia"/>
                        <w:sz w:val="28"/>
                        <w:szCs w:val="32"/>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2A6D4B"/>
    <w:rsid w:val="11A6707B"/>
    <w:rsid w:val="11B35B2F"/>
    <w:rsid w:val="12066352"/>
    <w:rsid w:val="12E711B7"/>
    <w:rsid w:val="12EB2C45"/>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9C01488"/>
    <w:rsid w:val="1A817DF8"/>
    <w:rsid w:val="1A8A6135"/>
    <w:rsid w:val="1A8F455C"/>
    <w:rsid w:val="1ADC594E"/>
    <w:rsid w:val="1ADD0AA9"/>
    <w:rsid w:val="1AEB5252"/>
    <w:rsid w:val="1B8A03E4"/>
    <w:rsid w:val="1B9C1459"/>
    <w:rsid w:val="1C852172"/>
    <w:rsid w:val="1CA40C0C"/>
    <w:rsid w:val="1CFF4A32"/>
    <w:rsid w:val="1D003925"/>
    <w:rsid w:val="1D833200"/>
    <w:rsid w:val="1E3A3FD0"/>
    <w:rsid w:val="1EB55C07"/>
    <w:rsid w:val="1F2D380D"/>
    <w:rsid w:val="1F351A10"/>
    <w:rsid w:val="1F857EA5"/>
    <w:rsid w:val="1FED47E9"/>
    <w:rsid w:val="206816AC"/>
    <w:rsid w:val="21134335"/>
    <w:rsid w:val="226E581D"/>
    <w:rsid w:val="22831CE0"/>
    <w:rsid w:val="22A4003E"/>
    <w:rsid w:val="23135C25"/>
    <w:rsid w:val="23EC61F6"/>
    <w:rsid w:val="24076FD5"/>
    <w:rsid w:val="244C543C"/>
    <w:rsid w:val="24624768"/>
    <w:rsid w:val="24A8271E"/>
    <w:rsid w:val="25001231"/>
    <w:rsid w:val="254029E1"/>
    <w:rsid w:val="259B5BC5"/>
    <w:rsid w:val="25EF7FBC"/>
    <w:rsid w:val="25F62C4E"/>
    <w:rsid w:val="26643D6C"/>
    <w:rsid w:val="26FE109D"/>
    <w:rsid w:val="27073E1E"/>
    <w:rsid w:val="274D2A25"/>
    <w:rsid w:val="27B04AB3"/>
    <w:rsid w:val="282C3BA1"/>
    <w:rsid w:val="28A63332"/>
    <w:rsid w:val="28C96E8E"/>
    <w:rsid w:val="29527C78"/>
    <w:rsid w:val="29C45F24"/>
    <w:rsid w:val="2A9B6ED4"/>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9466B2"/>
    <w:rsid w:val="33B707BB"/>
    <w:rsid w:val="33BE4517"/>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472DDC"/>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1A68CB"/>
    <w:rsid w:val="3F8201A3"/>
    <w:rsid w:val="3FB427C9"/>
    <w:rsid w:val="402675EA"/>
    <w:rsid w:val="40B80EFF"/>
    <w:rsid w:val="41A35364"/>
    <w:rsid w:val="41C31686"/>
    <w:rsid w:val="41C837BC"/>
    <w:rsid w:val="421643AC"/>
    <w:rsid w:val="42982B4E"/>
    <w:rsid w:val="429F5D0C"/>
    <w:rsid w:val="42D83665"/>
    <w:rsid w:val="434A6B47"/>
    <w:rsid w:val="436B1E42"/>
    <w:rsid w:val="45630EF6"/>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AE4B87"/>
    <w:rsid w:val="544E511A"/>
    <w:rsid w:val="54741940"/>
    <w:rsid w:val="54810E66"/>
    <w:rsid w:val="54C063E4"/>
    <w:rsid w:val="54C2556E"/>
    <w:rsid w:val="54D70AFE"/>
    <w:rsid w:val="55480EEF"/>
    <w:rsid w:val="56321663"/>
    <w:rsid w:val="56765156"/>
    <w:rsid w:val="56841A52"/>
    <w:rsid w:val="569B7F91"/>
    <w:rsid w:val="56D21BED"/>
    <w:rsid w:val="572651B2"/>
    <w:rsid w:val="57356BBF"/>
    <w:rsid w:val="57AE5C26"/>
    <w:rsid w:val="57DD75A9"/>
    <w:rsid w:val="57DE64A7"/>
    <w:rsid w:val="5801059F"/>
    <w:rsid w:val="58256ABD"/>
    <w:rsid w:val="58C27FDB"/>
    <w:rsid w:val="59472AC7"/>
    <w:rsid w:val="59523B4C"/>
    <w:rsid w:val="59D514A6"/>
    <w:rsid w:val="59EC6E09"/>
    <w:rsid w:val="5A320AE1"/>
    <w:rsid w:val="5AB343F7"/>
    <w:rsid w:val="5ABF50F2"/>
    <w:rsid w:val="5AF25D13"/>
    <w:rsid w:val="5AF76904"/>
    <w:rsid w:val="5B052E7A"/>
    <w:rsid w:val="5B3D7F7E"/>
    <w:rsid w:val="5B7C7777"/>
    <w:rsid w:val="5BEC6771"/>
    <w:rsid w:val="5C1378B8"/>
    <w:rsid w:val="5C625389"/>
    <w:rsid w:val="5C681D31"/>
    <w:rsid w:val="5CA506B9"/>
    <w:rsid w:val="5CF74CE4"/>
    <w:rsid w:val="5D5A7C63"/>
    <w:rsid w:val="5E256F6F"/>
    <w:rsid w:val="5EBD2BD2"/>
    <w:rsid w:val="5F6235A9"/>
    <w:rsid w:val="5F781C91"/>
    <w:rsid w:val="60DC439E"/>
    <w:rsid w:val="614125C2"/>
    <w:rsid w:val="616A0A53"/>
    <w:rsid w:val="61AA1D1F"/>
    <w:rsid w:val="61E137DE"/>
    <w:rsid w:val="624C5C52"/>
    <w:rsid w:val="63DF08E4"/>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045369"/>
    <w:rsid w:val="6C834DAA"/>
    <w:rsid w:val="6C993CCE"/>
    <w:rsid w:val="6C9A71E4"/>
    <w:rsid w:val="6CA32DC3"/>
    <w:rsid w:val="6CF120A8"/>
    <w:rsid w:val="6D72413D"/>
    <w:rsid w:val="6FF50B81"/>
    <w:rsid w:val="70330B9C"/>
    <w:rsid w:val="709D17BE"/>
    <w:rsid w:val="714213DD"/>
    <w:rsid w:val="717F272E"/>
    <w:rsid w:val="72783A23"/>
    <w:rsid w:val="728027C6"/>
    <w:rsid w:val="73B32B55"/>
    <w:rsid w:val="73D62FA6"/>
    <w:rsid w:val="73FE7ACC"/>
    <w:rsid w:val="74556746"/>
    <w:rsid w:val="74743258"/>
    <w:rsid w:val="755C2BBA"/>
    <w:rsid w:val="761B13C4"/>
    <w:rsid w:val="764B6A8A"/>
    <w:rsid w:val="76C17E06"/>
    <w:rsid w:val="76CA67BD"/>
    <w:rsid w:val="76E6298C"/>
    <w:rsid w:val="770021AC"/>
    <w:rsid w:val="774E6400"/>
    <w:rsid w:val="775B0046"/>
    <w:rsid w:val="79700BEF"/>
    <w:rsid w:val="798D552B"/>
    <w:rsid w:val="79C13EEA"/>
    <w:rsid w:val="7A090695"/>
    <w:rsid w:val="7A1D5951"/>
    <w:rsid w:val="7AE175F4"/>
    <w:rsid w:val="7B417685"/>
    <w:rsid w:val="7B5220F0"/>
    <w:rsid w:val="7BA169C0"/>
    <w:rsid w:val="7BC55243"/>
    <w:rsid w:val="7C2F4A9A"/>
    <w:rsid w:val="7C9E55CF"/>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9">
    <w:name w:val="Default Paragraph Font"/>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character" w:styleId="10">
    <w:name w:val="page number"/>
    <w:basedOn w:val="9"/>
    <w:qFormat/>
    <w:uiPriority w:val="0"/>
  </w:style>
  <w:style w:type="table" w:styleId="12">
    <w:name w:val="Table Grid"/>
    <w:basedOn w:val="11"/>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29</Pages>
  <Words>1513</Words>
  <Characters>8625</Characters>
  <Lines>71</Lines>
  <Paragraphs>20</Paragraphs>
  <TotalTime>1</TotalTime>
  <ScaleCrop>false</ScaleCrop>
  <LinksUpToDate>false</LinksUpToDate>
  <CharactersWithSpaces>10118</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lenovo</cp:lastModifiedBy>
  <cp:lastPrinted>2026-03-02T01:03:00Z</cp:lastPrinted>
  <dcterms:modified xsi:type="dcterms:W3CDTF">2026-03-02T09:01:41Z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y fmtid="{D5CDD505-2E9C-101B-9397-08002B2CF9AE}" pid="3" name="KSOTemplateDocerSaveRecord">
    <vt:lpwstr>eyJoZGlkIjoiNmQ1NWE5NDliZjU5YjUxNGQyYjA4ZWJkNmEzM2UyMjkifQ==</vt:lpwstr>
  </property>
  <property fmtid="{D5CDD505-2E9C-101B-9397-08002B2CF9AE}" pid="4" name="ICV">
    <vt:lpwstr>744488F424F8466AA77AAEADD6132731_13</vt:lpwstr>
  </property>
</Properties>
</file>