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eastAsia="方正小标宋简体"/>
          <w:sz w:val="44"/>
          <w:szCs w:val="44"/>
        </w:rPr>
        <w:t>长春市统计局普查中心</w:t>
      </w:r>
    </w:p>
    <w:p>
      <w:pPr>
        <w:jc w:val="center"/>
        <w:rPr>
          <w:rFonts w:eastAsia="方正小标宋简体"/>
          <w:sz w:val="44"/>
          <w:szCs w:val="44"/>
        </w:rPr>
      </w:pPr>
      <w:r>
        <w:rPr>
          <w:rFonts w:eastAsia="方正小标宋简体"/>
          <w:sz w:val="44"/>
          <w:szCs w:val="44"/>
        </w:rPr>
        <w:t>20</w:t>
      </w:r>
      <w:r>
        <w:rPr>
          <w:rFonts w:eastAsia="方正小标宋简体" w:hint="eastAsia"/>
          <w:sz w:val="44"/>
          <w:szCs w:val="44"/>
        </w:rPr>
        <w:t>2</w:t>
      </w:r>
      <w:r>
        <w:rPr>
          <w:rFonts w:eastAsia="方正小标宋简体" w:hint="eastAsia"/>
          <w:sz w:val="44"/>
          <w:szCs w:val="44"/>
          <w:lang w:val="en-US" w:eastAsia="zh-CN"/>
        </w:rPr>
        <w:t>6</w:t>
      </w:r>
      <w:r>
        <w:rPr>
          <w:rFonts w:eastAsia="方正小标宋简体"/>
          <w:sz w:val="44"/>
          <w:szCs w:val="44"/>
        </w:rPr>
        <w:t>年单位预算</w:t>
      </w:r>
    </w:p>
    <w:p>
      <w:pPr>
        <w:jc w:val="left"/>
      </w:pPr>
      <w:r>
        <w:tab/>
        <w:tab/>
        <w:tab/>
        <w:tab/>
        <w:tab/>
        <w:tab/>
      </w:r>
    </w:p>
    <w:p>
      <w:pPr>
        <w:jc w:val="left"/>
      </w:pPr>
    </w:p>
    <w:p>
      <w:pPr>
        <w:jc w:val="left"/>
      </w:pPr>
    </w:p>
    <w:p>
      <w:pPr>
        <w:jc w:val="left"/>
      </w:pPr>
    </w:p>
    <w:p>
      <w:pPr>
        <w:jc w:val="left"/>
      </w:pPr>
    </w:p>
    <w:p>
      <w:pPr>
        <w:jc w:val="left"/>
      </w:pPr>
      <w:r>
        <w:tab/>
        <w:tab/>
        <w:tab/>
        <w:tab/>
        <w:tab/>
        <w:tab/>
      </w:r>
    </w:p>
    <w:p>
      <w:pPr>
        <w:jc w:val="left"/>
      </w:pPr>
    </w:p>
    <w:p>
      <w:pPr>
        <w:jc w:val="left"/>
      </w:pPr>
    </w:p>
    <w:p>
      <w:pPr>
        <w:jc w:val="left"/>
      </w:pPr>
    </w:p>
    <w:p>
      <w:pPr>
        <w:jc w:val="center"/>
        <w:rPr>
          <w:rFonts w:eastAsia="华文细黑"/>
        </w:rPr>
      </w:pPr>
      <w:r>
        <w:rPr>
          <w:rFonts w:eastAsia="华文细黑"/>
        </w:rPr>
        <w:t>二〇二</w:t>
      </w:r>
      <w:r>
        <w:rPr>
          <w:rFonts w:eastAsia="华文细黑" w:hint="eastAsia"/>
          <w:lang w:eastAsia="zh-CN"/>
        </w:rPr>
        <w:t>六</w:t>
      </w:r>
      <w:r>
        <w:rPr>
          <w:rFonts w:eastAsia="华文细黑"/>
        </w:rPr>
        <w:t>年</w:t>
      </w:r>
      <w:r>
        <w:rPr>
          <w:rFonts w:eastAsia="华文细黑"/>
          <w:lang w:val="en-US" w:eastAsia="zh-CN"/>
        </w:rPr>
        <w:t>三</w:t>
      </w:r>
      <w:r>
        <w:rPr>
          <w:rFonts w:eastAsia="华文细黑"/>
        </w:rPr>
        <w:t>月</w:t>
      </w:r>
      <w:r>
        <w:rPr>
          <w:rFonts w:eastAsia="华文细黑"/>
          <w:lang w:val="en-US" w:eastAsia="zh-CN"/>
        </w:rPr>
        <w:t>六</w:t>
      </w:r>
      <w:r>
        <w:rPr>
          <w:rFonts w:eastAsia="华文细黑"/>
        </w:rPr>
        <w:t>日</w:t>
      </w:r>
    </w:p>
    <w:p>
      <w:pPr>
        <w:rPr>
          <w:rFonts w:eastAsia="黑体"/>
        </w:rPr>
      </w:pPr>
    </w:p>
    <w:p>
      <w:pPr>
        <w:ind w:firstLineChars="200" w:firstLine="640"/>
        <w:rPr>
          <w:rFonts w:eastAsia="黑体"/>
        </w:rPr>
      </w:pPr>
    </w:p>
    <w:p>
      <w:pPr>
        <w:ind w:firstLineChars="200" w:firstLine="640"/>
        <w:rPr>
          <w:rFonts w:eastAsia="黑体"/>
        </w:rPr>
        <w:sectPr>
          <w:headerReference w:type="default" r:id="rId2"/>
          <w:headerReference w:type="even" r:id="rId3"/>
          <w:headerReference w:type="first" r:id="rId4"/>
          <w:footerReference w:type="default" r:id="rId5"/>
          <w:footerReference w:type="even" r:id="rId6"/>
          <w:type w:val="evenPage"/>
          <w:pgSz w:w="11907" w:h="16840"/>
          <w:pgMar w:top="2041" w:right="1588" w:bottom="2041" w:left="1588" w:header="851" w:footer="1588" w:gutter="0"/>
          <w:pgNumType w:fmt="numberInDash" w:start="1"/>
          <w:titlePg/>
          <w:docGrid w:type="lines" w:linePitch="574" w:charSpace="-1675"/>
        </w:sectPr>
      </w:pPr>
    </w:p>
    <w:p>
      <w:pPr>
        <w:ind w:firstLineChars="200" w:firstLine="64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第一部分  单位概况</w:t>
        <w:tab/>
        <w:tab/>
        <w:tab/>
        <w:tab/>
        <w:tab/>
      </w:r>
    </w:p>
    <w:p>
      <w:pPr>
        <w:ind w:leftChars="100" w:left="320" w:firstLineChars="100" w:firstLine="320"/>
      </w:pPr>
      <w:r>
        <w:t>一、主要职能</w:t>
      </w:r>
    </w:p>
    <w:p>
      <w:pPr>
        <w:ind w:leftChars="100" w:left="320" w:firstLineChars="100" w:firstLine="320"/>
      </w:pPr>
      <w:r>
        <w:t>二、机构设置</w:t>
      </w:r>
    </w:p>
    <w:p>
      <w:pPr>
        <w:rPr>
          <w:rFonts w:eastAsia="黑体"/>
        </w:rPr>
      </w:pPr>
      <w:r>
        <w:rPr>
          <w:rFonts w:eastAsia="黑体"/>
        </w:rPr>
        <w:t>第二部分  预算表格</w:t>
      </w:r>
    </w:p>
    <w:p>
      <w:pPr>
        <w:ind w:leftChars="100" w:left="320" w:firstLineChars="100" w:firstLine="320"/>
      </w:pPr>
      <w:r>
        <w:t>一、收支</w:t>
      </w:r>
      <w:r>
        <w:rPr>
          <w:rFonts w:hint="eastAsia"/>
          <w:lang w:eastAsia="zh-CN"/>
        </w:rPr>
        <w:t>预算</w:t>
      </w:r>
      <w:r>
        <w:rPr>
          <w:rFonts w:hint="eastAsia"/>
        </w:rPr>
        <w:t>总</w:t>
      </w:r>
      <w:r>
        <w:t>表</w:t>
      </w:r>
    </w:p>
    <w:p>
      <w:pPr>
        <w:ind w:leftChars="100" w:left="320" w:firstLineChars="100" w:firstLine="320"/>
      </w:pPr>
      <w:r>
        <w:t>二、收入</w:t>
      </w:r>
      <w:r>
        <w:rPr>
          <w:rFonts w:hint="eastAsia"/>
          <w:lang w:eastAsia="zh-CN"/>
        </w:rPr>
        <w:t>预算</w:t>
      </w:r>
      <w:r>
        <w:rPr>
          <w:rFonts w:hint="eastAsia"/>
        </w:rPr>
        <w:t>总</w:t>
      </w:r>
      <w:r>
        <w:t>表</w:t>
      </w:r>
    </w:p>
    <w:p>
      <w:pPr>
        <w:ind w:leftChars="100" w:left="320" w:firstLineChars="100" w:firstLine="320"/>
      </w:pPr>
      <w:r>
        <w:t>三、支出</w:t>
      </w:r>
      <w:r>
        <w:rPr>
          <w:rFonts w:hint="eastAsia"/>
          <w:lang w:eastAsia="zh-CN"/>
        </w:rPr>
        <w:t>预算</w:t>
      </w:r>
      <w:r>
        <w:rPr>
          <w:rFonts w:hint="eastAsia"/>
        </w:rPr>
        <w:t>总</w:t>
      </w:r>
      <w:r>
        <w:t>表</w:t>
      </w:r>
    </w:p>
    <w:p>
      <w:pPr>
        <w:ind w:leftChars="100" w:left="320" w:firstLineChars="100" w:firstLine="320"/>
      </w:pPr>
      <w:r>
        <w:t>四、财政拨款收支</w:t>
      </w:r>
      <w:r>
        <w:rPr>
          <w:rFonts w:hint="eastAsia"/>
          <w:lang w:eastAsia="zh-CN"/>
        </w:rPr>
        <w:t>预算</w:t>
      </w:r>
      <w:r>
        <w:rPr>
          <w:rFonts w:hint="eastAsia"/>
        </w:rPr>
        <w:t>总</w:t>
      </w:r>
      <w:r>
        <w:t>表</w:t>
      </w:r>
    </w:p>
    <w:p>
      <w:pPr>
        <w:ind w:leftChars="100" w:left="320" w:firstLineChars="100" w:firstLine="320"/>
        <w:rPr>
          <w:rFonts w:hint="eastAsia"/>
        </w:rPr>
      </w:pPr>
      <w:r>
        <w:t>五、</w:t>
      </w:r>
      <w:r>
        <w:rPr>
          <w:rFonts w:hint="eastAsia"/>
        </w:rPr>
        <w:t>一般公共预算支出</w:t>
      </w:r>
      <w:r>
        <w:rPr>
          <w:rFonts w:hint="eastAsia"/>
          <w:lang w:eastAsia="zh-CN"/>
        </w:rPr>
        <w:t>预算</w:t>
      </w:r>
      <w:r>
        <w:rPr>
          <w:rFonts w:hint="eastAsia"/>
        </w:rPr>
        <w:t>表</w:t>
      </w:r>
    </w:p>
    <w:p>
      <w:pPr>
        <w:ind w:leftChars="100" w:left="320" w:firstLineChars="100" w:firstLine="320"/>
        <w:rPr>
          <w:rFonts w:hint="eastAsia"/>
        </w:rPr>
      </w:pPr>
      <w:r>
        <w:t>六、</w:t>
      </w:r>
      <w:r>
        <w:rPr>
          <w:rFonts w:hint="eastAsia"/>
        </w:rPr>
        <w:t>一般公共预算基本支出</w:t>
      </w:r>
      <w:r>
        <w:rPr>
          <w:rFonts w:hint="eastAsia"/>
          <w:lang w:eastAsia="zh-CN"/>
        </w:rPr>
        <w:t>预算</w:t>
      </w:r>
      <w:r>
        <w:rPr>
          <w:rFonts w:hint="eastAsia"/>
        </w:rPr>
        <w:t>表</w:t>
      </w:r>
    </w:p>
    <w:p>
      <w:pPr>
        <w:ind w:leftChars="100" w:left="320" w:firstLineChars="100" w:firstLine="320"/>
      </w:pPr>
      <w:r>
        <w:t>七、一般公共预算“三公”经费支出</w:t>
      </w:r>
      <w:r>
        <w:rPr>
          <w:rFonts w:hint="eastAsia"/>
          <w:lang w:eastAsia="zh-CN"/>
        </w:rPr>
        <w:t>预算</w:t>
      </w:r>
      <w:r>
        <w:t>表</w:t>
      </w:r>
    </w:p>
    <w:p>
      <w:pPr>
        <w:ind w:leftChars="100" w:left="320" w:firstLineChars="100" w:firstLine="320"/>
      </w:pPr>
      <w:r>
        <w:t>八、政府性基金预算支出</w:t>
      </w:r>
      <w:r>
        <w:rPr>
          <w:rFonts w:hint="eastAsia"/>
          <w:lang w:eastAsia="zh-CN"/>
        </w:rPr>
        <w:t>预算</w:t>
      </w:r>
      <w:r>
        <w:t>表</w:t>
      </w:r>
    </w:p>
    <w:p>
      <w:pPr>
        <w:ind w:leftChars="100" w:left="320" w:firstLineChars="100" w:firstLine="320"/>
      </w:pPr>
      <w:r>
        <w:rPr>
          <w:rFonts w:hint="eastAsia"/>
        </w:rPr>
        <w:t>九、国有资本经营</w:t>
      </w:r>
      <w:r>
        <w:t>预算支出</w:t>
      </w:r>
      <w:r>
        <w:rPr>
          <w:rFonts w:hint="eastAsia"/>
          <w:lang w:eastAsia="zh-CN"/>
        </w:rPr>
        <w:t>预算</w:t>
      </w:r>
      <w:r>
        <w:t>表</w:t>
      </w:r>
    </w:p>
    <w:p>
      <w:pPr>
        <w:ind w:leftChars="100" w:left="320" w:firstLineChars="100" w:firstLine="32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Chars="100" w:left="320" w:firstLineChars="100" w:firstLine="320"/>
        <w:rPr>
          <w:rFonts w:eastAsia="仿宋_GB2312" w:hint="eastAsia"/>
          <w:lang w:eastAsia="zh-CN"/>
        </w:rPr>
      </w:pPr>
      <w:r>
        <w:rPr>
          <w:rFonts w:hint="eastAsia"/>
          <w:lang w:eastAsia="zh-CN"/>
        </w:rPr>
        <w:t>十一、财政拨款委托业务费支出预算表</w:t>
      </w:r>
    </w:p>
    <w:p>
      <w:pPr>
        <w:ind w:firstLineChars="200" w:firstLine="64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Chars="200" w:firstLine="640"/>
        <w:jc w:val="center"/>
        <w:rPr>
          <w:rFonts w:eastAsia="黑体"/>
        </w:rPr>
      </w:pPr>
      <w:r>
        <w:rPr>
          <w:rFonts w:eastAsia="黑体"/>
        </w:rPr>
        <w:t>第一部分 单位概况</w:t>
      </w:r>
    </w:p>
    <w:p>
      <w:pPr>
        <w:ind w:firstLineChars="200" w:firstLine="640"/>
        <w:rPr>
          <w:rFonts w:eastAsia="楷体_GB2312"/>
        </w:rPr>
      </w:pPr>
    </w:p>
    <w:p>
      <w:pPr>
        <w:ind w:firstLineChars="200" w:firstLine="640"/>
        <w:rPr>
          <w:rFonts w:eastAsia="楷体_GB2312"/>
        </w:rPr>
      </w:pPr>
      <w:r>
        <w:rPr>
          <w:rFonts w:eastAsia="楷体_GB2312"/>
        </w:rPr>
        <w:t>一、主要职能</w:t>
      </w:r>
    </w:p>
    <w:p>
      <w:pPr>
        <w:ind w:firstLineChars="200" w:firstLine="640"/>
        <w:rPr>
          <w:rFonts w:ascii="仿宋_GB2312" w:hint="eastAsia"/>
          <w:color w:val="000000"/>
          <w:szCs w:val="32"/>
        </w:rPr>
      </w:pPr>
      <w:r>
        <w:rPr>
          <w:rFonts w:ascii="仿宋_GB2312" w:hint="eastAsia"/>
          <w:color w:val="000000"/>
          <w:szCs w:val="32"/>
        </w:rPr>
        <w:t>(一)按照行业行政主管部门部署，开展人口、经济等常规性普查及专项普查。</w:t>
      </w:r>
    </w:p>
    <w:p>
      <w:pPr>
        <w:ind w:firstLineChars="200" w:firstLine="640"/>
        <w:rPr>
          <w:rFonts w:ascii="仿宋_GB2312" w:hint="eastAsia"/>
          <w:color w:val="000000"/>
          <w:szCs w:val="32"/>
        </w:rPr>
      </w:pPr>
      <w:r>
        <w:rPr>
          <w:rFonts w:ascii="仿宋_GB2312" w:hint="eastAsia"/>
          <w:color w:val="000000"/>
          <w:szCs w:val="32"/>
        </w:rPr>
        <w:t>(二)负责全市基本单位名录库、统计地理信息系统的建设、运行和维护，为政府决策提供依据。</w:t>
      </w:r>
    </w:p>
    <w:p>
      <w:pPr>
        <w:ind w:firstLineChars="200" w:firstLine="640"/>
      </w:pPr>
      <w:r>
        <w:rPr>
          <w:rFonts w:eastAsia="楷体_GB2312"/>
        </w:rPr>
        <w:t>二、机构设置</w:t>
      </w:r>
    </w:p>
    <w:p>
      <w:pPr>
        <w:pStyle w:val="35"/>
        <w:ind w:firstLineChars="200" w:firstLine="640"/>
        <w:rPr>
          <w:rFonts w:ascii="仿宋_GB2312" w:eastAsia="仿宋_GB2312"/>
          <w:color w:val="000000"/>
        </w:rPr>
      </w:pPr>
      <w:r>
        <w:rPr>
          <w:rFonts w:eastAsia="仿宋_GB2312"/>
        </w:rPr>
        <w:t>根据上述职责，</w:t>
      </w:r>
      <w:r>
        <w:rPr>
          <w:rFonts w:ascii="仿宋_GB2312" w:eastAsia="仿宋_GB2312" w:hint="eastAsia"/>
          <w:color w:val="000000"/>
        </w:rPr>
        <w:t>长春市统计局普查中心设2个内设机构和9个派出机构；派出机构为长春市统计局普查中心朝阳分中心、长春市统计局普查中心南关分中心、长春市统计局普查中心二道分中心、长春市统计局普查中心绿园分中心、长春市统计局普查中心宽城分中心、长春市统计局普查中心双阳分中心、长春市统计局普查中心农安分中心、长春市统计局普查中心德惠分中心、长春市统计局普查中心榆树分中心。内设机构职责根据本单位主要职责自行分解，内设机构名称报机构编制部门备案。</w:t>
      </w:r>
    </w:p>
    <w:p>
      <w:pPr>
        <w:pStyle w:val="35"/>
        <w:ind w:firstLineChars="200" w:firstLine="640"/>
        <w:rPr>
          <w:rFonts w:ascii="仿宋_GB2312" w:eastAsia="仿宋_GB2312" w:hint="eastAsia"/>
          <w:color w:val="000000"/>
        </w:rPr>
      </w:pPr>
      <w:r>
        <w:rPr>
          <w:rFonts w:ascii="仿宋_GB2312" w:eastAsia="仿宋_GB2312" w:hint="eastAsia"/>
          <w:color w:val="000000"/>
        </w:rPr>
        <w:t>本单位无下设预算单位。</w:t>
      </w:r>
    </w:p>
    <w:p>
      <w:pPr>
        <w:pStyle w:val="35"/>
        <w:ind w:firstLineChars="200" w:firstLine="640"/>
        <w:rPr>
          <w:rFonts w:eastAsia="楷体"/>
        </w:rPr>
      </w:pPr>
    </w:p>
    <w:p>
      <w:pPr>
        <w:pStyle w:val="35"/>
        <w:ind w:firstLineChars="200" w:firstLine="640"/>
        <w:rPr>
          <w:rFonts w:eastAsia="楷体"/>
        </w:rPr>
      </w:pPr>
    </w:p>
    <w:p>
      <w:pPr>
        <w:pStyle w:val="35"/>
        <w:ind w:firstLineChars="200" w:firstLine="640"/>
        <w:rPr>
          <w:rFonts w:eastAsia="楷体"/>
        </w:rPr>
      </w:pPr>
    </w:p>
    <w:p>
      <w:pPr>
        <w:pStyle w:val="35"/>
        <w:ind w:firstLineChars="200" w:firstLine="640"/>
        <w:rPr>
          <w:rFonts w:eastAsia="楷体"/>
        </w:rPr>
      </w:pPr>
    </w:p>
    <w:p>
      <w:pPr>
        <w:pStyle w:val="35"/>
        <w:ind w:firstLineChars="200" w:firstLine="640"/>
        <w:rPr>
          <w:rFonts w:eastAsia="楷体"/>
        </w:rPr>
      </w:pPr>
    </w:p>
    <w:p>
      <w:pPr>
        <w:pStyle w:val="35"/>
        <w:ind w:firstLineChars="200" w:firstLine="640"/>
        <w:rPr>
          <w:rFonts w:eastAsia="黑体"/>
        </w:rPr>
      </w:pPr>
      <w:r>
        <w:rPr>
          <w:rFonts w:eastAsia="楷体" w:hint="eastAsia"/>
        </w:rPr>
        <w:br w:type="page"/>
      </w:r>
    </w:p>
    <w:p>
      <w:pPr>
        <w:jc w:val="center"/>
        <w:rPr>
          <w:rFonts w:eastAsia="黑体"/>
        </w:rPr>
      </w:pPr>
      <w:r>
        <w:rPr>
          <w:rFonts w:eastAsia="黑体"/>
        </w:rPr>
        <w:t>第二部分 预算表格</w:t>
      </w:r>
    </w:p>
    <w:tbl>
      <w:tblPr>
        <w:tblpPr w:leftFromText="180" w:rightFromText="180" w:vertAnchor="text" w:horzAnchor="page" w:tblpX="1126" w:tblpY="698"/>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rPr>
          <w:trHeight w:val="525"/>
        </w:trPr>
        <w:tc>
          <w:tcPr>
            <w:tcW w:w="9908" w:type="dxa"/>
            <w:gridSpan w:val="10"/>
            <w:tcBorders>
              <w:top w:val="nil"/>
              <w:left w:val="nil"/>
              <w:bottom w:val="nil"/>
              <w:right w:val="nil"/>
            </w:tcBorders>
            <w:noWrap/>
            <w:vAlign w:val="center"/>
          </w:tcPr>
          <w:p>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c>
      </w:tr>
      <w:tr>
        <w:trPr>
          <w:trHeight w:val="315"/>
        </w:trPr>
        <w:tc>
          <w:tcPr>
            <w:tcW w:w="3870" w:type="dxa"/>
            <w:gridSpan w:val="3"/>
            <w:tcBorders>
              <w:top w:val="nil"/>
              <w:left w:val="nil"/>
              <w:bottom w:val="nil"/>
              <w:right w:val="nil"/>
            </w:tcBorders>
            <w:noWrap/>
            <w:vAlign w:val="center"/>
          </w:tcPr>
          <w:p>
            <w:pPr>
              <w:widowControl/>
              <w:jc w:val="center"/>
              <w:rPr>
                <w:rFonts w:eastAsia="宋体"/>
                <w:kern w:val="0"/>
                <w:sz w:val="20"/>
              </w:rPr>
            </w:pPr>
          </w:p>
        </w:tc>
        <w:tc>
          <w:tcPr>
            <w:tcW w:w="1200" w:type="dxa"/>
            <w:gridSpan w:val="2"/>
            <w:tcBorders>
              <w:top w:val="nil"/>
              <w:left w:val="nil"/>
              <w:bottom w:val="nil"/>
              <w:right w:val="nil"/>
            </w:tcBorders>
            <w:noWrap/>
            <w:vAlign w:val="center"/>
          </w:tcPr>
          <w:p>
            <w:pPr>
              <w:widowControl/>
              <w:jc w:val="center"/>
              <w:rPr>
                <w:rFonts w:eastAsia="宋体"/>
                <w:kern w:val="0"/>
                <w:sz w:val="20"/>
              </w:rPr>
            </w:pPr>
          </w:p>
        </w:tc>
        <w:tc>
          <w:tcPr>
            <w:tcW w:w="2498" w:type="dxa"/>
            <w:gridSpan w:val="2"/>
            <w:tcBorders>
              <w:top w:val="nil"/>
              <w:left w:val="nil"/>
              <w:bottom w:val="nil"/>
              <w:right w:val="nil"/>
            </w:tcBorders>
            <w:noWrap/>
            <w:vAlign w:val="center"/>
          </w:tcPr>
          <w:p>
            <w:pPr>
              <w:widowControl/>
              <w:jc w:val="center"/>
              <w:rPr>
                <w:rFonts w:eastAsia="宋体"/>
                <w:kern w:val="0"/>
                <w:sz w:val="20"/>
              </w:rPr>
            </w:pPr>
          </w:p>
        </w:tc>
        <w:tc>
          <w:tcPr>
            <w:tcW w:w="2340" w:type="dxa"/>
            <w:gridSpan w:val="3"/>
            <w:tcBorders>
              <w:top w:val="nil"/>
              <w:left w:val="nil"/>
              <w:bottom w:val="nil"/>
              <w:right w:val="nil"/>
            </w:tcBorders>
            <w:noWrap/>
            <w:vAlign w:val="bottom"/>
          </w:tcPr>
          <w:p>
            <w:pPr>
              <w:widowControl/>
              <w:jc w:val="right"/>
              <w:rPr>
                <w:rFonts w:eastAsia="宋体"/>
                <w:kern w:val="0"/>
                <w:sz w:val="20"/>
              </w:rPr>
            </w:pPr>
            <w:r>
              <w:rPr>
                <w:rFonts w:eastAsia="宋体" w:hint="eastAsia"/>
                <w:kern w:val="0"/>
                <w:sz w:val="20"/>
                <w:lang w:val="en-US" w:eastAsia="zh-CN"/>
              </w:rPr>
              <w:t xml:space="preserve">            </w:t>
            </w:r>
            <w:r>
              <w:rPr>
                <w:rFonts w:eastAsia="宋体"/>
                <w:kern w:val="0"/>
                <w:sz w:val="20"/>
              </w:rPr>
              <w:t>单位：万元</w:t>
            </w:r>
          </w:p>
        </w:tc>
      </w:tr>
      <w:tr>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sz="4" w:space="0" w:color="auto"/>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rPr>
              <w:t xml:space="preserve">支 </w:t>
            </w:r>
            <w:r>
              <w:rPr>
                <w:rFonts w:eastAsia="宋体"/>
                <w:kern w:val="0"/>
                <w:sz w:val="20"/>
              </w:rPr>
              <w:t xml:space="preserve">       </w:t>
            </w:r>
            <w:r>
              <w:rPr>
                <w:rFonts w:eastAsia="宋体" w:hint="eastAsia"/>
                <w:kern w:val="0"/>
                <w:sz w:val="20"/>
              </w:rPr>
              <w:t>出</w:t>
            </w:r>
          </w:p>
        </w:tc>
      </w:tr>
      <w:tr>
        <w:trPr>
          <w:trHeight w:val="435"/>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本年</w:t>
            </w:r>
            <w:r>
              <w:rPr>
                <w:rFonts w:eastAsia="宋体" w:hint="eastAsia"/>
                <w:kern w:val="0"/>
                <w:sz w:val="20"/>
                <w:lang w:val="en-US" w:eastAsia="zh-CN"/>
              </w:rPr>
              <w:t xml:space="preserve">    </w:t>
            </w:r>
            <w:r>
              <w:rPr>
                <w:rFonts w:eastAsia="宋体" w:hint="eastAsia"/>
                <w:kern w:val="0"/>
                <w:sz w:val="20"/>
              </w:rPr>
              <w:t>预算</w:t>
            </w:r>
          </w:p>
        </w:tc>
        <w:tc>
          <w:tcPr>
            <w:tcW w:w="1134"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c>
          <w:tcPr>
            <w:tcW w:w="1342"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预算数</w:t>
            </w:r>
          </w:p>
        </w:tc>
        <w:tc>
          <w:tcPr>
            <w:tcW w:w="1173" w:type="dxa"/>
            <w:tcBorders>
              <w:top w:val="nil"/>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lang w:eastAsia="zh-CN"/>
              </w:rPr>
              <w:t>本</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一、一般公共服务支出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1140.64</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color w:val="000000"/>
                <w:kern w:val="0"/>
                <w:sz w:val="20"/>
              </w:rPr>
              <w:t>1140.64</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一般公共预算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kern w:val="0"/>
                <w:sz w:val="20"/>
              </w:rPr>
              <w:t>1605.76</w:t>
            </w: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autoSpaceDN w:val="0"/>
              <w:jc w:val="center"/>
              <w:textAlignment w:val="center"/>
              <w:rPr>
                <w:rFonts w:eastAsia="宋体"/>
                <w:color w:val="000000"/>
                <w:kern w:val="0"/>
                <w:sz w:val="20"/>
              </w:rPr>
            </w:pPr>
            <w:r>
              <w:rPr>
                <w:rFonts w:ascii="宋体" w:eastAsia="宋体" w:cs="宋体" w:hint="eastAsia"/>
                <w:color w:val="000000"/>
                <w:sz w:val="20"/>
                <w:lang w:bidi="ar-SA"/>
              </w:rPr>
              <w:t>二、社会保障和就业支出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247.77</w:t>
            </w:r>
          </w:p>
        </w:tc>
        <w:tc>
          <w:tcPr>
            <w:tcW w:w="1182" w:type="dxa"/>
            <w:gridSpan w:val="2"/>
            <w:tcBorders>
              <w:top w:val="nil"/>
              <w:left w:val="nil"/>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247.77</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政府性基金预算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三、卫生健康支出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89.15</w:t>
            </w:r>
          </w:p>
        </w:tc>
        <w:tc>
          <w:tcPr>
            <w:tcW w:w="1182" w:type="dxa"/>
            <w:gridSpan w:val="2"/>
            <w:tcBorders>
              <w:top w:val="nil"/>
              <w:left w:val="nil"/>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89.15</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128.20</w:t>
            </w:r>
          </w:p>
        </w:tc>
        <w:tc>
          <w:tcPr>
            <w:tcW w:w="1182" w:type="dxa"/>
            <w:gridSpan w:val="2"/>
            <w:tcBorders>
              <w:top w:val="nil"/>
              <w:left w:val="nil"/>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128.20</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pPr>
              <w:jc w:val="center"/>
              <w:rPr>
                <w:rFonts w:eastAsia="宋体" w:hint="eastAsia"/>
                <w:sz w:val="20"/>
              </w:rPr>
            </w:pPr>
            <w:r>
              <w:rPr>
                <w:rFonts w:eastAsia="宋体" w:hint="eastAsia"/>
                <w:sz w:val="20"/>
              </w:rPr>
              <w:t>二、财政专户管理</w:t>
            </w:r>
            <w:r>
              <w:rPr>
                <w:rFonts w:eastAsia="宋体" w:hint="eastAsia"/>
                <w:sz w:val="20"/>
                <w:lang w:val="en-US" w:eastAsia="zh-CN"/>
              </w:rPr>
              <w:t xml:space="preserve">  </w:t>
            </w:r>
            <w:r>
              <w:rPr>
                <w:rFonts w:eastAsia="宋体" w:hint="eastAsia"/>
                <w:sz w:val="20"/>
              </w:rPr>
              <w:t>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pPr>
              <w:jc w:val="center"/>
              <w:rPr>
                <w:rFonts w:eastAsia="宋体" w:hint="eastAsia"/>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both"/>
              <w:rPr>
                <w:rFonts w:eastAsia="宋体" w:hint="eastAsia"/>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pPr>
              <w:jc w:val="center"/>
              <w:rPr>
                <w:rFonts w:eastAsia="宋体" w:hint="eastAsia"/>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hint="eastAsia"/>
                <w:sz w:val="20"/>
              </w:rPr>
            </w:pPr>
          </w:p>
        </w:tc>
        <w:tc>
          <w:tcPr>
            <w:tcW w:w="134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56"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hint="eastAsia"/>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本年收入</w:t>
            </w:r>
            <w:r>
              <w:rPr>
                <w:rFonts w:eastAsia="宋体" w:hint="eastAsia"/>
                <w:b/>
                <w:bCs/>
                <w:kern w:val="0"/>
                <w:sz w:val="20"/>
                <w:lang w:val="en-US" w:eastAsia="zh-CN"/>
              </w:rPr>
              <w:t xml:space="preserve">         </w:t>
            </w:r>
            <w:r>
              <w:rPr>
                <w:rFonts w:eastAsia="宋体"/>
                <w:b/>
                <w:bCs/>
                <w:kern w:val="0"/>
                <w:sz w:val="20"/>
              </w:rPr>
              <w:t>合计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本年支出</w:t>
            </w:r>
            <w:r>
              <w:rPr>
                <w:rFonts w:eastAsia="宋体" w:hint="eastAsia"/>
                <w:b/>
                <w:bCs/>
                <w:kern w:val="0"/>
                <w:sz w:val="20"/>
                <w:lang w:val="en-US" w:eastAsia="zh-CN"/>
              </w:rPr>
              <w:t xml:space="preserve">  </w:t>
            </w:r>
            <w:r>
              <w:rPr>
                <w:rFonts w:eastAsia="宋体"/>
                <w:b/>
                <w:bCs/>
                <w:kern w:val="0"/>
                <w:sz w:val="20"/>
              </w:rPr>
              <w:t>合计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结转下年</w:t>
            </w:r>
            <w:r>
              <w:rPr>
                <w:rFonts w:eastAsia="宋体" w:hint="eastAsia"/>
                <w:kern w:val="0"/>
                <w:sz w:val="20"/>
                <w:lang w:val="en-US" w:eastAsia="zh-CN"/>
              </w:rPr>
              <w:t xml:space="preserve">  </w:t>
            </w:r>
            <w:r>
              <w:rPr>
                <w:rFonts w:eastAsia="宋体" w:hint="eastAsia"/>
                <w:kern w:val="0"/>
                <w:sz w:val="20"/>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lang w:eastAsia="zh-CN"/>
              </w:rPr>
              <w:t>非财政拨款</w:t>
            </w:r>
            <w:r>
              <w:rPr>
                <w:rFonts w:eastAsia="宋体" w:hint="eastAsia"/>
                <w:sz w:val="20"/>
                <w:lang w:val="en-US" w:eastAsia="zh-CN"/>
              </w:rPr>
              <w:t xml:space="preserve">      </w:t>
            </w:r>
            <w:r>
              <w:rPr>
                <w:rFonts w:eastAsia="宋体" w:hint="eastAsia"/>
                <w:sz w:val="20"/>
              </w:rPr>
              <w:t>结转结余</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1605.76</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bl>
    <w:p>
      <w:pPr>
        <w:ind w:firstLineChars="200" w:firstLine="640"/>
        <w:rPr>
          <w:rFonts w:eastAsia="楷体_GB2312"/>
          <w:strike/>
          <w:dstrike w:val="0"/>
        </w:rPr>
      </w:pPr>
    </w:p>
    <w:p>
      <w:pPr>
        <w:ind w:firstLineChars="200" w:firstLine="640"/>
        <w:rPr>
          <w:rFonts w:eastAsia="楷体_GB2312"/>
        </w:rPr>
      </w:pPr>
    </w:p>
    <w:p>
      <w:pPr>
        <w:rPr>
          <w:rFonts w:eastAsia="楷体"/>
        </w:rPr>
      </w:pPr>
    </w:p>
    <w:p>
      <w:pPr>
        <w:jc w:val="center"/>
        <w:rPr>
          <w:rFonts w:eastAsia="方正小标宋简体"/>
          <w:sz w:val="44"/>
        </w:rPr>
      </w:pPr>
      <w:r>
        <w:rPr>
          <w:rFonts w:eastAsia="楷体"/>
        </w:rPr>
        <w:br w:type="page"/>
      </w:r>
      <w:r>
        <w:rPr>
          <w:rFonts w:eastAsia="方正小标宋简体"/>
          <w:sz w:val="44"/>
        </w:rPr>
        <w:t>收入</w:t>
      </w:r>
      <w:r>
        <w:rPr>
          <w:rFonts w:eastAsia="方正小标宋简体" w:hint="eastAsia"/>
          <w:sz w:val="44"/>
          <w:lang w:eastAsia="zh-CN"/>
        </w:rPr>
        <w:t>预算</w:t>
      </w:r>
      <w:r>
        <w:rPr>
          <w:rFonts w:eastAsia="方正小标宋简体" w:hint="eastAsia"/>
          <w:sz w:val="44"/>
        </w:rPr>
        <w:t>总</w:t>
      </w:r>
      <w:r>
        <w:rPr>
          <w:rFonts w:eastAsia="方正小标宋简体"/>
          <w:sz w:val="44"/>
        </w:rPr>
        <w:t>表</w:t>
      </w:r>
    </w:p>
    <w:tbl>
      <w:tblPr>
        <w:jc w:val="center"/>
        <w:tblW w:w="1048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58"/>
        <w:gridCol w:w="901"/>
        <w:gridCol w:w="937"/>
        <w:gridCol w:w="899"/>
        <w:gridCol w:w="337"/>
        <w:gridCol w:w="412"/>
        <w:gridCol w:w="375"/>
        <w:gridCol w:w="356"/>
        <w:gridCol w:w="501"/>
        <w:gridCol w:w="487"/>
        <w:gridCol w:w="488"/>
        <w:gridCol w:w="488"/>
        <w:gridCol w:w="486"/>
        <w:gridCol w:w="556"/>
        <w:gridCol w:w="492"/>
        <w:gridCol w:w="0"/>
        <w:gridCol w:w="504"/>
        <w:gridCol w:w="487"/>
        <w:gridCol w:w="520"/>
      </w:tblGrid>
      <w:tr>
        <w:trPr>
          <w:trHeight w:val="335"/>
        </w:trPr>
        <w:tc>
          <w:tcPr>
            <w:tcW w:w="1258" w:type="dxa"/>
            <w:tcBorders>
              <w:bottom w:val="single" w:sz="4" w:space="0" w:color="000000"/>
            </w:tcBorders>
            <w:noWrap/>
          </w:tcPr>
          <w:p>
            <w:pPr>
              <w:autoSpaceDN w:val="0"/>
              <w:jc w:val="left"/>
              <w:textAlignment w:val="center"/>
              <w:rPr>
                <w:rFonts w:eastAsia="华文细黑"/>
                <w:color w:val="000000"/>
                <w:sz w:val="20"/>
              </w:rPr>
            </w:pPr>
          </w:p>
        </w:tc>
        <w:tc>
          <w:tcPr>
            <w:tcW w:w="4718" w:type="dxa"/>
            <w:gridSpan w:val="8"/>
            <w:tcBorders>
              <w:bottom w:val="single" w:sz="4" w:space="0" w:color="000000"/>
            </w:tcBorders>
            <w:noWrap/>
            <w:vAlign w:val="center"/>
          </w:tcPr>
          <w:p>
            <w:pPr>
              <w:autoSpaceDN w:val="0"/>
              <w:jc w:val="left"/>
              <w:textAlignment w:val="center"/>
              <w:rPr>
                <w:rFonts w:eastAsia="华文细黑"/>
                <w:color w:val="000000"/>
                <w:sz w:val="20"/>
              </w:rPr>
            </w:pPr>
          </w:p>
        </w:tc>
        <w:tc>
          <w:tcPr>
            <w:tcW w:w="1462" w:type="dxa"/>
            <w:gridSpan w:val="3"/>
            <w:noWrap/>
            <w:vAlign w:val="center"/>
          </w:tcPr>
          <w:p>
            <w:pPr>
              <w:autoSpaceDN w:val="0"/>
              <w:jc w:val="left"/>
              <w:textAlignment w:val="center"/>
              <w:rPr>
                <w:rFonts w:eastAsia="华文细黑"/>
                <w:color w:val="000000"/>
                <w:sz w:val="20"/>
              </w:rPr>
            </w:pPr>
          </w:p>
        </w:tc>
        <w:tc>
          <w:tcPr>
            <w:tcW w:w="486" w:type="dxa"/>
            <w:noWrap/>
            <w:vAlign w:val="center"/>
          </w:tcPr>
          <w:p>
            <w:pPr>
              <w:autoSpaceDN w:val="0"/>
              <w:jc w:val="left"/>
              <w:textAlignment w:val="center"/>
              <w:rPr>
                <w:rFonts w:eastAsia="华文细黑"/>
                <w:color w:val="000000"/>
                <w:sz w:val="20"/>
              </w:rPr>
            </w:pPr>
          </w:p>
        </w:tc>
        <w:tc>
          <w:tcPr>
            <w:tcW w:w="556" w:type="dxa"/>
            <w:noWrap/>
            <w:vAlign w:val="center"/>
          </w:tcPr>
          <w:p>
            <w:pPr>
              <w:autoSpaceDN w:val="0"/>
              <w:jc w:val="left"/>
              <w:textAlignment w:val="center"/>
              <w:rPr>
                <w:rFonts w:eastAsia="华文细黑"/>
                <w:color w:val="000000"/>
                <w:sz w:val="20"/>
              </w:rPr>
            </w:pPr>
          </w:p>
        </w:tc>
        <w:tc>
          <w:tcPr>
            <w:tcW w:w="492" w:type="dxa"/>
            <w:gridSpan w:val="2"/>
            <w:noWrap/>
            <w:vAlign w:val="bottom"/>
          </w:tcPr>
          <w:p>
            <w:pPr>
              <w:autoSpaceDN w:val="0"/>
              <w:jc w:val="right"/>
              <w:textAlignment w:val="bottom"/>
              <w:rPr>
                <w:rFonts w:eastAsia="宋体"/>
                <w:color w:val="000000"/>
                <w:sz w:val="20"/>
              </w:rPr>
            </w:pPr>
          </w:p>
        </w:tc>
        <w:tc>
          <w:tcPr>
            <w:tcW w:w="1510" w:type="dxa"/>
            <w:gridSpan w:val="3"/>
            <w:noWrap/>
            <w:vAlign w:val="bottom"/>
          </w:tcPr>
          <w:p>
            <w:pPr>
              <w:wordWrap/>
              <w:autoSpaceDN w:val="0"/>
              <w:jc w:val="right"/>
              <w:textAlignment w:val="center"/>
              <w:rPr>
                <w:rFonts w:eastAsia="宋体"/>
                <w:color w:val="000000"/>
                <w:sz w:val="20"/>
              </w:rPr>
            </w:pPr>
            <w:r>
              <w:rPr>
                <w:rFonts w:eastAsia="宋体"/>
                <w:color w:val="000000"/>
                <w:sz w:val="20"/>
              </w:rPr>
              <w:t>单位：万元</w:t>
            </w:r>
          </w:p>
        </w:tc>
      </w:tr>
      <w:tr>
        <w:trPr>
          <w:trHeight w:val="517"/>
        </w:trPr>
        <w:tc>
          <w:tcPr>
            <w:tcW w:w="1258" w:type="dxa"/>
            <w:vMerge w:val="restart"/>
            <w:tcBorders>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部门（单位）</w:t>
            </w:r>
          </w:p>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名称</w:t>
            </w:r>
          </w:p>
        </w:tc>
        <w:tc>
          <w:tcPr>
            <w:tcW w:w="901" w:type="dxa"/>
            <w:vMerge w:val="restart"/>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总计</w:t>
            </w:r>
          </w:p>
        </w:tc>
        <w:tc>
          <w:tcPr>
            <w:tcW w:w="5278" w:type="dxa"/>
            <w:gridSpan w:val="10"/>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本年收入</w:t>
            </w:r>
          </w:p>
        </w:tc>
        <w:tc>
          <w:tcPr>
            <w:tcW w:w="3043" w:type="dxa"/>
            <w:gridSpan w:val="7"/>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上年结转结余</w:t>
            </w:r>
          </w:p>
        </w:tc>
      </w:tr>
      <w:tr>
        <w:trPr>
          <w:trHeight w:val="517"/>
        </w:trPr>
        <w:tc>
          <w:tcPr>
            <w:tcW w:w="1258" w:type="dxa"/>
            <w:vMerge/>
            <w:tcBorders>
              <w:left w:val="single" w:sz="4" w:space="0" w:color="000000"/>
              <w:right w:val="single" w:sz="4" w:space="0" w:color="000000"/>
            </w:tcBorders>
            <w:noWrap/>
            <w:vAlign w:val="center"/>
          </w:tcPr>
          <w:p/>
        </w:tc>
        <w:tc>
          <w:tcPr>
            <w:tcW w:w="718" w:type="dxa"/>
            <w:vMerge/>
            <w:tcBorders>
              <w:left w:val="single" w:sz="4" w:space="0" w:color="000000"/>
              <w:right w:val="single" w:sz="4" w:space="0" w:color="000000"/>
            </w:tcBorders>
            <w:noWrap/>
            <w:vAlign w:val="center"/>
          </w:tcPr>
          <w:p/>
        </w:tc>
        <w:tc>
          <w:tcPr>
            <w:tcW w:w="937" w:type="dxa"/>
            <w:vMerge w:val="restart"/>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合计</w:t>
            </w:r>
          </w:p>
        </w:tc>
        <w:tc>
          <w:tcPr>
            <w:tcW w:w="1648" w:type="dxa"/>
            <w:gridSpan w:val="3"/>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财政拨款</w:t>
            </w:r>
          </w:p>
          <w:p>
            <w:pPr>
              <w:widowControl/>
              <w:jc w:val="center"/>
              <w:rPr>
                <w:rFonts w:eastAsia="宋体" w:hint="eastAsia"/>
                <w:color w:val="000000"/>
                <w:sz w:val="21"/>
                <w:szCs w:val="21"/>
                <w:shd w:val="clear" w:color="auto" w:fill="FFFFFF"/>
                <w:lang w:eastAsia="zh-CN"/>
              </w:rPr>
            </w:pPr>
            <w:r>
              <w:rPr>
                <w:rFonts w:eastAsia="宋体" w:hint="eastAsia"/>
                <w:color w:val="000000"/>
                <w:sz w:val="20"/>
                <w:szCs w:val="20"/>
                <w:shd w:val="clear" w:color="auto" w:fill="FFFFFF"/>
                <w:lang w:eastAsia="zh-CN"/>
              </w:rPr>
              <w:t>收入</w:t>
            </w:r>
          </w:p>
        </w:tc>
        <w:tc>
          <w:tcPr>
            <w:tcW w:w="375" w:type="dxa"/>
            <w:vMerge w:val="restart"/>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财政专户管理资金收入</w:t>
            </w:r>
          </w:p>
        </w:tc>
        <w:tc>
          <w:tcPr>
            <w:tcW w:w="2319" w:type="dxa"/>
            <w:gridSpan w:val="5"/>
            <w:tcBorders>
              <w:top w:val="single" w:sz="4" w:space="0" w:color="000000"/>
              <w:left w:val="single" w:sz="4" w:space="0" w:color="auto"/>
              <w:right w:val="single" w:sz="4" w:space="0" w:color="000000"/>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单位资金收入</w:t>
            </w:r>
          </w:p>
        </w:tc>
        <w:tc>
          <w:tcPr>
            <w:tcW w:w="486" w:type="dxa"/>
            <w:vMerge w:val="restart"/>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合计</w:t>
            </w:r>
          </w:p>
        </w:tc>
        <w:tc>
          <w:tcPr>
            <w:tcW w:w="1552" w:type="dxa"/>
            <w:gridSpan w:val="4"/>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财政拨款结转</w:t>
            </w:r>
          </w:p>
        </w:tc>
        <w:tc>
          <w:tcPr>
            <w:tcW w:w="1006" w:type="dxa"/>
            <w:gridSpan w:val="2"/>
            <w:tcBorders>
              <w:top w:val="single" w:sz="4" w:space="0" w:color="000000"/>
              <w:left w:val="single" w:sz="4" w:space="0" w:color="auto"/>
              <w:right w:val="single" w:sz="4" w:space="0" w:color="000000"/>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非财政拨款结转结余</w:t>
            </w:r>
          </w:p>
        </w:tc>
      </w:tr>
      <w:tr>
        <w:trPr>
          <w:trHeight w:val="6089"/>
        </w:trPr>
        <w:tc>
          <w:tcPr>
            <w:tcW w:w="1258"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718"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672"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899"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auto"/>
                <w:lang w:eastAsia="zh-CN"/>
              </w:rPr>
              <w:t>一般公共预算收入</w:t>
            </w:r>
          </w:p>
        </w:tc>
        <w:tc>
          <w:tcPr>
            <w:tcW w:w="337" w:type="dxa"/>
            <w:tcBorders>
              <w:top w:val="single" w:sz="4" w:space="0" w:color="000000"/>
              <w:left w:val="single" w:sz="4" w:space="0" w:color="000000"/>
              <w:bottom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政府性基金预算收入</w:t>
            </w:r>
          </w:p>
        </w:tc>
        <w:tc>
          <w:tcPr>
            <w:tcW w:w="412"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国有资本经营预算收入</w:t>
            </w:r>
          </w:p>
        </w:tc>
        <w:tc>
          <w:tcPr>
            <w:tcW w:w="552" w:type="dxa"/>
            <w:vMerge/>
            <w:tcBorders>
              <w:left w:val="single" w:sz="4" w:space="0" w:color="auto"/>
              <w:bottom w:val="single" w:sz="4" w:space="0" w:color="000000"/>
              <w:right w:val="single" w:sz="4" w:space="0" w:color="auto"/>
            </w:tcBorders>
            <w:shd w:val="solid" w:color="FFFFFF" w:fill="auto"/>
            <w:noWrap/>
            <w:textDirection w:val="tbLrV"/>
            <w:vAlign w:val="center"/>
          </w:tcPr>
          <w:p/>
        </w:tc>
        <w:tc>
          <w:tcPr>
            <w:tcW w:w="356"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事业收入</w:t>
            </w:r>
          </w:p>
        </w:tc>
        <w:tc>
          <w:tcPr>
            <w:tcW w:w="501"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事业单位经营收入</w:t>
            </w:r>
          </w:p>
        </w:tc>
        <w:tc>
          <w:tcPr>
            <w:tcW w:w="487"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上级补助收入</w:t>
            </w:r>
          </w:p>
        </w:tc>
        <w:tc>
          <w:tcPr>
            <w:tcW w:w="488"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附属单位上缴收入</w:t>
            </w:r>
          </w:p>
        </w:tc>
        <w:tc>
          <w:tcPr>
            <w:tcW w:w="488"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其他收入</w:t>
            </w:r>
          </w:p>
        </w:tc>
        <w:tc>
          <w:tcPr>
            <w:tcW w:w="486"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556"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一般公共预算拨款结转</w:t>
            </w:r>
          </w:p>
        </w:tc>
        <w:tc>
          <w:tcPr>
            <w:tcW w:w="492"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left"/>
              <w:rPr>
                <w:rFonts w:eastAsia="宋体" w:hint="eastAsia"/>
                <w:color w:val="000000"/>
                <w:sz w:val="20"/>
                <w:szCs w:val="20"/>
                <w:shd w:val="clear" w:color="auto" w:fill="FFFFFF"/>
                <w:lang w:eastAsia="zh-CN"/>
              </w:rPr>
            </w:pPr>
          </w:p>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政府性基金预算拨款</w:t>
            </w:r>
            <w:r>
              <w:rPr>
                <w:rFonts w:eastAsia="宋体"/>
                <w:color w:val="000000"/>
                <w:sz w:val="20"/>
                <w:szCs w:val="20"/>
                <w:shd w:val="clear" w:color="auto" w:fill="FFFFFF"/>
                <w:lang w:eastAsia="zh-CN"/>
              </w:rPr>
              <w:t>结转</w:t>
            </w:r>
            <w:bookmarkStart w:id="0" w:name="_GoBack"/>
            <w:bookmarkEnd w:id="0"/>
          </w:p>
          <w:p>
            <w:pPr>
              <w:widowControl/>
              <w:ind w:left="113" w:right="113"/>
              <w:jc w:val="center"/>
              <w:rPr>
                <w:rFonts w:eastAsia="宋体" w:hint="eastAsia"/>
                <w:color w:val="000000"/>
                <w:sz w:val="20"/>
                <w:szCs w:val="20"/>
                <w:shd w:val="clear" w:color="auto" w:fill="FFFFFF"/>
                <w:lang w:eastAsia="zh-CN"/>
              </w:rPr>
            </w:pPr>
          </w:p>
        </w:tc>
        <w:tc>
          <w:tcPr>
            <w:tcW w:w="504" w:type="dxa"/>
            <w:gridSpan w:val="2"/>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国有资本经营预算拨款结转</w:t>
            </w:r>
          </w:p>
        </w:tc>
        <w:tc>
          <w:tcPr>
            <w:tcW w:w="487"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财政专户管理资金结转结余</w:t>
            </w:r>
          </w:p>
        </w:tc>
        <w:tc>
          <w:tcPr>
            <w:tcW w:w="52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单位资金结转结余</w:t>
            </w:r>
          </w:p>
        </w:tc>
      </w:tr>
      <w:tr>
        <w:trPr>
          <w:trHeight w:val="517"/>
        </w:trPr>
        <w:tc>
          <w:tcPr>
            <w:tcW w:w="1258"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r>
              <w:rPr>
                <w:rFonts w:eastAsia="宋体"/>
                <w:color w:val="000000"/>
                <w:sz w:val="20"/>
              </w:rPr>
              <w:t>长春市统计局普查中心</w:t>
            </w:r>
          </w:p>
        </w:tc>
        <w:tc>
          <w:tcPr>
            <w:tcW w:w="901"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1605.76</w:t>
            </w:r>
          </w:p>
        </w:tc>
        <w:tc>
          <w:tcPr>
            <w:tcW w:w="9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1605.76</w:t>
            </w:r>
          </w:p>
        </w:tc>
        <w:tc>
          <w:tcPr>
            <w:tcW w:w="89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1605.76</w:t>
            </w:r>
          </w:p>
        </w:tc>
        <w:tc>
          <w:tcPr>
            <w:tcW w:w="337"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1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75"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35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01"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8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5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504"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30"/>
        </w:trPr>
        <w:tc>
          <w:tcPr>
            <w:tcW w:w="1258"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01"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1605.76</w:t>
            </w:r>
          </w:p>
        </w:tc>
        <w:tc>
          <w:tcPr>
            <w:tcW w:w="93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1605.76</w:t>
            </w:r>
          </w:p>
        </w:tc>
        <w:tc>
          <w:tcPr>
            <w:tcW w:w="89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1605.76</w:t>
            </w:r>
          </w:p>
        </w:tc>
        <w:tc>
          <w:tcPr>
            <w:tcW w:w="337"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1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75"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35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01"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8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8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8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5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92"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504"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r>
    </w:tbl>
    <w:p>
      <w:pPr>
        <w:rPr>
          <w:rFonts w:eastAsia="楷体"/>
        </w:rPr>
      </w:pPr>
    </w:p>
    <w:p>
      <w:pPr>
        <w:rPr>
          <w:rFonts w:eastAsia="楷体"/>
        </w:rPr>
      </w:pPr>
    </w:p>
    <w:p>
      <w:pPr>
        <w:ind w:firstLineChars="200" w:firstLine="64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615"/>
        </w:trPr>
        <w:tc>
          <w:tcPr>
            <w:tcW w:w="10405" w:type="dxa"/>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bl>
            <w:tblPr>
              <w:jc w:val="left"/>
              <w:tblInd w:w="445"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502"/>
              <w:gridCol w:w="914"/>
              <w:gridCol w:w="1306"/>
              <w:gridCol w:w="1090"/>
              <w:gridCol w:w="1115"/>
              <w:gridCol w:w="1080"/>
              <w:gridCol w:w="398"/>
              <w:gridCol w:w="1072"/>
              <w:gridCol w:w="225"/>
            </w:tblGrid>
            <w:tr>
              <w:trPr>
                <w:trHeight w:val="636"/>
              </w:trPr>
              <w:tc>
                <w:tcPr>
                  <w:tcW w:w="5812" w:type="dxa"/>
                  <w:gridSpan w:val="4"/>
                  <w:tcBorders>
                    <w:bottom w:val="single" w:sz="4" w:space="0" w:color="000000"/>
                  </w:tcBorders>
                  <w:noWrap/>
                  <w:vAlign w:val="center"/>
                </w:tcPr>
                <w:p>
                  <w:pPr>
                    <w:widowControl/>
                    <w:jc w:val="left"/>
                    <w:rPr>
                      <w:rFonts w:eastAsia="华文细黑"/>
                      <w:color w:val="000000"/>
                      <w:kern w:val="0"/>
                      <w:sz w:val="20"/>
                    </w:rPr>
                  </w:pPr>
                </w:p>
              </w:tc>
              <w:tc>
                <w:tcPr>
                  <w:tcW w:w="1115" w:type="dxa"/>
                  <w:tcBorders>
                    <w:bottom w:val="single" w:sz="4" w:space="0" w:color="000000"/>
                  </w:tcBorders>
                  <w:noWrap/>
                  <w:vAlign w:val="center"/>
                </w:tcPr>
                <w:p>
                  <w:pPr>
                    <w:widowControl/>
                    <w:jc w:val="right"/>
                    <w:rPr>
                      <w:rFonts w:eastAsia="华文细黑"/>
                      <w:color w:val="000000"/>
                      <w:kern w:val="0"/>
                      <w:sz w:val="20"/>
                    </w:rPr>
                  </w:pPr>
                </w:p>
              </w:tc>
              <w:tc>
                <w:tcPr>
                  <w:tcW w:w="1478" w:type="dxa"/>
                  <w:gridSpan w:val="2"/>
                  <w:tcBorders>
                    <w:bottom w:val="single" w:sz="4" w:space="0" w:color="000000"/>
                  </w:tcBorders>
                  <w:noWrap/>
                  <w:vAlign w:val="center"/>
                </w:tcPr>
                <w:p>
                  <w:pPr>
                    <w:widowControl/>
                    <w:jc w:val="right"/>
                    <w:rPr>
                      <w:rFonts w:eastAsia="华文细黑"/>
                      <w:color w:val="000000"/>
                      <w:kern w:val="0"/>
                      <w:sz w:val="20"/>
                    </w:rPr>
                  </w:pPr>
                </w:p>
              </w:tc>
              <w:tc>
                <w:tcPr>
                  <w:tcW w:w="1297" w:type="dxa"/>
                  <w:gridSpan w:val="2"/>
                  <w:tcBorders>
                    <w:bottom w:val="single" w:sz="4" w:space="0" w:color="000000"/>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1344"/>
                <w:gridAfter w:val="1"/>
                <w:wAfter w:w="225" w:type="dxa"/>
              </w:trPr>
              <w:tc>
                <w:tcPr>
                  <w:tcW w:w="2502"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914" w:type="dxa"/>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lang w:eastAsia="zh-CN"/>
                    </w:rPr>
                    <w:t>合</w:t>
                  </w:r>
                  <w:r>
                    <w:rPr>
                      <w:rFonts w:eastAsia="华文细黑"/>
                      <w:color w:val="000000"/>
                      <w:kern w:val="0"/>
                      <w:sz w:val="20"/>
                    </w:rPr>
                    <w:t>计</w:t>
                  </w:r>
                </w:p>
              </w:tc>
              <w:tc>
                <w:tcPr>
                  <w:tcW w:w="1306"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c>
                <w:tcPr>
                  <w:tcW w:w="111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事业单位</w:t>
                  </w:r>
                </w:p>
                <w:p>
                  <w:pPr>
                    <w:widowControl/>
                    <w:jc w:val="center"/>
                    <w:rPr>
                      <w:rFonts w:eastAsia="华文细黑" w:hint="eastAsia"/>
                      <w:color w:val="000000"/>
                      <w:kern w:val="0"/>
                      <w:sz w:val="20"/>
                    </w:rPr>
                  </w:pPr>
                  <w:r>
                    <w:rPr>
                      <w:rFonts w:eastAsia="华文细黑" w:hint="eastAsia"/>
                      <w:color w:val="000000"/>
                      <w:kern w:val="0"/>
                      <w:sz w:val="20"/>
                    </w:rPr>
                    <w:t>经营支出</w:t>
                  </w:r>
                </w:p>
              </w:tc>
              <w:tc>
                <w:tcPr>
                  <w:tcW w:w="108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70"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rPr>
                <w:trHeight w:val="701"/>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color w:val="000000"/>
                      <w:kern w:val="0"/>
                      <w:sz w:val="20"/>
                    </w:rPr>
                  </w:pPr>
                  <w:r>
                    <w:rPr>
                      <w:rFonts w:eastAsia="宋体"/>
                      <w:color w:val="000000"/>
                      <w:kern w:val="0"/>
                      <w:sz w:val="20"/>
                    </w:rPr>
                    <w:t>一、一般公共服务支出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560"/>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事业运行</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ind w:left="0"/>
                    <w:jc w:val="left"/>
                    <w:rPr>
                      <w:rFonts w:eastAsia="宋体"/>
                      <w:color w:val="000000"/>
                      <w:kern w:val="0"/>
                      <w:sz w:val="20"/>
                    </w:rPr>
                  </w:pPr>
                  <w:r>
                    <w:rPr>
                      <w:rFonts w:eastAsia="宋体"/>
                      <w:color w:val="000000"/>
                      <w:kern w:val="0"/>
                      <w:sz w:val="20"/>
                    </w:rPr>
                    <w:t>二、社会保障和就业支出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r>
                    <w:rPr>
                      <w:rFonts w:eastAsia="宋体"/>
                      <w:color w:val="000000"/>
                      <w:kern w:val="0"/>
                      <w:sz w:val="20"/>
                    </w:rPr>
                    <w:t xml:space="preserve">  行政事业单位养老支出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事业单位离退休</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23.34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23.34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机关事业单位基本养老保险缴费支出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149.62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149.62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ind w:firstLineChars="250" w:firstLine="500"/>
                    <w:rPr>
                      <w:rFonts w:eastAsia="宋体"/>
                      <w:color w:val="000000"/>
                      <w:kern w:val="0"/>
                      <w:sz w:val="20"/>
                    </w:rPr>
                  </w:pPr>
                  <w:r>
                    <w:rPr>
                      <w:rFonts w:eastAsia="宋体"/>
                      <w:color w:val="000000"/>
                      <w:kern w:val="0"/>
                      <w:sz w:val="20"/>
                    </w:rPr>
                    <w:t>机关事业单位职业年金缴费支出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74.81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74.81</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三、卫生健康支出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行政事业单位医疗</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pPr>
                  <w:r>
                    <w:rPr>
                      <w:rFonts w:eastAsia="宋体"/>
                      <w:color w:val="000000"/>
                      <w:kern w:val="0"/>
                      <w:sz w:val="20"/>
                    </w:rPr>
                    <w:t>89.15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pPr>
                  <w:r>
                    <w:rPr>
                      <w:rFonts w:eastAsia="宋体"/>
                      <w:color w:val="000000"/>
                      <w:kern w:val="0"/>
                      <w:sz w:val="20"/>
                    </w:rPr>
                    <w:t>89.15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事业单位医疗</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pPr>
                  <w:r>
                    <w:rPr>
                      <w:rFonts w:eastAsia="宋体"/>
                      <w:color w:val="000000"/>
                      <w:kern w:val="0"/>
                      <w:sz w:val="20"/>
                    </w:rPr>
                    <w:t>89.15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pPr>
                  <w:r>
                    <w:rPr>
                      <w:rFonts w:eastAsia="宋体"/>
                      <w:color w:val="000000"/>
                      <w:kern w:val="0"/>
                      <w:sz w:val="20"/>
                    </w:rPr>
                    <w:t>89.15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四、住房保障支出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住房改革支出</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住房公积金</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gridAfter w:val="1"/>
                <w:wAfter w:w="225" w:type="dxa"/>
              </w:trPr>
              <w:tc>
                <w:tcPr>
                  <w:tcW w:w="2502"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1605.76</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1605.76</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left="0"/>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960"/>
      </w:tblGrid>
      <w:tr>
        <w:trPr>
          <w:trHeight w:val="11083"/>
        </w:trPr>
        <w:tc>
          <w:tcPr>
            <w:tcW w:w="9960" w:type="dxa"/>
            <w:tcBorders>
              <w:top w:val="nil"/>
              <w:left w:val="nil"/>
              <w:bottom w:val="nil"/>
              <w:right w:val="nil"/>
            </w:tcBorders>
            <w:noWrap/>
            <w:vAlign w:val="bottom"/>
          </w:tcPr>
          <w:tbl>
            <w:tblPr>
              <w:tblpPr w:leftFromText="180" w:rightFromText="180" w:vertAnchor="page" w:horzAnchor="page" w:tblpX="114" w:tblpY="657"/>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trPr>
              <w:tc>
                <w:tcPr>
                  <w:tcW w:w="9640" w:type="dxa"/>
                  <w:gridSpan w:val="8"/>
                  <w:tcBorders>
                    <w:top w:val="nil"/>
                    <w:left w:val="nil"/>
                    <w:bottom w:val="nil"/>
                    <w:right w:val="nil"/>
                  </w:tcBorders>
                  <w:noWrap/>
                  <w:vAlign w:val="center"/>
                </w:tcPr>
                <w:p>
                  <w:pPr>
                    <w:ind w:firstLineChars="600" w:firstLine="2640"/>
                    <w:rPr>
                      <w:rFonts w:eastAsia="方正小标宋简体"/>
                      <w:kern w:val="0"/>
                      <w:sz w:val="44"/>
                      <w:szCs w:val="44"/>
                    </w:rPr>
                  </w:pPr>
                  <w:r>
                    <w:rPr>
                      <w:rFonts w:eastAsia="方正小标宋简体"/>
                      <w:kern w:val="0"/>
                      <w:sz w:val="44"/>
                      <w:szCs w:val="44"/>
                    </w:rPr>
                    <w:t>财政拨款收支</w:t>
                  </w:r>
                  <w:r>
                    <w:rPr>
                      <w:rFonts w:eastAsia="方正小标宋简体" w:hint="eastAsia"/>
                      <w:kern w:val="0"/>
                      <w:sz w:val="44"/>
                      <w:szCs w:val="44"/>
                      <w:lang w:eastAsia="zh-CN"/>
                    </w:rPr>
                    <w:t>预算总</w:t>
                  </w:r>
                  <w:r>
                    <w:rPr>
                      <w:rFonts w:eastAsia="方正小标宋简体"/>
                      <w:kern w:val="0"/>
                      <w:sz w:val="44"/>
                      <w:szCs w:val="44"/>
                    </w:rPr>
                    <w:t>表</w:t>
                  </w:r>
                </w:p>
              </w:tc>
            </w:tr>
            <w:tr>
              <w:trPr>
                <w:trHeight w:val="502"/>
              </w:trPr>
              <w:tc>
                <w:tcPr>
                  <w:tcW w:w="9640" w:type="dxa"/>
                  <w:gridSpan w:val="8"/>
                  <w:tcBorders>
                    <w:top w:val="nil"/>
                    <w:left w:val="nil"/>
                    <w:bottom w:val="nil"/>
                    <w:right w:val="nil"/>
                  </w:tcBorders>
                  <w:noWrap/>
                  <w:vAlign w:val="bottom"/>
                </w:tcPr>
                <w:p>
                  <w:pPr>
                    <w:widowControl/>
                    <w:jc w:val="right"/>
                    <w:rPr>
                      <w:rFonts w:eastAsia="华文细黑"/>
                      <w:color w:val="000000"/>
                      <w:kern w:val="0"/>
                      <w:sz w:val="20"/>
                    </w:rPr>
                  </w:pPr>
                  <w:r>
                    <w:rPr>
                      <w:rFonts w:eastAsia="华文细黑" w:hint="eastAsia"/>
                      <w:color w:val="000000"/>
                      <w:kern w:val="0"/>
                      <w:sz w:val="20"/>
                    </w:rPr>
                    <w:t xml:space="preserve"> </w:t>
                  </w:r>
                  <w:r>
                    <w:rPr>
                      <w:rFonts w:eastAsia="华文细黑"/>
                      <w:color w:val="000000"/>
                      <w:kern w:val="0"/>
                      <w:sz w:val="20"/>
                    </w:rPr>
                    <w:t>单位：万元</w:t>
                  </w:r>
                </w:p>
              </w:tc>
            </w:tr>
            <w:tr>
              <w:trPr>
                <w:trHeight w:val="493"/>
              </w:trPr>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支      出</w:t>
                  </w:r>
                </w:p>
              </w:tc>
            </w:tr>
            <w:tr>
              <w:trPr>
                <w:trHeight w:val="1363"/>
              </w:trPr>
              <w:tc>
                <w:tcPr>
                  <w:tcW w:w="1442"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val="en-US"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c>
                <w:tcPr>
                  <w:tcW w:w="1374"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r>
            <w:tr>
              <w:trPr>
                <w:trHeight w:val="433"/>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1605.76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1605.76</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eastAsia="zh-CN"/>
                    </w:rPr>
                  </w:pPr>
                  <w:r>
                    <w:rPr>
                      <w:rFonts w:eastAsia="宋体" w:hint="eastAsia"/>
                      <w:color w:val="000000"/>
                      <w:kern w:val="0"/>
                      <w:sz w:val="20"/>
                      <w:lang w:eastAsia="zh-CN"/>
                    </w:rPr>
                    <w:t>一、本年支出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1605.76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1605.76</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szCs w:val="22"/>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一般公共预算拨款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1605.76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r>
                    <w:rPr>
                      <w:rFonts w:eastAsia="宋体"/>
                      <w:kern w:val="0"/>
                      <w:sz w:val="20"/>
                    </w:rPr>
                    <w:t>1605.76</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lang w:eastAsia="zh-CN"/>
                    </w:rPr>
                    <w:t>（一）</w:t>
                  </w:r>
                  <w:r>
                    <w:rPr>
                      <w:rFonts w:eastAsia="宋体"/>
                      <w:color w:val="000000"/>
                      <w:kern w:val="0"/>
                      <w:sz w:val="20"/>
                    </w:rPr>
                    <w:t>一般公共服务支出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1140.64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1140.64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二</w:t>
                  </w:r>
                  <w:r>
                    <w:rPr>
                      <w:rFonts w:eastAsia="宋体" w:hint="eastAsia"/>
                      <w:color w:val="000000"/>
                      <w:sz w:val="20"/>
                    </w:rPr>
                    <w:t>）</w:t>
                  </w:r>
                  <w:r>
                    <w:rPr>
                      <w:rFonts w:eastAsia="宋体"/>
                      <w:color w:val="000000"/>
                      <w:kern w:val="0"/>
                      <w:sz w:val="20"/>
                    </w:rPr>
                    <w:t>社会保障和就业支出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247.77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247.77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三</w:t>
                  </w:r>
                  <w:r>
                    <w:rPr>
                      <w:rFonts w:eastAsia="宋体" w:hint="eastAsia"/>
                      <w:color w:val="000000"/>
                      <w:sz w:val="20"/>
                    </w:rPr>
                    <w:t>）</w:t>
                  </w:r>
                  <w:r>
                    <w:rPr>
                      <w:rFonts w:eastAsia="宋体"/>
                      <w:color w:val="000000"/>
                      <w:kern w:val="0"/>
                      <w:sz w:val="20"/>
                    </w:rPr>
                    <w:t>卫生健康支出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89.15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89.15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四</w:t>
                  </w:r>
                  <w:r>
                    <w:rPr>
                      <w:rFonts w:eastAsia="宋体" w:hint="eastAsia"/>
                      <w:color w:val="000000"/>
                      <w:sz w:val="20"/>
                    </w:rPr>
                    <w:t>）</w:t>
                  </w:r>
                  <w:r>
                    <w:rPr>
                      <w:rFonts w:eastAsia="宋体"/>
                      <w:color w:val="000000"/>
                      <w:kern w:val="0"/>
                      <w:sz w:val="20"/>
                    </w:rPr>
                    <w:t>住房保障支出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128.20</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128.20</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5"/>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bCs/>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rPr>
                      <w:rFonts w:eastAsia="宋体"/>
                      <w:b/>
                      <w:bCs/>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jc w:val="left"/>
                    <w:rPr>
                      <w:rFonts w:eastAsia="宋体"/>
                      <w:sz w:val="20"/>
                    </w:rPr>
                  </w:pPr>
                  <w:r>
                    <w:rPr>
                      <w:rFonts w:eastAsia="宋体" w:hint="eastAsia"/>
                      <w:kern w:val="0"/>
                      <w:sz w:val="20"/>
                      <w:lang w:eastAsia="zh-CN"/>
                    </w:rPr>
                    <w:t>二、</w:t>
                  </w:r>
                  <w:r>
                    <w:rPr>
                      <w:rFonts w:eastAsia="宋体"/>
                      <w:kern w:val="0"/>
                      <w:sz w:val="20"/>
                    </w:rPr>
                    <w:t>结转下年</w:t>
                  </w:r>
                </w:p>
              </w:tc>
              <w:tc>
                <w:tcPr>
                  <w:tcW w:w="1148"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48"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c>
                <w:tcPr>
                  <w:tcW w:w="1150"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r>
            <w:tr>
              <w:trPr>
                <w:trHeight w:val="500"/>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r>
                    <w:rPr>
                      <w:rFonts w:eastAsia="宋体"/>
                      <w:kern w:val="0"/>
                      <w:sz w:val="20"/>
                    </w:rPr>
                    <w:t>1605.76</w:t>
                  </w:r>
                  <w:r>
                    <w:rPr>
                      <w:rFonts w:eastAsia="黑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r>
                    <w:rPr>
                      <w:rFonts w:eastAsia="宋体"/>
                      <w:kern w:val="0"/>
                      <w:sz w:val="20"/>
                    </w:rPr>
                    <w:t>1605.76</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r>
                    <w:rPr>
                      <w:rFonts w:eastAsia="宋体"/>
                      <w:kern w:val="0"/>
                      <w:sz w:val="20"/>
                    </w:rPr>
                    <w:t>1605.76</w:t>
                  </w:r>
                  <w:r>
                    <w:rPr>
                      <w:rFonts w:eastAsia="黑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r>
                    <w:rPr>
                      <w:rFonts w:eastAsia="宋体"/>
                      <w:kern w:val="0"/>
                      <w:sz w:val="20"/>
                    </w:rPr>
                    <w:t>1605.76</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bl>
          <w:p>
            <w:pPr>
              <w:widowControl/>
              <w:rPr>
                <w:rFonts w:eastAsia="方正小标宋简体"/>
                <w:kern w:val="0"/>
                <w:sz w:val="44"/>
                <w:szCs w:val="44"/>
              </w:rPr>
            </w:pPr>
          </w:p>
        </w:tc>
      </w:tr>
    </w:tbl>
    <w:p>
      <w:pPr>
        <w:ind w:firstLineChars="200" w:firstLine="64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6081"/>
        </w:trPr>
        <w:tc>
          <w:tcPr>
            <w:tcW w:w="10405" w:type="dxa"/>
            <w:tcBorders>
              <w:top w:val="nil"/>
              <w:left w:val="nil"/>
              <w:bottom w:val="nil"/>
              <w:right w:val="nil"/>
            </w:tcBorders>
            <w:noWrap/>
            <w:vAlign w:val="bottom"/>
          </w:tcPr>
          <w:p>
            <w:pPr>
              <w:widowControl/>
              <w:rPr>
                <w:rFonts w:eastAsia="方正小标宋简体"/>
                <w:kern w:val="0"/>
                <w:sz w:val="44"/>
                <w:szCs w:val="44"/>
              </w:rPr>
            </w:pPr>
          </w:p>
          <w:tbl>
            <w:tblPr>
              <w:jc w:val="left"/>
              <w:tblInd w:w="871"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552"/>
              <w:gridCol w:w="1134"/>
              <w:gridCol w:w="1134"/>
              <w:gridCol w:w="1134"/>
              <w:gridCol w:w="1134"/>
              <w:gridCol w:w="1701"/>
            </w:tblGrid>
            <w:tr>
              <w:trPr>
                <w:trHeight w:val="390"/>
              </w:trPr>
              <w:tc>
                <w:tcPr>
                  <w:tcW w:w="8789" w:type="dxa"/>
                  <w:gridSpan w:val="6"/>
                  <w:tcBorders>
                    <w:bottom w:val="single" w:sz="4" w:space="0" w:color="000000"/>
                  </w:tcBorders>
                  <w:noWrap/>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eastAsia="方正小标宋简体" w:hint="eastAsia"/>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552"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r>
            <w:tr>
              <w:trPr>
                <w:trHeight w:val="281"/>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3402" w:type="dxa"/>
                  <w:gridSpan w:val="3"/>
                  <w:vMerge/>
                  <w:tcBorders>
                    <w:top w:val="single" w:sz="4" w:space="0" w:color="000000"/>
                    <w:left w:val="single" w:sz="4" w:space="0" w:color="000000"/>
                    <w:bottom w:val="single" w:sz="4" w:space="0" w:color="000000"/>
                    <w:right w:val="single" w:sz="4" w:space="0" w:color="000000"/>
                  </w:tcBorders>
                  <w:noWrap/>
                  <w:vAlign w:val="center"/>
                </w:tc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630"/>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color w:val="000000"/>
                      <w:kern w:val="0"/>
                      <w:sz w:val="20"/>
                    </w:rPr>
                  </w:pPr>
                  <w:r>
                    <w:rPr>
                      <w:rFonts w:eastAsia="宋体"/>
                      <w:color w:val="000000"/>
                      <w:kern w:val="0"/>
                      <w:sz w:val="20"/>
                    </w:rPr>
                    <w:t>一、一般公共服务支出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988.05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152.59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988.05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152.59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事业运行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1140.64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988.05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152.59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二、社会保障和就业支出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jc w:val="left"/>
                    <w:rPr>
                      <w:rFonts w:eastAsia="宋体"/>
                      <w:color w:val="000000"/>
                      <w:kern w:val="0"/>
                      <w:sz w:val="20"/>
                    </w:rPr>
                  </w:pPr>
                  <w:r>
                    <w:rPr>
                      <w:rFonts w:eastAsia="宋体"/>
                      <w:color w:val="000000"/>
                      <w:kern w:val="0"/>
                      <w:sz w:val="20"/>
                    </w:rPr>
                    <w:t>行政事业单位养老支出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247.77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jc w:val="left"/>
                    <w:rPr>
                      <w:rFonts w:eastAsia="宋体"/>
                      <w:color w:val="000000"/>
                      <w:kern w:val="0"/>
                      <w:sz w:val="20"/>
                    </w:rPr>
                  </w:pPr>
                  <w:r>
                    <w:rPr>
                      <w:rFonts w:eastAsia="宋体"/>
                      <w:color w:val="000000"/>
                      <w:kern w:val="0"/>
                      <w:sz w:val="20"/>
                    </w:rPr>
                    <w:t>事业单位离退休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left="0" w:firstLineChars="300" w:firstLine="600"/>
                    <w:rPr>
                      <w:rFonts w:eastAsia="华文细黑"/>
                      <w:color w:val="000000"/>
                      <w:kern w:val="0"/>
                      <w:sz w:val="20"/>
                    </w:rPr>
                  </w:pPr>
                  <w:r>
                    <w:rPr>
                      <w:rFonts w:eastAsia="宋体"/>
                      <w:color w:val="000000"/>
                      <w:kern w:val="0"/>
                      <w:sz w:val="20"/>
                    </w:rPr>
                    <w:t>机关事业单位基本养老保险缴费支出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149.62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149.62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149.62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机关事业单位职业年金缴费支出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74.81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74.81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74.81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三、卫生健康支出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行政事业单位医疗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事业单位医疗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四、住房保障支出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auto"/>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住房改革支出</w:t>
                  </w:r>
                </w:p>
              </w:tc>
              <w:tc>
                <w:tcPr>
                  <w:tcW w:w="1134"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住房公积金</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128.20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1605.76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1605.76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1453.17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152.59</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auto"/>
                    <w:left w:val="nil"/>
                    <w:bottom w:val="nil"/>
                    <w:right w:val="nil"/>
                    <w:tl2br w:val="nil"/>
                    <w:tr2bl w:val="nil"/>
                  </w:tcBorders>
                  <w:shd w:val="clear" w:color="000000" w:fill="FFFFFF"/>
                  <w:noWrap/>
                  <w:vAlign w:val="center"/>
                </w:tcPr>
                <w:p>
                  <w:pPr>
                    <w:widowControl/>
                    <w:jc w:val="center"/>
                    <w:rPr>
                      <w:rFonts w:eastAsia="华文细黑"/>
                      <w:color w:val="000000"/>
                      <w:kern w:val="0"/>
                      <w:sz w:val="20"/>
                    </w:rPr>
                  </w:pPr>
                </w:p>
              </w:tc>
              <w:tc>
                <w:tcPr>
                  <w:tcW w:w="1134"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Chars="200" w:firstLine="640"/>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left="0"/>
        <w:rPr>
          <w:rFonts w:eastAsia="楷体"/>
        </w:rPr>
      </w:pPr>
      <w:r>
        <w:rPr>
          <w:rFonts w:eastAsia="楷体"/>
        </w:rPr>
        <w:br w:type="page"/>
      </w:r>
    </w:p>
    <w:tbl>
      <w:tblPr>
        <w:jc w:val="center"/>
        <w:tblW w:w="892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790"/>
        <w:gridCol w:w="1785"/>
        <w:gridCol w:w="1680"/>
        <w:gridCol w:w="1675"/>
      </w:tblGrid>
      <w:tr>
        <w:trPr>
          <w:trHeight w:val="615"/>
        </w:trPr>
        <w:tc>
          <w:tcPr>
            <w:tcW w:w="8929" w:type="dxa"/>
            <w:gridSpan w:val="4"/>
            <w:tcBorders>
              <w:top w:val="nil"/>
              <w:left w:val="nil"/>
              <w:bottom w:val="nil"/>
              <w:right w:val="nil"/>
            </w:tcBorders>
            <w:noWrap/>
            <w:vAlign w:val="bottom"/>
          </w:tcPr>
          <w:p>
            <w:pPr>
              <w:widowControl/>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tc>
      </w:tr>
      <w:tr>
        <w:trPr>
          <w:trHeight w:val="390"/>
        </w:trPr>
        <w:tc>
          <w:tcPr>
            <w:tcW w:w="3790" w:type="dxa"/>
            <w:tcBorders>
              <w:top w:val="nil"/>
              <w:left w:val="nil"/>
              <w:bottom w:val="single" w:sz="4" w:space="0" w:color="auto"/>
              <w:right w:val="nil"/>
            </w:tcBorders>
            <w:noWrap/>
            <w:vAlign w:val="center"/>
          </w:tcPr>
          <w:p>
            <w:pPr>
              <w:widowControl/>
              <w:jc w:val="left"/>
              <w:rPr>
                <w:rFonts w:eastAsia="宋体"/>
                <w:kern w:val="0"/>
                <w:sz w:val="20"/>
              </w:rPr>
            </w:pPr>
            <w:r>
              <w:rPr>
                <w:rFonts w:eastAsia="宋体"/>
                <w:kern w:val="0"/>
                <w:sz w:val="20"/>
              </w:rPr>
              <w:t>　</w:t>
            </w:r>
          </w:p>
        </w:tc>
        <w:tc>
          <w:tcPr>
            <w:tcW w:w="1785" w:type="dxa"/>
            <w:tcBorders>
              <w:top w:val="nil"/>
              <w:left w:val="nil"/>
              <w:bottom w:val="single" w:sz="4" w:space="0" w:color="auto"/>
              <w:right w:val="nil"/>
            </w:tcBorders>
            <w:noWrap/>
            <w:vAlign w:val="center"/>
          </w:tcPr>
          <w:p>
            <w:pPr>
              <w:widowControl/>
              <w:jc w:val="right"/>
              <w:rPr>
                <w:rFonts w:eastAsia="宋体"/>
                <w:kern w:val="0"/>
                <w:sz w:val="20"/>
              </w:rPr>
            </w:pPr>
            <w:r>
              <w:rPr>
                <w:rFonts w:eastAsia="宋体"/>
                <w:kern w:val="0"/>
                <w:sz w:val="20"/>
              </w:rPr>
              <w:t>　</w:t>
            </w:r>
          </w:p>
        </w:tc>
        <w:tc>
          <w:tcPr>
            <w:tcW w:w="3355" w:type="dxa"/>
            <w:gridSpan w:val="2"/>
            <w:tcBorders>
              <w:top w:val="nil"/>
              <w:left w:val="nil"/>
              <w:bottom w:val="single" w:sz="4" w:space="0" w:color="auto"/>
              <w:right w:val="nil"/>
            </w:tcBorders>
            <w:noWrap/>
            <w:vAlign w:val="bottom"/>
          </w:tcPr>
          <w:p>
            <w:pPr>
              <w:widowControl/>
              <w:jc w:val="right"/>
              <w:rPr>
                <w:rFonts w:eastAsia="华文细黑"/>
                <w:kern w:val="0"/>
                <w:sz w:val="20"/>
              </w:rPr>
            </w:pPr>
            <w:r>
              <w:rPr>
                <w:rFonts w:eastAsia="华文细黑"/>
                <w:kern w:val="0"/>
                <w:sz w:val="20"/>
              </w:rPr>
              <w:t>　</w:t>
            </w:r>
            <w:r>
              <w:rPr>
                <w:rFonts w:eastAsia="华文细黑" w:hint="eastAsia"/>
                <w:kern w:val="0"/>
                <w:sz w:val="20"/>
              </w:rPr>
              <w:t>单位：万元</w:t>
            </w:r>
          </w:p>
        </w:tc>
      </w:tr>
      <w:tr>
        <w:trPr>
          <w:trHeight w:val="517"/>
        </w:trPr>
        <w:tc>
          <w:tcPr>
            <w:tcW w:w="3790" w:type="dxa"/>
            <w:tcBorders>
              <w:top w:val="single" w:sz="4" w:space="0" w:color="auto"/>
              <w:left w:val="single" w:sz="4" w:space="0" w:color="auto"/>
              <w:bottom w:val="nil"/>
              <w:right w:val="single" w:sz="4" w:space="0" w:color="auto"/>
            </w:tcBorders>
            <w:noWrap/>
            <w:vAlign w:val="center"/>
          </w:tcPr>
          <w:p>
            <w:pPr>
              <w:widowControl/>
              <w:jc w:val="center"/>
              <w:rPr>
                <w:rFonts w:eastAsia="华文细黑"/>
                <w:kern w:val="0"/>
                <w:sz w:val="20"/>
              </w:rPr>
            </w:pPr>
            <w:r>
              <w:rPr>
                <w:rFonts w:eastAsia="华文细黑" w:hint="eastAsia"/>
                <w:kern w:val="0"/>
                <w:sz w:val="20"/>
                <w:lang w:eastAsia="zh-CN"/>
              </w:rPr>
              <w:t>部门预算支出</w:t>
            </w:r>
            <w:r>
              <w:rPr>
                <w:rFonts w:eastAsia="华文细黑"/>
                <w:kern w:val="0"/>
                <w:sz w:val="20"/>
              </w:rPr>
              <w:t>经济分类科目</w:t>
            </w:r>
          </w:p>
        </w:tc>
        <w:tc>
          <w:tcPr>
            <w:tcW w:w="1785" w:type="dxa"/>
            <w:tcBorders>
              <w:top w:val="single" w:sz="4" w:space="0" w:color="auto"/>
              <w:left w:val="single" w:sz="4" w:space="0" w:color="auto"/>
              <w:bottom w:val="nil"/>
              <w:right w:val="single" w:sz="4" w:space="0" w:color="auto"/>
            </w:tcBorders>
            <w:noWrap/>
            <w:vAlign w:val="center"/>
          </w:tcPr>
          <w:p>
            <w:pPr>
              <w:widowControl/>
              <w:jc w:val="center"/>
              <w:rPr>
                <w:rFonts w:eastAsia="华文细黑"/>
                <w:kern w:val="0"/>
                <w:sz w:val="20"/>
              </w:rPr>
            </w:pPr>
            <w:r>
              <w:rPr>
                <w:rFonts w:eastAsia="华文细黑"/>
                <w:color w:val="000000"/>
                <w:kern w:val="0"/>
                <w:sz w:val="20"/>
              </w:rPr>
              <w:t>合计</w:t>
            </w:r>
          </w:p>
        </w:tc>
        <w:tc>
          <w:tcPr>
            <w:tcW w:w="1680" w:type="dxa"/>
            <w:tcBorders>
              <w:top w:val="single" w:sz="4" w:space="0" w:color="auto"/>
              <w:left w:val="single" w:sz="4" w:space="0" w:color="auto"/>
              <w:bottom w:val="nil"/>
              <w:right w:val="single" w:sz="4" w:space="0" w:color="auto"/>
            </w:tcBorders>
            <w:noWrap/>
            <w:vAlign w:val="center"/>
          </w:tcPr>
          <w:p>
            <w:pPr>
              <w:widowControl/>
              <w:jc w:val="center"/>
            </w:pPr>
            <w:r>
              <w:rPr>
                <w:rFonts w:eastAsia="华文细黑"/>
                <w:color w:val="000000"/>
                <w:kern w:val="0"/>
                <w:sz w:val="20"/>
              </w:rPr>
              <w:t>人员经费</w:t>
            </w: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rFonts w:eastAsia="华文细黑"/>
                <w:color w:val="000000"/>
                <w:kern w:val="0"/>
                <w:sz w:val="20"/>
              </w:rPr>
              <w:t>公用经费</w:t>
            </w: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1424.43</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1424.43</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pP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基本工资</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479.16</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479.16</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津贴补贴</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15.67</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15.67</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奖金</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232.10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232.10</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绩效工资</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238.28</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238.28</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kern w:val="0"/>
                <w:sz w:val="20"/>
              </w:rPr>
            </w:pPr>
            <w:r>
              <w:rPr>
                <w:rFonts w:eastAsia="宋体"/>
                <w:kern w:val="0"/>
                <w:sz w:val="20"/>
              </w:rPr>
              <w:t>机关事业单位基本养老保险缴费</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149.62</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149.62</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kern w:val="0"/>
                <w:sz w:val="20"/>
              </w:rPr>
            </w:pPr>
            <w:r>
              <w:rPr>
                <w:rFonts w:eastAsia="宋体"/>
                <w:kern w:val="0"/>
                <w:sz w:val="20"/>
              </w:rPr>
              <w:t>职业年金缴费</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74.81</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74.81</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职工基本医疗保险缴费</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54.88</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54.88</w:t>
            </w:r>
          </w:p>
        </w:tc>
        <w:tc>
          <w:tcPr>
            <w:tcW w:w="167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公务员医疗补助缴费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32.79</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32.79</w:t>
            </w:r>
          </w:p>
        </w:tc>
        <w:tc>
          <w:tcPr>
            <w:tcW w:w="1675" w:type="dxa"/>
            <w:tcBorders>
              <w:top w:val="single" w:sz="4" w:space="0" w:color="auto"/>
              <w:left w:val="single" w:sz="4" w:space="0" w:color="auto"/>
              <w:bottom w:val="single" w:sz="4" w:space="0" w:color="auto"/>
              <w:right w:val="single" w:sz="4" w:space="0" w:color="auto"/>
            </w:tcBorders>
            <w:noWrap/>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其他社会保障缴费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8.03</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8.03</w:t>
            </w:r>
          </w:p>
        </w:tc>
        <w:tc>
          <w:tcPr>
            <w:tcW w:w="1675" w:type="dxa"/>
            <w:tcBorders>
              <w:top w:val="single" w:sz="4" w:space="0" w:color="auto"/>
              <w:left w:val="single" w:sz="4" w:space="0" w:color="auto"/>
              <w:bottom w:val="single" w:sz="4" w:space="0" w:color="auto"/>
              <w:right w:val="single" w:sz="4" w:space="0" w:color="auto"/>
            </w:tcBorders>
            <w:noWrap/>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住房公积金</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128.20</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128.20</w:t>
            </w:r>
          </w:p>
        </w:tc>
        <w:tc>
          <w:tcPr>
            <w:tcW w:w="1675" w:type="dxa"/>
            <w:tcBorders>
              <w:top w:val="single" w:sz="4" w:space="0" w:color="auto"/>
              <w:left w:val="single" w:sz="4" w:space="0" w:color="auto"/>
              <w:bottom w:val="single" w:sz="4" w:space="0" w:color="auto"/>
              <w:right w:val="single" w:sz="4" w:space="0" w:color="auto"/>
            </w:tcBorders>
            <w:noWrap/>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医疗费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10.80</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10.80</w:t>
            </w:r>
          </w:p>
        </w:tc>
        <w:tc>
          <w:tcPr>
            <w:tcW w:w="1675" w:type="dxa"/>
            <w:tcBorders>
              <w:top w:val="single" w:sz="4" w:space="0" w:color="auto"/>
              <w:left w:val="single" w:sz="4" w:space="0" w:color="auto"/>
              <w:bottom w:val="single" w:sz="4" w:space="0" w:color="auto"/>
              <w:right w:val="single" w:sz="4" w:space="0" w:color="auto"/>
            </w:tcBorders>
            <w:noWrap/>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其他工资福利支出</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0.09</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0.09</w:t>
            </w:r>
          </w:p>
        </w:tc>
        <w:tc>
          <w:tcPr>
            <w:tcW w:w="1675" w:type="dxa"/>
            <w:tcBorders>
              <w:top w:val="single" w:sz="4" w:space="0" w:color="auto"/>
              <w:left w:val="single" w:sz="4" w:space="0" w:color="auto"/>
              <w:bottom w:val="single" w:sz="4" w:space="0" w:color="auto"/>
              <w:right w:val="single" w:sz="4" w:space="0" w:color="auto"/>
            </w:tcBorders>
            <w:noWrap/>
          </w:tcPr>
          <w:p>
            <w:pPr>
              <w:widowControl/>
              <w:jc w:val="right"/>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kern w:val="0"/>
                <w:sz w:val="20"/>
              </w:rPr>
            </w:pPr>
            <w:r>
              <w:rPr>
                <w:rFonts w:eastAsia="宋体"/>
                <w:color w:val="000000"/>
                <w:sz w:val="20"/>
              </w:rPr>
              <w:t>二、商品和服务支出</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145.93</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145.93</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kern w:val="0"/>
                <w:sz w:val="20"/>
              </w:rPr>
            </w:pPr>
            <w:r>
              <w:rPr>
                <w:rFonts w:eastAsia="宋体"/>
                <w:color w:val="000000"/>
                <w:sz w:val="20"/>
              </w:rPr>
              <w:t>办公费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31.20</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31.20</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印刷费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16.00</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16.00</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差旅费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20.00</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20.00</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会议费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1.53</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1.53</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培训费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3.63</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3.63</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公务接待费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1.66</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1.66</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工会经费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14.83</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14.83</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其他商品和服务支出</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57.08</w:t>
            </w:r>
          </w:p>
        </w:tc>
        <w:tc>
          <w:tcPr>
            <w:tcW w:w="1680"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57.08</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000000"/>
                <w:kern w:val="0"/>
                <w:sz w:val="20"/>
              </w:rPr>
            </w:pPr>
            <w:r>
              <w:rPr>
                <w:rFonts w:eastAsia="宋体"/>
                <w:color w:val="000000"/>
                <w:kern w:val="0"/>
                <w:sz w:val="20"/>
              </w:rPr>
              <w:t>三、对个人和家庭的补助</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28.74</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28.74</w:t>
            </w:r>
          </w:p>
        </w:tc>
        <w:tc>
          <w:tcPr>
            <w:tcW w:w="1675"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退休费</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23.34</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23.34</w:t>
            </w: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其他对个人和家庭的补助</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5.40</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5.40</w:t>
            </w: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000000"/>
                <w:kern w:val="0"/>
                <w:sz w:val="20"/>
              </w:rPr>
            </w:pPr>
            <w:r>
              <w:rPr>
                <w:rFonts w:eastAsia="宋体"/>
                <w:color w:val="000000"/>
                <w:kern w:val="0"/>
                <w:sz w:val="20"/>
              </w:rPr>
              <w:t>四、资本性支出</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6.66</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6.66</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办公设备购置</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6.66</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6.66</w:t>
            </w:r>
          </w:p>
        </w:tc>
      </w:tr>
      <w:tr>
        <w:trPr>
          <w:trHeight w:val="368"/>
        </w:trPr>
        <w:tc>
          <w:tcPr>
            <w:tcW w:w="3790"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合计</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1605.76</w:t>
            </w:r>
          </w:p>
        </w:tc>
        <w:tc>
          <w:tcPr>
            <w:tcW w:w="168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1453.17</w:t>
            </w:r>
          </w:p>
        </w:tc>
        <w:tc>
          <w:tcPr>
            <w:tcW w:w="1675"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152.59</w:t>
            </w:r>
          </w:p>
        </w:tc>
      </w:tr>
    </w:tbl>
    <w:p>
      <w:pPr>
        <w:ind w:left="0"/>
        <w:rPr>
          <w:rFonts w:eastAsia="楷体"/>
        </w:rPr>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769"/>
        <w:gridCol w:w="3371"/>
      </w:tblGrid>
      <w:tr>
        <w:trPr>
          <w:trHeight w:val="1246"/>
        </w:trPr>
        <w:tc>
          <w:tcPr>
            <w:tcW w:w="9140" w:type="dxa"/>
            <w:gridSpan w:val="2"/>
            <w:tcBorders>
              <w:top w:val="nil"/>
              <w:left w:val="nil"/>
              <w:right w:val="nil"/>
            </w:tcBorders>
            <w:noWrap/>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eastAsia="方正小标宋简体" w:hint="eastAsia"/>
                <w:color w:val="000000"/>
                <w:kern w:val="0"/>
                <w:sz w:val="44"/>
                <w:szCs w:val="44"/>
                <w:lang w:eastAsia="zh-CN"/>
              </w:rPr>
              <w:t>预算</w:t>
            </w:r>
            <w:r>
              <w:rPr>
                <w:rFonts w:eastAsia="方正小标宋简体"/>
                <w:color w:val="000000"/>
                <w:kern w:val="0"/>
                <w:sz w:val="44"/>
                <w:szCs w:val="44"/>
              </w:rPr>
              <w:t>表</w:t>
            </w:r>
          </w:p>
        </w:tc>
      </w:tr>
      <w:tr>
        <w:trPr>
          <w:trHeight w:val="440"/>
        </w:trPr>
        <w:tc>
          <w:tcPr>
            <w:tcW w:w="9140" w:type="dxa"/>
            <w:gridSpan w:val="2"/>
            <w:tcBorders>
              <w:bottom w:val="single" w:sz="4" w:space="0" w:color="auto"/>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851"/>
        </w:trPr>
        <w:tc>
          <w:tcPr>
            <w:tcW w:w="576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项    目</w:t>
            </w:r>
          </w:p>
        </w:tc>
        <w:tc>
          <w:tcPr>
            <w:tcW w:w="3371" w:type="dxa"/>
            <w:tcBorders>
              <w:top w:val="single" w:sz="4" w:space="0" w:color="auto"/>
              <w:left w:val="nil"/>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w:t>
            </w:r>
            <w:r>
              <w:rPr>
                <w:rFonts w:eastAsia="华文细黑" w:hint="eastAsia"/>
                <w:color w:val="000000"/>
                <w:kern w:val="0"/>
                <w:sz w:val="20"/>
                <w:lang w:val="en-US" w:eastAsia="zh-CN"/>
              </w:rPr>
              <w:t>6</w:t>
            </w:r>
            <w:r>
              <w:rPr>
                <w:rFonts w:eastAsia="华文细黑"/>
                <w:color w:val="000000"/>
                <w:kern w:val="0"/>
                <w:sz w:val="20"/>
              </w:rPr>
              <w:t>年预算数</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1.66</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1.66</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200" w:firstLine="4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1335"/>
        </w:trPr>
        <w:tc>
          <w:tcPr>
            <w:tcW w:w="9140" w:type="dxa"/>
            <w:gridSpan w:val="2"/>
            <w:tcBorders>
              <w:top w:val="single" w:sz="4" w:space="0" w:color="auto"/>
              <w:left w:val="nil"/>
              <w:bottom w:val="nil"/>
              <w:right w:val="nil"/>
            </w:tcBorders>
            <w:noWrap/>
            <w:vAlign w:val="center"/>
          </w:tcPr>
          <w:p>
            <w:pPr>
              <w:widowControl/>
              <w:jc w:val="both"/>
              <w:rPr>
                <w:rFonts w:eastAsia="仿宋_GB2312" w:hint="eastAsia"/>
                <w:color w:val="000000"/>
                <w:kern w:val="0"/>
                <w:sz w:val="28"/>
                <w:szCs w:val="28"/>
                <w:lang w:val="en-US" w:eastAsia="zh-CN"/>
              </w:rPr>
            </w:pPr>
          </w:p>
        </w:tc>
      </w:tr>
    </w:tbl>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kern w:val="0"/>
          <w:szCs w:val="32"/>
        </w:rPr>
      </w:pPr>
      <w:r>
        <w:rPr>
          <w:rFonts w:eastAsia="楷体"/>
          <w:kern w:val="0"/>
          <w:szCs w:val="32"/>
        </w:rPr>
        <w:t xml:space="preserve">    </w:t>
      </w:r>
    </w:p>
    <w:tbl>
      <w:tblPr>
        <w:tblpPr w:leftFromText="180" w:rightFromText="180" w:horzAnchor="margin" w:tblpXSpec="left" w:tblpY="321"/>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1420"/>
        </w:trPr>
        <w:tc>
          <w:tcPr>
            <w:tcW w:w="2197"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项目支出</w:t>
            </w: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bl>
    <w:p>
      <w:pPr>
        <w:spacing w:line="700" w:lineRule="exact"/>
        <w:rPr>
          <w:rFonts w:ascii="仿宋_GB2312" w:hint="eastAsia"/>
          <w:kern w:val="0"/>
          <w:sz w:val="28"/>
          <w:szCs w:val="28"/>
        </w:rPr>
      </w:pPr>
      <w:r>
        <w:rPr>
          <w:rFonts w:eastAsia="楷体_GB2312"/>
          <w:kern w:val="0"/>
          <w:szCs w:val="32"/>
        </w:rPr>
        <w:t xml:space="preserve"> </w:t>
      </w:r>
      <w:r>
        <w:rPr>
          <w:rFonts w:ascii="仿宋_GB2312" w:hint="eastAsia"/>
          <w:kern w:val="0"/>
          <w:sz w:val="28"/>
          <w:szCs w:val="28"/>
        </w:rPr>
        <w:t>说明：本单位202</w:t>
      </w:r>
      <w:r>
        <w:rPr>
          <w:rFonts w:ascii="仿宋_GB2312"/>
          <w:kern w:val="0"/>
          <w:sz w:val="28"/>
          <w:szCs w:val="28"/>
        </w:rPr>
        <w:t>6</w:t>
      </w:r>
      <w:r>
        <w:rPr>
          <w:rFonts w:ascii="仿宋_GB2312" w:hint="eastAsia"/>
          <w:kern w:val="0"/>
          <w:sz w:val="28"/>
          <w:szCs w:val="28"/>
        </w:rPr>
        <w:t>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lang w:eastAsia="zh-CN"/>
        </w:rPr>
      </w:pPr>
    </w:p>
    <w:p>
      <w:pPr>
        <w:spacing w:line="700" w:lineRule="exact"/>
        <w:ind w:firstLineChars="200" w:firstLine="640"/>
        <w:rPr>
          <w:rFonts w:eastAsia="楷体" w:hint="eastAsia"/>
          <w:kern w:val="0"/>
          <w:szCs w:val="32"/>
          <w:lang w:eastAsia="zh-CN"/>
        </w:rPr>
        <w:sectPr>
          <w:footerReference w:type="default" r:id="rId7"/>
          <w:footerReference w:type="first" r:id="rId8"/>
          <w:pgSz w:w="11907" w:h="16840"/>
          <w:pgMar w:top="2041" w:right="1474" w:bottom="2041" w:left="1474" w:header="851" w:footer="1587" w:gutter="0"/>
          <w:pgNumType w:fmt="numberInDash" w:start="1"/>
          <w:rtlGutter/>
          <w:docGrid w:type="lines" w:linePitch="574" w:charSpace="0"/>
        </w:sectPr>
      </w:pPr>
    </w:p>
    <w:p>
      <w:pPr>
        <w:spacing w:line="700" w:lineRule="exact"/>
        <w:ind w:left="0"/>
        <w:rPr>
          <w:rFonts w:eastAsia="楷体"/>
          <w:kern w:val="0"/>
          <w:szCs w:val="32"/>
        </w:rPr>
      </w:pPr>
    </w:p>
    <w:tbl>
      <w:tblPr>
        <w:tblpPr w:leftFromText="180" w:rightFromText="180" w:vertAnchor="page" w:horzAnchor="page" w:tblpX="1573" w:tblpY="3079"/>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hint="eastAsia"/>
                <w:kern w:val="0"/>
                <w:sz w:val="44"/>
                <w:szCs w:val="44"/>
              </w:rPr>
              <w:t>国有资本经营</w:t>
            </w:r>
            <w:r>
              <w:rPr>
                <w:rFonts w:eastAsia="方正小标宋简体"/>
                <w:kern w:val="0"/>
                <w:sz w:val="44"/>
                <w:szCs w:val="44"/>
              </w:rPr>
              <w:t>预算支出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197"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项目支出</w:t>
            </w:r>
          </w:p>
        </w:tc>
      </w:tr>
      <w:tr>
        <w:trPr>
          <w:trHeight w:val="281"/>
        </w:trPr>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2"/>
        </w:trPr>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bl>
    <w:p>
      <w:pPr>
        <w:spacing w:line="700" w:lineRule="exact"/>
        <w:rPr>
          <w:rFonts w:ascii="仿宋_GB2312" w:hint="eastAsia"/>
          <w:kern w:val="0"/>
          <w:sz w:val="28"/>
          <w:szCs w:val="28"/>
        </w:rPr>
      </w:pPr>
      <w:r>
        <w:rPr>
          <w:rFonts w:ascii="仿宋_GB2312" w:hint="eastAsia"/>
          <w:kern w:val="0"/>
          <w:sz w:val="28"/>
          <w:szCs w:val="28"/>
        </w:rPr>
        <w:t>说明：本单位202</w:t>
      </w:r>
      <w:r>
        <w:rPr>
          <w:rFonts w:ascii="仿宋_GB2312"/>
          <w:kern w:val="0"/>
          <w:sz w:val="28"/>
          <w:szCs w:val="28"/>
        </w:rPr>
        <w:t>6</w:t>
      </w:r>
      <w:r>
        <w:rPr>
          <w:rFonts w:ascii="仿宋_GB2312" w:hint="eastAsia"/>
          <w:kern w:val="0"/>
          <w:sz w:val="28"/>
          <w:szCs w:val="28"/>
        </w:rPr>
        <w:t>年度无</w:t>
      </w:r>
      <w:r>
        <w:rPr>
          <w:rFonts w:ascii="仿宋_GB2312"/>
          <w:kern w:val="0"/>
          <w:sz w:val="28"/>
          <w:szCs w:val="28"/>
        </w:rPr>
        <w:t>国有资本经营</w:t>
      </w:r>
      <w:r>
        <w:rPr>
          <w:rFonts w:ascii="仿宋_GB2312" w:hint="eastAsia"/>
          <w:kern w:val="0"/>
          <w:sz w:val="28"/>
          <w:szCs w:val="28"/>
        </w:rPr>
        <w:t>预算，故本表无数据。</w:t>
      </w:r>
    </w:p>
    <w:p>
      <w:pPr>
        <w:spacing w:line="700" w:lineRule="exact"/>
        <w:ind w:left="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trPr>
          <w:trHeight w:val="1273"/>
        </w:trPr>
        <w:tc>
          <w:tcPr>
            <w:tcW w:w="8676" w:type="dxa"/>
            <w:gridSpan w:val="16"/>
            <w:tcBorders>
              <w:top w:val="nil"/>
              <w:left w:val="nil"/>
              <w:bottom w:val="nil"/>
              <w:right w:val="nil"/>
            </w:tcBorders>
            <w:noWrap/>
            <w:vAlign w:val="center"/>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w:t>
            </w:r>
            <w:r>
              <w:rPr>
                <w:rFonts w:ascii="Calibri" w:eastAsia="方正小标宋简体" w:hAnsi="Calibri" w:hint="eastAsia"/>
                <w:kern w:val="0"/>
                <w:sz w:val="44"/>
                <w:szCs w:val="44"/>
                <w:lang w:eastAsia="zh-CN"/>
              </w:rPr>
              <w:t>预算</w:t>
            </w:r>
            <w:r>
              <w:rPr>
                <w:rFonts w:ascii="Calibri" w:eastAsia="方正小标宋简体" w:hAnsi="Calibri"/>
                <w:kern w:val="0"/>
                <w:sz w:val="44"/>
                <w:szCs w:val="44"/>
              </w:rPr>
              <w:t>表</w:t>
            </w:r>
          </w:p>
          <w:p>
            <w:pPr>
              <w:autoSpaceDN w:val="0"/>
              <w:jc w:val="center"/>
              <w:textAlignment w:val="center"/>
              <w:rPr>
                <w:rFonts w:ascii="Calibri" w:eastAsia="华文细黑" w:hAnsi="Calibri" w:hint="eastAsia"/>
                <w:color w:val="000000"/>
                <w:sz w:val="20"/>
                <w:szCs w:val="22"/>
              </w:rPr>
            </w:pPr>
          </w:p>
        </w:tc>
      </w:tr>
      <w:tr>
        <w:trPr>
          <w:trHeight w:val="550"/>
        </w:trPr>
        <w:tc>
          <w:tcPr>
            <w:tcW w:w="472"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1367" w:type="dxa"/>
            <w:gridSpan w:val="2"/>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40"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479"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686"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674" w:type="dxa"/>
            <w:gridSpan w:val="5"/>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758" w:type="dxa"/>
            <w:gridSpan w:val="5"/>
            <w:tcBorders>
              <w:top w:val="nil"/>
              <w:left w:val="nil"/>
              <w:bottom w:val="single" w:sz="4" w:space="0" w:color="auto"/>
              <w:right w:val="nil"/>
            </w:tcBorders>
            <w:noWrap/>
            <w:vAlign w:val="bottom"/>
          </w:tcPr>
          <w:p>
            <w:pPr>
              <w:autoSpaceDN w:val="0"/>
              <w:jc w:val="right"/>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单位：万元</w:t>
            </w:r>
          </w:p>
        </w:tc>
      </w:tr>
      <w:tr>
        <w:trPr>
          <w:trHeight w:val="836"/>
        </w:trPr>
        <w:tc>
          <w:tcPr>
            <w:tcW w:w="472"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类型</w:t>
            </w:r>
          </w:p>
        </w:tc>
        <w:tc>
          <w:tcPr>
            <w:tcW w:w="1607"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项目名称</w:t>
            </w:r>
          </w:p>
        </w:tc>
        <w:tc>
          <w:tcPr>
            <w:tcW w:w="479" w:type="dxa"/>
            <w:vMerge w:val="restart"/>
            <w:tcBorders>
              <w:top w:val="single" w:sz="4" w:space="0" w:color="auto"/>
              <w:left w:val="single" w:sz="4" w:space="0" w:color="auto"/>
              <w:bottom w:val="single" w:sz="4" w:space="0" w:color="auto"/>
              <w:right w:val="single" w:sz="4" w:space="0" w:color="auto"/>
            </w:tcBorders>
            <w:noWrap/>
            <w:textDirection w:val="tbLrV"/>
            <w:vAlign w:val="center"/>
          </w:tcPr>
          <w:p>
            <w:pPr>
              <w:autoSpaceDN w:val="0"/>
              <w:ind w:left="113" w:right="113"/>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部门（单位）名称</w:t>
            </w:r>
          </w:p>
        </w:tc>
        <w:tc>
          <w:tcPr>
            <w:tcW w:w="686"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合计</w:t>
            </w:r>
          </w:p>
        </w:tc>
        <w:tc>
          <w:tcPr>
            <w:tcW w:w="2674"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本年预算</w:t>
            </w:r>
          </w:p>
        </w:tc>
        <w:tc>
          <w:tcPr>
            <w:tcW w:w="2758"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上年结转结余</w:t>
            </w:r>
          </w:p>
        </w:tc>
      </w:tr>
      <w:tr>
        <w:trPr>
          <w:trHeight w:val="836"/>
        </w:trPr>
        <w:tc>
          <w:tcPr>
            <w:tcW w:w="472" w:type="dxa"/>
            <w:vMerge/>
            <w:tcBorders>
              <w:top w:val="single" w:sz="4" w:space="0" w:color="auto"/>
              <w:left w:val="single" w:sz="4" w:space="0" w:color="auto"/>
              <w:bottom w:val="single" w:sz="4" w:space="0" w:color="auto"/>
              <w:right w:val="single" w:sz="4" w:space="0" w:color="auto"/>
            </w:tcBorders>
            <w:noWrap/>
            <w:vAlign w:val="center"/>
          </w:tcPr>
          <w:p/>
        </w:tc>
        <w:tc>
          <w:tcPr>
            <w:tcW w:w="78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一级项目</w:t>
            </w:r>
          </w:p>
        </w:tc>
        <w:tc>
          <w:tcPr>
            <w:tcW w:w="827" w:type="dxa"/>
            <w:gridSpan w:val="2"/>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二级</w:t>
            </w:r>
            <w:r>
              <w:rPr>
                <w:rFonts w:ascii="宋体" w:eastAsia="宋体" w:cs="宋体" w:hint="eastAsia"/>
                <w:color w:val="000000"/>
                <w:sz w:val="20"/>
                <w:szCs w:val="22"/>
                <w:lang w:val="en-US" w:eastAsia="zh-CN"/>
              </w:rPr>
              <w:t xml:space="preserve">  </w:t>
            </w:r>
            <w:r>
              <w:rPr>
                <w:rFonts w:ascii="宋体" w:eastAsia="宋体" w:cs="宋体" w:hint="eastAsia"/>
                <w:color w:val="000000"/>
                <w:sz w:val="20"/>
                <w:szCs w:val="22"/>
              </w:rPr>
              <w:t>项目</w:t>
            </w:r>
          </w:p>
        </w:tc>
        <w:tc>
          <w:tcPr>
            <w:tcW w:w="479"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686" w:type="dxa"/>
            <w:vMerge/>
            <w:tcBorders>
              <w:top w:val="single" w:sz="4" w:space="0" w:color="auto"/>
              <w:left w:val="single" w:sz="4" w:space="0" w:color="auto"/>
              <w:bottom w:val="single" w:sz="4" w:space="0" w:color="auto"/>
              <w:right w:val="single" w:sz="4" w:space="0" w:color="auto"/>
            </w:tcBorders>
            <w:noWrap/>
            <w:vAlign w:val="center"/>
          </w:tcPr>
          <w:p/>
        </w:tc>
        <w:tc>
          <w:tcPr>
            <w:tcW w:w="1582"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w:t>
            </w:r>
          </w:p>
        </w:tc>
        <w:tc>
          <w:tcPr>
            <w:tcW w:w="552" w:type="dxa"/>
            <w:vMerge w:val="restart"/>
            <w:tcBorders>
              <w:top w:val="single" w:sz="4" w:space="0" w:color="auto"/>
              <w:left w:val="single" w:sz="4" w:space="0" w:color="auto"/>
              <w:bottom w:val="single" w:sz="4" w:space="0" w:color="auto"/>
              <w:right w:val="single" w:sz="4" w:space="0" w:color="auto"/>
            </w:tcBorders>
            <w:noWrap/>
            <w:vAlign w:val="center"/>
          </w:tcPr>
          <w:p>
            <w:pPr>
              <w:autoSpaceDN w:val="0"/>
              <w:spacing w:line="240" w:lineRule="auto"/>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54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单位资金</w:t>
            </w:r>
          </w:p>
        </w:tc>
        <w:tc>
          <w:tcPr>
            <w:tcW w:w="1524"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财政拨款结转</w:t>
            </w:r>
          </w:p>
        </w:tc>
        <w:tc>
          <w:tcPr>
            <w:tcW w:w="1234" w:type="dxa"/>
            <w:gridSpan w:val="2"/>
            <w:tcBorders>
              <w:top w:val="single" w:sz="4" w:space="0" w:color="auto"/>
              <w:left w:val="single" w:sz="4" w:space="0" w:color="auto"/>
              <w:bottom w:val="single" w:sz="4" w:space="0" w:color="auto"/>
              <w:right w:val="single" w:sz="4" w:space="0" w:color="auto"/>
            </w:tcBorders>
            <w:noWrap/>
            <w:vAlign w:val="center"/>
          </w:tcPr>
          <w:p>
            <w:pPr>
              <w:tabs>
                <w:tab w:val="left" w:pos="492"/>
              </w:tabs>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非财政拨款结转结余</w:t>
            </w:r>
          </w:p>
        </w:tc>
      </w:tr>
      <w:tr>
        <w:trPr>
          <w:trHeight w:val="2876"/>
        </w:trPr>
        <w:tc>
          <w:tcPr>
            <w:tcW w:w="472" w:type="dxa"/>
            <w:vMerge/>
            <w:tcBorders>
              <w:top w:val="single" w:sz="4" w:space="0" w:color="auto"/>
              <w:left w:val="single" w:sz="4" w:space="0" w:color="auto"/>
              <w:bottom w:val="single" w:sz="4" w:space="0" w:color="auto"/>
              <w:right w:val="single" w:sz="4" w:space="0" w:color="auto"/>
            </w:tcBorders>
            <w:noWrap/>
            <w:vAlign w:val="center"/>
          </w:tcPr>
          <w:p/>
        </w:tc>
        <w:tc>
          <w:tcPr>
            <w:tcW w:w="780" w:type="dxa"/>
            <w:vMerge/>
            <w:tcBorders>
              <w:top w:val="single" w:sz="4" w:space="0" w:color="auto"/>
              <w:left w:val="single" w:sz="4" w:space="0" w:color="auto"/>
              <w:bottom w:val="single" w:sz="4" w:space="0" w:color="auto"/>
              <w:right w:val="single" w:sz="4" w:space="0" w:color="auto"/>
            </w:tcBorders>
            <w:noWrap/>
            <w:vAlign w:val="center"/>
          </w:tcPr>
          <w:p/>
        </w:tc>
        <w:tc>
          <w:tcPr>
            <w:tcW w:w="827" w:type="dxa"/>
            <w:gridSpan w:val="2"/>
            <w:vMerge/>
            <w:tcBorders>
              <w:top w:val="single" w:sz="4" w:space="0" w:color="auto"/>
              <w:left w:val="single" w:sz="4" w:space="0" w:color="auto"/>
              <w:bottom w:val="single" w:sz="4" w:space="0" w:color="auto"/>
              <w:right w:val="single" w:sz="4" w:space="0" w:color="auto"/>
            </w:tcBorders>
            <w:noWrap/>
            <w:vAlign w:val="center"/>
          </w:tcPr>
          <w:p/>
        </w:tc>
        <w:tc>
          <w:tcPr>
            <w:tcW w:w="479" w:type="dxa"/>
            <w:vMerge/>
            <w:tcBorders>
              <w:top w:val="single" w:sz="4" w:space="0" w:color="auto"/>
              <w:left w:val="single" w:sz="4" w:space="0" w:color="auto"/>
              <w:bottom w:val="single" w:sz="4" w:space="0" w:color="auto"/>
              <w:right w:val="single" w:sz="4" w:space="0" w:color="auto"/>
            </w:tcBorders>
            <w:noWrap/>
            <w:vAlign w:val="center"/>
          </w:tcPr>
          <w:p/>
        </w:tc>
        <w:tc>
          <w:tcPr>
            <w:tcW w:w="686" w:type="dxa"/>
            <w:vMerge/>
            <w:tcBorders>
              <w:top w:val="single" w:sz="4" w:space="0" w:color="auto"/>
              <w:left w:val="single" w:sz="4" w:space="0" w:color="auto"/>
              <w:bottom w:val="single" w:sz="4" w:space="0" w:color="auto"/>
              <w:right w:val="single" w:sz="4" w:space="0" w:color="auto"/>
            </w:tcBorders>
            <w:noWrap/>
            <w:vAlign w:val="center"/>
          </w:tcPr>
          <w:p/>
        </w:tc>
        <w:tc>
          <w:tcPr>
            <w:tcW w:w="52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一般公共预算</w:t>
            </w:r>
          </w:p>
        </w:tc>
        <w:tc>
          <w:tcPr>
            <w:tcW w:w="52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基金</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预算</w:t>
            </w:r>
          </w:p>
        </w:tc>
        <w:tc>
          <w:tcPr>
            <w:tcW w:w="528"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国有资本经营预算</w:t>
            </w:r>
          </w:p>
        </w:tc>
        <w:tc>
          <w:tcPr>
            <w:tcW w:w="552"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540"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468"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w:t>
              <w:br/>
              <w:t>公共</w:t>
              <w:br/>
              <w:t>预算</w:t>
            </w:r>
          </w:p>
        </w:tc>
        <w:tc>
          <w:tcPr>
            <w:tcW w:w="552"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br/>
              <w:t>基金</w:t>
              <w:br/>
              <w:t>预算</w:t>
            </w:r>
          </w:p>
        </w:tc>
        <w:tc>
          <w:tcPr>
            <w:tcW w:w="50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国有资本经营</w:t>
              <w:br/>
              <w:t>预算</w:t>
            </w:r>
          </w:p>
        </w:tc>
        <w:tc>
          <w:tcPr>
            <w:tcW w:w="68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55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单位资金</w:t>
            </w: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合计</w:t>
            </w:r>
          </w:p>
        </w:tc>
        <w:tc>
          <w:tcPr>
            <w:tcW w:w="78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bl>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sectPr>
          <w:pgSz w:w="11907" w:h="16840"/>
          <w:pgMar w:top="2041" w:right="1588" w:bottom="2041" w:left="1588" w:header="851" w:footer="1588" w:gutter="0"/>
          <w:pgNumType w:fmt="numberInDash"/>
          <w:titlePg/>
          <w:docGrid w:type="lines" w:linePitch="574" w:charSpace="-1675"/>
        </w:sectPr>
      </w:pPr>
    </w:p>
    <w:tbl>
      <w:tblPr>
        <w:tblpPr w:leftFromText="180" w:rightFromText="180" w:vertAnchor="text" w:tblpX="90" w:tblpY="337"/>
        <w:tblOverlap w:val="nev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rPr>
          <w:trHeight w:val="1087"/>
        </w:trPr>
        <w:tc>
          <w:tcPr>
            <w:tcW w:w="8780" w:type="dxa"/>
            <w:gridSpan w:val="9"/>
            <w:tcBorders>
              <w:top w:val="nil"/>
              <w:left w:val="nil"/>
              <w:bottom w:val="nil"/>
              <w:right w:val="nil"/>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eastAsia="方正小标宋简体" w:hint="eastAsia"/>
                <w:kern w:val="0"/>
                <w:sz w:val="44"/>
                <w:szCs w:val="44"/>
                <w:lang w:eastAsia="zh-CN"/>
              </w:rPr>
              <w:t>财政拨款委托业务费支出预算表</w:t>
            </w:r>
          </w:p>
        </w:tc>
      </w:tr>
      <w:tr>
        <w:trPr>
          <w:trHeight w:val="721"/>
        </w:trPr>
        <w:tc>
          <w:tcPr>
            <w:tcW w:w="8780" w:type="dxa"/>
            <w:gridSpan w:val="9"/>
            <w:tcBorders>
              <w:top w:val="nil"/>
              <w:left w:val="nil"/>
              <w:bottom w:val="single" w:sz="4" w:space="0" w:color="auto"/>
              <w:right w:val="nil"/>
            </w:tcBorders>
            <w:noWrap/>
            <w:vAlign w:val="bottom"/>
          </w:tcPr>
          <w:p>
            <w:pPr>
              <w:spacing w:line="240" w:lineRule="auto"/>
              <w:jc w:val="right"/>
              <w:rPr>
                <w:rFonts w:ascii="华文细黑" w:eastAsia="华文细黑" w:cs="华文细黑" w:hint="eastAsia"/>
                <w:kern w:val="0"/>
                <w:sz w:val="20"/>
                <w:szCs w:val="20"/>
                <w:vertAlign w:val="baseline"/>
                <w:lang w:eastAsia="zh-CN"/>
              </w:rPr>
            </w:pPr>
            <w:r>
              <w:rPr>
                <w:rFonts w:eastAsia="华文细黑"/>
                <w:color w:val="000000"/>
                <w:kern w:val="0"/>
                <w:sz w:val="20"/>
              </w:rPr>
              <w:t>单位：万元</w:t>
            </w:r>
          </w:p>
        </w:tc>
      </w:tr>
      <w:tr>
        <w:trPr>
          <w:trHeight w:val="744"/>
        </w:trPr>
        <w:tc>
          <w:tcPr>
            <w:tcW w:w="181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000000"/>
                <w:sz w:val="20"/>
                <w:szCs w:val="20"/>
                <w:lang w:val="en-US" w:eastAsia="zh-CN"/>
              </w:rPr>
            </w:pPr>
            <w:r>
              <w:rPr>
                <w:rFonts w:ascii="华文细黑" w:eastAsia="华文细黑" w:cs="华文细黑" w:hint="eastAsia"/>
                <w:color w:val="000000"/>
                <w:sz w:val="20"/>
                <w:szCs w:val="20"/>
                <w:lang w:eastAsia="zh-CN"/>
              </w:rPr>
              <w:t>部门</w:t>
            </w:r>
            <w:r>
              <w:rPr>
                <w:rFonts w:ascii="华文细黑" w:eastAsia="华文细黑" w:cs="华文细黑" w:hint="eastAsia"/>
                <w:color w:val="000000"/>
                <w:sz w:val="20"/>
                <w:szCs w:val="20"/>
                <w:lang w:val="en-US" w:eastAsia="zh-CN"/>
              </w:rPr>
              <w:t>/单位/</w:t>
            </w:r>
          </w:p>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val="en-US" w:eastAsia="zh-CN"/>
              </w:rPr>
              <w:t>项目名称</w:t>
            </w:r>
          </w:p>
        </w:tc>
        <w:tc>
          <w:tcPr>
            <w:tcW w:w="1284"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eastAsia="zh-CN"/>
              </w:rPr>
              <w:t>委托事</w:t>
            </w:r>
            <w:r>
              <w:rPr>
                <w:rFonts w:ascii="华文细黑" w:eastAsia="华文细黑" w:cs="华文细黑" w:hint="eastAsia"/>
                <w:color w:val="000000"/>
                <w:sz w:val="20"/>
                <w:szCs w:val="20"/>
                <w:lang w:val="en-US" w:eastAsia="zh-CN"/>
              </w:rPr>
              <w:t xml:space="preserve">    </w:t>
            </w:r>
            <w:r>
              <w:rPr>
                <w:rFonts w:ascii="华文细黑" w:eastAsia="华文细黑" w:cs="华文细黑" w:hint="eastAsia"/>
                <w:color w:val="000000"/>
                <w:sz w:val="20"/>
                <w:szCs w:val="20"/>
                <w:lang w:eastAsia="zh-CN"/>
              </w:rPr>
              <w:t>项内容</w:t>
            </w:r>
          </w:p>
        </w:tc>
        <w:tc>
          <w:tcPr>
            <w:tcW w:w="2778" w:type="dxa"/>
            <w:gridSpan w:val="4"/>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lang w:eastAsia="zh-CN"/>
              </w:rPr>
              <w:t>财政拨款收入</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是否政府购买服务</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103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府采购</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80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特殊情况说明</w:t>
            </w:r>
          </w:p>
        </w:tc>
      </w:tr>
      <w:tr>
        <w:trPr>
          <w:trHeight w:val="2147"/>
        </w:trPr>
        <w:tc>
          <w:tcPr>
            <w:tcW w:w="1816" w:type="dxa"/>
            <w:vMerge/>
            <w:tcBorders>
              <w:top w:val="single" w:sz="4" w:space="0" w:color="auto"/>
              <w:left w:val="single" w:sz="4" w:space="0" w:color="auto"/>
              <w:bottom w:val="single" w:sz="4" w:space="0" w:color="auto"/>
              <w:right w:val="single" w:sz="4" w:space="0" w:color="auto"/>
            </w:tcBorders>
            <w:noWrap/>
            <w:vAlign w:val="center"/>
          </w:tcPr>
          <w:p/>
        </w:tc>
        <w:tc>
          <w:tcPr>
            <w:tcW w:w="1284" w:type="dxa"/>
            <w:vMerge/>
            <w:tcBorders>
              <w:top w:val="single" w:sz="4" w:space="0" w:color="auto"/>
              <w:left w:val="single" w:sz="4" w:space="0" w:color="auto"/>
              <w:bottom w:val="single" w:sz="4" w:space="0" w:color="auto"/>
              <w:right w:val="single" w:sz="4" w:space="0" w:color="auto"/>
            </w:tcBorders>
            <w:noWrap/>
            <w:vAlign w:val="center"/>
          </w:tc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合计</w:t>
            </w: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eastAsia="华文细黑" w:hint="eastAsia"/>
                <w:color w:val="000000"/>
                <w:sz w:val="20"/>
                <w:szCs w:val="22"/>
                <w:lang w:eastAsia="zh-CN"/>
              </w:rPr>
              <w:t>一般公共预算拨款收入</w:t>
            </w: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政府性基金预算拨款收入</w:t>
            </w: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国有资本经营预算拨款收入</w:t>
            </w:r>
          </w:p>
        </w:tc>
        <w:tc>
          <w:tcPr>
            <w:tcW w:w="1063" w:type="dxa"/>
            <w:vMerge/>
            <w:tcBorders>
              <w:top w:val="single" w:sz="4" w:space="0" w:color="auto"/>
              <w:left w:val="single" w:sz="4" w:space="0" w:color="auto"/>
              <w:bottom w:val="single" w:sz="4" w:space="0" w:color="auto"/>
              <w:right w:val="single" w:sz="4" w:space="0" w:color="auto"/>
            </w:tcBorders>
            <w:noWrap/>
            <w:vAlign w:val="center"/>
          </w:tcPr>
          <w:p/>
        </w:tc>
        <w:tc>
          <w:tcPr>
            <w:tcW w:w="1036" w:type="dxa"/>
            <w:vMerge/>
            <w:tcBorders>
              <w:top w:val="single" w:sz="4" w:space="0" w:color="auto"/>
              <w:left w:val="single" w:sz="4" w:space="0" w:color="auto"/>
              <w:bottom w:val="single" w:sz="4" w:space="0" w:color="auto"/>
              <w:right w:val="single" w:sz="4" w:space="0" w:color="auto"/>
            </w:tcBorders>
            <w:noWrap/>
            <w:vAlign w:val="center"/>
          </w:tcPr>
          <w:p/>
        </w:tc>
        <w:tc>
          <w:tcPr>
            <w:tcW w:w="803" w:type="dxa"/>
            <w:vMerge/>
            <w:tcBorders>
              <w:top w:val="single" w:sz="4" w:space="0" w:color="auto"/>
              <w:left w:val="single" w:sz="4" w:space="0" w:color="auto"/>
              <w:bottom w:val="single" w:sz="4" w:space="0" w:color="auto"/>
              <w:right w:val="single" w:sz="4" w:space="0" w:color="auto"/>
            </w:tcBorders>
            <w:noWrap/>
            <w:vAlign w:val="center"/>
          </w:tc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部门名称</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79"/>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bl>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rPr>
      </w:pPr>
    </w:p>
    <w:tbl>
      <w:tblPr>
        <w:jc w:val="left"/>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trPr>
          <w:trHeight w:val="688"/>
        </w:trPr>
        <w:tc>
          <w:tcPr>
            <w:tcW w:w="8941" w:type="dxa"/>
            <w:gridSpan w:val="10"/>
            <w:tcBorders>
              <w:top w:val="nil"/>
              <w:left w:val="nil"/>
              <w:bottom w:val="single" w:sz="4" w:space="0" w:color="000000"/>
              <w:right w:val="nil"/>
            </w:tcBorders>
            <w:noWrap/>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w:t>
            </w:r>
            <w:r>
              <w:rPr>
                <w:rFonts w:ascii="Calibri" w:eastAsia="方正小标宋简体" w:hAnsi="Calibri" w:hint="eastAsia"/>
                <w:kern w:val="0"/>
                <w:sz w:val="44"/>
                <w:szCs w:val="44"/>
                <w:lang w:eastAsia="zh-CN"/>
              </w:rPr>
              <w:t>绩效目标</w:t>
            </w:r>
            <w:r>
              <w:rPr>
                <w:rFonts w:ascii="Calibri" w:eastAsia="方正小标宋简体" w:hAnsi="Calibri"/>
                <w:kern w:val="0"/>
                <w:sz w:val="44"/>
                <w:szCs w:val="44"/>
              </w:rPr>
              <w:t>表</w:t>
            </w:r>
          </w:p>
          <w:p>
            <w:pPr>
              <w:spacing w:line="700" w:lineRule="exact"/>
              <w:jc w:val="right"/>
              <w:rPr>
                <w:rFonts w:eastAsia="楷体"/>
                <w:kern w:val="0"/>
                <w:szCs w:val="32"/>
                <w:vertAlign w:val="baseline"/>
              </w:rPr>
            </w:pPr>
            <w:r>
              <w:rPr>
                <w:rFonts w:ascii="Calibri" w:eastAsia="华文细黑" w:hAnsi="Calibri" w:hint="eastAsia"/>
                <w:color w:val="000000"/>
                <w:sz w:val="20"/>
                <w:szCs w:val="22"/>
              </w:rPr>
              <w:t>单位：万元</w:t>
            </w:r>
          </w:p>
        </w:tc>
      </w:tr>
      <w:tr>
        <w:trPr>
          <w:trHeight w:val="1071"/>
        </w:trPr>
        <w:tc>
          <w:tcPr>
            <w:tcW w:w="103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单位名称</w:t>
            </w:r>
          </w:p>
        </w:tc>
        <w:tc>
          <w:tcPr>
            <w:tcW w:w="103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项目名称</w:t>
            </w:r>
          </w:p>
        </w:tc>
        <w:tc>
          <w:tcPr>
            <w:tcW w:w="103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年度资</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金总额</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（万元）</w:t>
            </w:r>
          </w:p>
        </w:tc>
        <w:tc>
          <w:tcPr>
            <w:tcW w:w="103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年度绩</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效目标</w:t>
            </w:r>
          </w:p>
        </w:tc>
        <w:tc>
          <w:tcPr>
            <w:tcW w:w="77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一级指标</w:t>
            </w:r>
          </w:p>
        </w:tc>
        <w:tc>
          <w:tcPr>
            <w:tcW w:w="1447"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二级指标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三级指标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指标解释</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指标值</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权重</w:t>
            </w:r>
          </w:p>
        </w:tc>
      </w:tr>
      <w:tr>
        <w:trPr>
          <w:trHeight w:val="561"/>
        </w:trPr>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77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成本指标</w:t>
            </w:r>
          </w:p>
        </w:tc>
        <w:tc>
          <w:tcPr>
            <w:tcW w:w="1447"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经济成本指标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000000"/>
              <w:bottom w:val="single" w:sz="4" w:space="0" w:color="auto"/>
              <w:right w:val="single" w:sz="4" w:space="0" w:color="000000"/>
            </w:tcBorders>
            <w:noWrap/>
            <w:vAlign w:val="center"/>
          </w:tcPr>
          <w:p/>
        </w:tc>
        <w:tc>
          <w:tcPr>
            <w:tcW w:w="1447"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社会成本指标</w:t>
            </w: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000000"/>
              <w:bottom w:val="single" w:sz="4" w:space="0" w:color="auto"/>
              <w:right w:val="single" w:sz="4" w:space="0" w:color="000000"/>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生态环境成本指标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产出指标</w:t>
            </w: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数量指标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质量指标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时效指标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效益指标</w:t>
            </w: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经济效益指标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社会效益指标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生态效益指标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104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满意度指标</w:t>
            </w: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服务对象满意度指标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bl>
    <w:p>
      <w:pPr>
        <w:spacing w:line="700" w:lineRule="exact"/>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hint="eastAsia"/>
          <w:kern w:val="0"/>
          <w:szCs w:val="32"/>
        </w:rPr>
      </w:pPr>
      <w:r>
        <w:rPr>
          <w:rFonts w:eastAsia="楷体" w:hint="eastAsia"/>
          <w:kern w:val="0"/>
          <w:szCs w:val="32"/>
        </w:rPr>
        <w:br w:type="page"/>
      </w:r>
    </w:p>
    <w:p>
      <w:pPr>
        <w:ind w:firstLineChars="200" w:firstLine="640"/>
        <w:jc w:val="center"/>
        <w:rPr>
          <w:rFonts w:eastAsia="黑体"/>
        </w:rPr>
      </w:pPr>
      <w:r>
        <w:rPr>
          <w:rFonts w:eastAsia="黑体"/>
        </w:rPr>
        <w:t>第三部分 情况说明</w:t>
      </w:r>
    </w:p>
    <w:p>
      <w:pPr>
        <w:rPr>
          <w:rFonts w:eastAsia="仿宋"/>
          <w:szCs w:val="32"/>
        </w:rPr>
      </w:pPr>
    </w:p>
    <w:p>
      <w:pPr>
        <w:ind w:firstLineChars="200" w:firstLine="640"/>
        <w:rPr>
          <w:rFonts w:eastAsia="黑体"/>
          <w:szCs w:val="32"/>
        </w:rPr>
      </w:pPr>
      <w:r>
        <w:rPr>
          <w:rFonts w:eastAsia="黑体"/>
          <w:szCs w:val="32"/>
        </w:rPr>
        <w:t>一、20</w:t>
      </w:r>
      <w:r>
        <w:rPr>
          <w:rFonts w:eastAsia="黑体" w:hint="eastAsia"/>
          <w:szCs w:val="32"/>
        </w:rPr>
        <w:t>2</w:t>
      </w:r>
      <w:r>
        <w:rPr>
          <w:rFonts w:eastAsia="黑体" w:hint="eastAsia"/>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adjustRightInd/>
        <w:snapToGrid/>
        <w:ind w:left="0" w:firstLineChars="200" w:firstLine="640"/>
        <w:rPr>
          <w:rFonts w:eastAsia="楷体"/>
          <w:szCs w:val="30"/>
        </w:rPr>
      </w:pPr>
      <w:r>
        <w:rPr>
          <w:szCs w:val="32"/>
        </w:rPr>
        <w:t>按照综合预算的原则，所有收入和支出全部纳入单位预算管理。收入包括：一般公共预算拨款收入；支出包括：一般公共服务支出、社会保障和就业支出、</w:t>
      </w:r>
      <w:r>
        <w:rPr>
          <w:rFonts w:ascii="仿宋_GB2312" w:hint="eastAsia"/>
          <w:szCs w:val="32"/>
        </w:rPr>
        <w:t>卫生健康支出、住房保障支出等</w:t>
      </w:r>
      <w:r>
        <w:rPr>
          <w:szCs w:val="32"/>
        </w:rPr>
        <w:t>。20</w:t>
      </w:r>
      <w:r>
        <w:rPr>
          <w:rFonts w:hint="eastAsia"/>
          <w:szCs w:val="32"/>
        </w:rPr>
        <w:t>2</w:t>
      </w:r>
      <w:r>
        <w:rPr>
          <w:rFonts w:hint="eastAsia"/>
          <w:szCs w:val="32"/>
          <w:lang w:val="en-US" w:eastAsia="zh-CN"/>
        </w:rPr>
        <w:t>6</w:t>
      </w:r>
      <w:r>
        <w:rPr>
          <w:szCs w:val="32"/>
        </w:rPr>
        <w:t>年收支总预算1605.76万元</w:t>
      </w:r>
      <w:r>
        <w:rPr>
          <w:rFonts w:hint="eastAsia"/>
          <w:szCs w:val="32"/>
          <w:lang w:eastAsia="zh-CN"/>
        </w:rPr>
        <w:t>，其中：本年预算</w:t>
      </w:r>
      <w:r>
        <w:rPr>
          <w:szCs w:val="32"/>
        </w:rPr>
        <w:t>1605.76</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预算增加73.94万元，主要原因是</w:t>
        <w:softHyphen/>
        <w:softHyphen/>
        <w:softHyphen/>
        <w:t>2026年由单位缴纳地职业年金部分纳入预算。</w:t>
      </w:r>
    </w:p>
    <w:p>
      <w:pPr>
        <w:keepNext w:val="0"/>
        <w:keepLines w:val="0"/>
        <w:pageBreakBefore w:val="0"/>
        <w:widowControl w:val="0"/>
        <w:kinsoku/>
        <w:wordWrap w:val="0"/>
        <w:overflowPunct/>
        <w:topLinePunct w:val="0"/>
        <w:autoSpaceDE/>
        <w:autoSpaceDN/>
        <w:adjustRightInd/>
        <w:snapToGrid/>
        <w:ind w:left="0" w:firstLineChars="200" w:firstLine="640"/>
        <w:rPr>
          <w:szCs w:val="32"/>
        </w:rPr>
      </w:pPr>
      <w:r>
        <w:rPr>
          <w:rFonts w:eastAsia="黑体"/>
          <w:szCs w:val="32"/>
        </w:rPr>
        <w:t>二、20</w:t>
      </w:r>
      <w:r>
        <w:rPr>
          <w:rFonts w:eastAsia="黑体" w:hint="eastAsia"/>
          <w:szCs w:val="32"/>
        </w:rPr>
        <w:t>2</w:t>
      </w:r>
      <w:r>
        <w:rPr>
          <w:rFonts w:eastAsia="黑体" w:hint="eastAsia"/>
          <w:szCs w:val="32"/>
          <w:lang w:val="en-US" w:eastAsia="zh-CN"/>
        </w:rPr>
        <w:t>6</w:t>
      </w:r>
      <w:r>
        <w:rPr>
          <w:rFonts w:eastAsia="黑体"/>
          <w:szCs w:val="32"/>
        </w:rPr>
        <w:t>年收入预算情况</w:t>
      </w:r>
    </w:p>
    <w:p>
      <w:pPr>
        <w:ind w:firstLineChars="200" w:firstLine="640"/>
        <w:rPr>
          <w:rFonts w:eastAsia="楷体"/>
          <w:szCs w:val="30"/>
        </w:rPr>
      </w:pPr>
      <w:r>
        <w:rPr>
          <w:szCs w:val="32"/>
        </w:rPr>
        <w:t>20</w:t>
      </w:r>
      <w:r>
        <w:rPr>
          <w:rFonts w:hint="eastAsia"/>
          <w:szCs w:val="32"/>
        </w:rPr>
        <w:t>2</w:t>
      </w:r>
      <w:r>
        <w:rPr>
          <w:rFonts w:hint="eastAsia"/>
          <w:szCs w:val="32"/>
          <w:lang w:val="en-US" w:eastAsia="zh-CN"/>
        </w:rPr>
        <w:t>6</w:t>
      </w:r>
      <w:r>
        <w:rPr>
          <w:szCs w:val="32"/>
        </w:rPr>
        <w:t>年收入预算1605.76万元，其中：本年收入1605.76万元，占100%。本年收入中，一般公共预算拨款收入1605.76万元，占100%</w:t>
      </w:r>
      <w:r>
        <w:rPr>
          <w:rFonts w:hint="eastAsia"/>
          <w:szCs w:val="32"/>
        </w:rPr>
        <w:t>。</w:t>
      </w:r>
    </w:p>
    <w:p>
      <w:pPr>
        <w:ind w:left="0" w:firstLineChars="200" w:firstLine="640"/>
        <w:rPr>
          <w:rFonts w:eastAsia="黑体"/>
          <w:szCs w:val="32"/>
        </w:rPr>
      </w:pPr>
      <w:r>
        <w:rPr>
          <w:rFonts w:eastAsia="黑体"/>
          <w:szCs w:val="32"/>
        </w:rPr>
        <w:t>三、20</w:t>
      </w:r>
      <w:r>
        <w:rPr>
          <w:rFonts w:eastAsia="黑体" w:hint="eastAsia"/>
          <w:szCs w:val="32"/>
        </w:rPr>
        <w:t>2</w:t>
      </w:r>
      <w:r>
        <w:rPr>
          <w:rFonts w:eastAsia="黑体" w:hint="eastAsia"/>
          <w:szCs w:val="32"/>
          <w:lang w:val="en-US" w:eastAsia="zh-CN"/>
        </w:rPr>
        <w:t>6</w:t>
      </w:r>
      <w:r>
        <w:rPr>
          <w:rFonts w:eastAsia="黑体"/>
          <w:szCs w:val="32"/>
        </w:rPr>
        <w:t>年支出预算情况</w:t>
      </w:r>
    </w:p>
    <w:p>
      <w:pPr>
        <w:ind w:firstLineChars="200" w:firstLine="640"/>
        <w:rPr>
          <w:szCs w:val="32"/>
        </w:rPr>
      </w:pPr>
      <w:r>
        <w:rPr>
          <w:szCs w:val="32"/>
        </w:rPr>
        <w:t>20</w:t>
      </w:r>
      <w:r>
        <w:rPr>
          <w:rFonts w:hint="eastAsia"/>
          <w:szCs w:val="32"/>
        </w:rPr>
        <w:t>2</w:t>
      </w:r>
      <w:r>
        <w:rPr>
          <w:rFonts w:hint="eastAsia"/>
          <w:szCs w:val="32"/>
          <w:lang w:val="en-US" w:eastAsia="zh-CN"/>
        </w:rPr>
        <w:t>6</w:t>
      </w:r>
      <w:r>
        <w:rPr>
          <w:szCs w:val="32"/>
        </w:rPr>
        <w:t>年支出预算1605.76万元，其中：基本支出1605.76万元，占100%。</w:t>
      </w:r>
    </w:p>
    <w:p>
      <w:pPr>
        <w:ind w:left="0" w:firstLineChars="200" w:firstLine="640"/>
        <w:rPr>
          <w:rFonts w:eastAsia="黑体"/>
          <w:szCs w:val="32"/>
        </w:rPr>
      </w:pPr>
      <w:r>
        <w:rPr>
          <w:rFonts w:eastAsia="黑体"/>
          <w:szCs w:val="32"/>
        </w:rPr>
        <w:t>四、20</w:t>
      </w:r>
      <w:r>
        <w:rPr>
          <w:rFonts w:eastAsia="黑体" w:hint="eastAsia"/>
          <w:szCs w:val="32"/>
        </w:rPr>
        <w:t>2</w:t>
      </w:r>
      <w:r>
        <w:rPr>
          <w:rFonts w:eastAsia="黑体" w:hint="eastAsia"/>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年财政拨款收支总预算1605.76万元，其中：</w:t>
      </w:r>
      <w:r>
        <w:rPr>
          <w:rFonts w:hint="eastAsia"/>
          <w:szCs w:val="32"/>
        </w:rPr>
        <w:t>本年</w:t>
      </w:r>
      <w:r>
        <w:rPr>
          <w:rFonts w:hint="eastAsia"/>
          <w:szCs w:val="32"/>
          <w:lang w:eastAsia="zh-CN"/>
        </w:rPr>
        <w:t>预算</w:t>
      </w:r>
      <w:r>
        <w:rPr>
          <w:szCs w:val="32"/>
        </w:rPr>
        <w:t>1605.76万元</w:t>
      </w:r>
      <w:r>
        <w:rPr>
          <w:rFonts w:hint="eastAsia"/>
          <w:szCs w:val="32"/>
        </w:rPr>
        <w:t>。</w:t>
      </w:r>
      <w:r>
        <w:rPr>
          <w:szCs w:val="32"/>
        </w:rPr>
        <w:t>支出包括：</w:t>
      </w:r>
      <w:r>
        <w:rPr>
          <w:kern w:val="0"/>
          <w:szCs w:val="32"/>
        </w:rPr>
        <w:t>一般公共服务支出</w:t>
      </w:r>
      <w:r>
        <w:rPr>
          <w:szCs w:val="32"/>
        </w:rPr>
        <w:t>1140.64万元，</w:t>
      </w:r>
      <w:r>
        <w:rPr>
          <w:kern w:val="0"/>
          <w:szCs w:val="32"/>
        </w:rPr>
        <w:t>社会保障和就业支出</w:t>
      </w:r>
      <w:r>
        <w:rPr>
          <w:szCs w:val="32"/>
        </w:rPr>
        <w:t>247.77万元，</w:t>
      </w:r>
      <w:r>
        <w:rPr>
          <w:kern w:val="0"/>
          <w:szCs w:val="32"/>
        </w:rPr>
        <w:t>卫生</w:t>
      </w:r>
      <w:r>
        <w:rPr>
          <w:rFonts w:hint="eastAsia"/>
          <w:kern w:val="0"/>
          <w:szCs w:val="32"/>
        </w:rPr>
        <w:t>健康</w:t>
      </w:r>
      <w:r>
        <w:rPr>
          <w:kern w:val="0"/>
          <w:szCs w:val="32"/>
        </w:rPr>
        <w:t>支出</w:t>
      </w:r>
      <w:r>
        <w:rPr>
          <w:szCs w:val="32"/>
        </w:rPr>
        <w:t>89.15万元，</w:t>
      </w:r>
      <w:r>
        <w:rPr>
          <w:kern w:val="0"/>
          <w:szCs w:val="32"/>
        </w:rPr>
        <w:t>住房保障支出</w:t>
      </w:r>
      <w:r>
        <w:rPr>
          <w:szCs w:val="32"/>
        </w:rPr>
        <w:t>128.20万元。</w:t>
      </w:r>
    </w:p>
    <w:p>
      <w:pPr>
        <w:ind w:left="0" w:firstLineChars="200" w:firstLine="640"/>
        <w:rPr>
          <w:rFonts w:eastAsia="黑体"/>
          <w:szCs w:val="30"/>
        </w:rPr>
      </w:pPr>
      <w:r>
        <w:rPr>
          <w:rFonts w:eastAsia="黑体"/>
          <w:szCs w:val="30"/>
        </w:rPr>
        <w:t>五、20</w:t>
      </w:r>
      <w:r>
        <w:rPr>
          <w:rFonts w:eastAsia="黑体" w:hint="eastAsia"/>
          <w:szCs w:val="30"/>
        </w:rPr>
        <w:t>2</w:t>
      </w:r>
      <w:r>
        <w:rPr>
          <w:rFonts w:eastAsia="黑体" w:hint="eastAsia"/>
          <w:szCs w:val="30"/>
          <w:lang w:val="en-US" w:eastAsia="zh-CN"/>
        </w:rPr>
        <w:t>6</w:t>
      </w:r>
      <w:r>
        <w:rPr>
          <w:rFonts w:eastAsia="黑体"/>
          <w:szCs w:val="30"/>
        </w:rPr>
        <w:t>年一般公共预算</w:t>
      </w:r>
      <w:r>
        <w:rPr>
          <w:rFonts w:eastAsia="黑体" w:hint="eastAsia"/>
          <w:szCs w:val="30"/>
        </w:rPr>
        <w:t>支出</w:t>
      </w:r>
      <w:r>
        <w:rPr>
          <w:rFonts w:eastAsia="黑体"/>
          <w:szCs w:val="30"/>
        </w:rPr>
        <w:t>情况</w:t>
      </w:r>
    </w:p>
    <w:p>
      <w:pPr>
        <w:spacing w:line="520" w:lineRule="exact"/>
        <w:ind w:firstLineChars="200" w:firstLine="640"/>
        <w:rPr>
          <w:szCs w:val="32"/>
        </w:rPr>
      </w:pPr>
      <w:r>
        <w:rPr>
          <w:szCs w:val="32"/>
        </w:rPr>
        <w:t>20</w:t>
      </w:r>
      <w:r>
        <w:rPr>
          <w:rFonts w:hint="eastAsia"/>
          <w:szCs w:val="32"/>
        </w:rPr>
        <w:t>2</w:t>
      </w:r>
      <w:r>
        <w:rPr>
          <w:rFonts w:hint="eastAsia"/>
          <w:szCs w:val="32"/>
          <w:lang w:val="en-US" w:eastAsia="zh-CN"/>
        </w:rPr>
        <w:t>6</w:t>
      </w:r>
      <w:r>
        <w:rPr>
          <w:szCs w:val="32"/>
        </w:rPr>
        <w:t>年一般公共预算拨款1605.76万元，其中：基本支出1605.76万元，占100%。基本支出中，人员经费1453.17万元，占90.50%；公用经费152.59万元，占9.50%。</w:t>
      </w:r>
    </w:p>
    <w:p>
      <w:pPr>
        <w:spacing w:line="520" w:lineRule="exact"/>
        <w:ind w:firstLineChars="200" w:firstLine="640"/>
        <w:rPr>
          <w:szCs w:val="32"/>
        </w:rPr>
      </w:pPr>
      <w:r>
        <w:rPr>
          <w:szCs w:val="32"/>
        </w:rPr>
        <w:t>一般公共服务（类）支出1140.64万元，占71.03%，主要用于</w:t>
      </w:r>
      <w:r>
        <w:rPr>
          <w:rFonts w:hint="eastAsia"/>
          <w:szCs w:val="32"/>
        </w:rPr>
        <w:t>保障职工工资，维持机关正常运转以及完成年度统计工作</w:t>
      </w:r>
      <w:r>
        <w:rPr>
          <w:szCs w:val="32"/>
        </w:rPr>
        <w:t>。</w:t>
      </w:r>
    </w:p>
    <w:p>
      <w:pPr>
        <w:spacing w:line="520" w:lineRule="exact"/>
        <w:ind w:left="0" w:firstLineChars="200" w:firstLine="640"/>
        <w:rPr>
          <w:szCs w:val="32"/>
        </w:rPr>
      </w:pPr>
      <w:r>
        <w:rPr>
          <w:szCs w:val="32"/>
        </w:rPr>
        <w:t>社会保障和就业（类）支出247.77万元，占15.43%，主要用于</w:t>
      </w:r>
      <w:r>
        <w:rPr>
          <w:rFonts w:hint="eastAsia"/>
          <w:szCs w:val="32"/>
        </w:rPr>
        <w:t>保障单位</w:t>
      </w:r>
      <w:r>
        <w:rPr>
          <w:szCs w:val="32"/>
        </w:rPr>
        <w:t>退</w:t>
      </w:r>
      <w:r>
        <w:rPr>
          <w:rFonts w:hint="eastAsia"/>
          <w:szCs w:val="32"/>
        </w:rPr>
        <w:t>休职工</w:t>
      </w:r>
      <w:r>
        <w:rPr>
          <w:szCs w:val="32"/>
        </w:rPr>
        <w:t>生活补贴</w:t>
      </w:r>
      <w:r>
        <w:rPr>
          <w:rFonts w:hint="eastAsia"/>
          <w:szCs w:val="32"/>
        </w:rPr>
        <w:t>、采暖补贴以及缴纳在职职工养老保险</w:t>
      </w:r>
      <w:r>
        <w:rPr>
          <w:szCs w:val="32"/>
        </w:rPr>
        <w:t>及职业年金。</w:t>
      </w:r>
    </w:p>
    <w:p>
      <w:pPr>
        <w:spacing w:line="520" w:lineRule="exact"/>
        <w:ind w:left="0" w:firstLineChars="200" w:firstLine="640"/>
        <w:rPr>
          <w:szCs w:val="32"/>
        </w:rPr>
      </w:pPr>
      <w:r>
        <w:rPr>
          <w:rFonts w:hint="eastAsia"/>
          <w:szCs w:val="32"/>
          <w:lang w:eastAsia="zh-CN"/>
        </w:rPr>
        <w:t>卫生健康（类）支出</w:t>
      </w:r>
      <w:r>
        <w:rPr>
          <w:szCs w:val="32"/>
        </w:rPr>
        <w:t>89.15万元，占5.55%，主要用于</w:t>
      </w:r>
      <w:r>
        <w:rPr>
          <w:rFonts w:hint="eastAsia"/>
          <w:szCs w:val="32"/>
        </w:rPr>
        <w:t>缴纳职工医疗保险。</w:t>
      </w:r>
    </w:p>
    <w:p>
      <w:pPr>
        <w:spacing w:line="520" w:lineRule="exact"/>
        <w:ind w:firstLineChars="200" w:firstLine="640"/>
        <w:rPr>
          <w:rFonts w:eastAsia="楷体"/>
          <w:szCs w:val="32"/>
        </w:rPr>
      </w:pPr>
      <w:r>
        <w:rPr>
          <w:szCs w:val="32"/>
        </w:rPr>
        <w:t>住房保障（类）支出128.20万元，占7.98%，主要用于</w:t>
      </w:r>
      <w:r>
        <w:rPr>
          <w:rFonts w:hint="eastAsia"/>
          <w:szCs w:val="32"/>
        </w:rPr>
        <w:t>缴纳职工住房公积金</w:t>
      </w:r>
      <w:r>
        <w:rPr>
          <w:szCs w:val="32"/>
        </w:rPr>
        <w:t>。</w:t>
      </w:r>
    </w:p>
    <w:p>
      <w:pPr>
        <w:spacing w:line="520" w:lineRule="exact"/>
        <w:ind w:firstLineChars="200" w:firstLine="640"/>
        <w:rPr>
          <w:rFonts w:eastAsia="黑体"/>
          <w:szCs w:val="32"/>
        </w:rPr>
      </w:pPr>
      <w:r>
        <w:rPr>
          <w:rFonts w:eastAsia="黑体"/>
          <w:szCs w:val="32"/>
        </w:rPr>
        <w:t>六、20</w:t>
      </w:r>
      <w:r>
        <w:rPr>
          <w:rFonts w:eastAsia="黑体" w:hint="eastAsia"/>
          <w:szCs w:val="32"/>
        </w:rPr>
        <w:t>2</w:t>
      </w:r>
      <w:r>
        <w:rPr>
          <w:rFonts w:eastAsia="黑体" w:hint="eastAsia"/>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年一般公共预算基本支出1605.76万元，其中：</w:t>
      </w:r>
    </w:p>
    <w:p>
      <w:pPr>
        <w:ind w:firstLineChars="200" w:firstLine="640"/>
        <w:rPr>
          <w:kern w:val="0"/>
          <w:szCs w:val="32"/>
        </w:rPr>
      </w:pPr>
      <w:r>
        <w:rPr>
          <w:szCs w:val="32"/>
        </w:rPr>
        <w:t>人员经费1453.17万元，主要包括：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绩效工资、机关事业单位基本养老保险缴费、职业年金缴费、职工基本医疗保险缴费、公务员医疗补助缴费、其他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pPr>
        <w:ind w:left="0"/>
        <w:rPr>
          <w:rFonts w:eastAsia="楷体"/>
          <w:szCs w:val="32"/>
        </w:rPr>
      </w:pPr>
      <w:r>
        <w:rPr>
          <w:kern w:val="0"/>
          <w:szCs w:val="32"/>
        </w:rPr>
        <w:t>公用经费</w:t>
      </w:r>
      <w:r>
        <w:rPr>
          <w:szCs w:val="32"/>
        </w:rPr>
        <w:t>152.59万元，主要包括：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pPr>
        <w:ind w:left="0" w:firstLineChars="200" w:firstLine="640"/>
        <w:rPr>
          <w:szCs w:val="32"/>
        </w:rPr>
      </w:pPr>
      <w:r>
        <w:rPr>
          <w:rFonts w:eastAsia="黑体"/>
          <w:szCs w:val="30"/>
        </w:rPr>
        <w:t>七、20</w:t>
      </w:r>
      <w:r>
        <w:rPr>
          <w:rFonts w:eastAsia="黑体" w:hint="eastAsia"/>
          <w:szCs w:val="30"/>
        </w:rPr>
        <w:t>2</w:t>
      </w:r>
      <w:r>
        <w:rPr>
          <w:rFonts w:eastAsia="黑体" w:hint="eastAsia"/>
          <w:szCs w:val="30"/>
          <w:lang w:val="en-US" w:eastAsia="zh-CN"/>
        </w:rPr>
        <w:t>6</w:t>
      </w:r>
      <w:r>
        <w:rPr>
          <w:rFonts w:eastAsia="黑体"/>
          <w:szCs w:val="30"/>
        </w:rPr>
        <w:t>年一般公共预算</w:t>
      </w:r>
      <w:r>
        <w:rPr>
          <w:rFonts w:eastAsia="黑体" w:hint="eastAsia"/>
          <w:szCs w:val="30"/>
        </w:rPr>
        <w:t>财政拨款</w:t>
      </w:r>
      <w:r>
        <w:rPr>
          <w:rFonts w:eastAsia="黑体"/>
          <w:szCs w:val="30"/>
        </w:rPr>
        <w:t>“三公”经费情况</w:t>
      </w:r>
    </w:p>
    <w:p>
      <w:pPr>
        <w:ind w:firstLineChars="200" w:firstLine="640"/>
        <w:rPr>
          <w:szCs w:val="32"/>
        </w:rPr>
      </w:pPr>
      <w:r>
        <w:rPr>
          <w:szCs w:val="32"/>
        </w:rPr>
        <w:t>20</w:t>
      </w:r>
      <w:r>
        <w:rPr>
          <w:rFonts w:hint="eastAsia"/>
          <w:szCs w:val="32"/>
        </w:rPr>
        <w:t>2</w:t>
      </w:r>
      <w:r>
        <w:rPr>
          <w:rFonts w:hint="eastAsia"/>
          <w:szCs w:val="32"/>
          <w:lang w:val="en-US" w:eastAsia="zh-CN"/>
        </w:rPr>
        <w:t>6</w:t>
      </w:r>
      <w:r>
        <w:rPr>
          <w:szCs w:val="32"/>
        </w:rPr>
        <w:t>年“三公”经费预算数为1.66万元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年预算数基本持平</w:t>
      </w:r>
      <w:r>
        <w:rPr>
          <w:rFonts w:hint="eastAsia"/>
          <w:szCs w:val="32"/>
          <w:lang w:eastAsia="zh-CN"/>
        </w:rPr>
        <w:t>。</w:t>
      </w:r>
      <w:r>
        <w:rPr>
          <w:szCs w:val="32"/>
        </w:rPr>
        <w:t>其中：</w:t>
      </w:r>
    </w:p>
    <w:p>
      <w:pPr>
        <w:ind w:firstLineChars="200" w:firstLine="640"/>
        <w:jc w:val="both"/>
        <w:rPr>
          <w:rFonts w:eastAsia="仿宋_GB2312" w:hint="eastAsia"/>
          <w:szCs w:val="32"/>
          <w:lang w:val="en-US" w:eastAsia="zh-CN"/>
        </w:rPr>
      </w:pPr>
      <w:r>
        <w:rPr>
          <w:szCs w:val="32"/>
        </w:rPr>
        <w:t>1.因公出国（境）费0万元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w:t>
      </w:r>
      <w:r>
        <w:rPr>
          <w:rFonts w:hint="eastAsia"/>
          <w:szCs w:val="32"/>
          <w:lang w:eastAsia="zh-CN"/>
        </w:rPr>
        <w:t>。</w:t>
      </w:r>
    </w:p>
    <w:p>
      <w:pPr>
        <w:ind w:firstLineChars="200" w:firstLine="640"/>
        <w:rPr>
          <w:rFonts w:eastAsia="仿宋_GB2312" w:hint="eastAsia"/>
          <w:szCs w:val="32"/>
          <w:lang w:eastAsia="zh-CN"/>
        </w:rPr>
      </w:pPr>
      <w:r>
        <w:rPr>
          <w:szCs w:val="32"/>
        </w:rPr>
        <w:t>2.公务接待费1.66万元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年预算数基本持平。</w:t>
      </w:r>
    </w:p>
    <w:p>
      <w:pPr>
        <w:ind w:firstLineChars="200" w:firstLine="640"/>
        <w:jc w:val="both"/>
        <w:rPr>
          <w:rFonts w:hint="eastAsia"/>
          <w:szCs w:val="32"/>
          <w:lang w:val="en-US" w:eastAsia="zh-CN"/>
        </w:rPr>
      </w:pPr>
      <w:r>
        <w:rPr>
          <w:szCs w:val="32"/>
        </w:rPr>
        <w:t>3.公务用车购置及运行</w:t>
      </w:r>
      <w:r>
        <w:rPr>
          <w:rFonts w:hint="eastAsia"/>
          <w:szCs w:val="32"/>
          <w:lang w:eastAsia="zh-CN"/>
        </w:rPr>
        <w:t>维护</w:t>
      </w:r>
      <w:r>
        <w:rPr>
          <w:szCs w:val="32"/>
        </w:rPr>
        <w:t>费0万元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年预算数持平。公务用车运行维护费0万元</w:t>
      </w:r>
      <w:r>
        <w:rPr>
          <w:rFonts w:hint="eastAsia"/>
          <w:szCs w:val="32"/>
          <w:lang w:val="en-US" w:eastAsia="zh-CN"/>
        </w:rPr>
        <w:t>，</w:t>
      </w:r>
      <w:r>
        <w:rPr>
          <w:szCs w:val="32"/>
        </w:rPr>
        <w:t>与20</w:t>
      </w:r>
      <w:r>
        <w:rPr>
          <w:rFonts w:hint="eastAsia"/>
          <w:szCs w:val="32"/>
        </w:rPr>
        <w:t>2</w:t>
      </w:r>
      <w:r>
        <w:rPr>
          <w:rFonts w:hint="eastAsia"/>
          <w:szCs w:val="32"/>
          <w:lang w:val="en-US" w:eastAsia="zh-CN"/>
        </w:rPr>
        <w:t>5</w:t>
      </w:r>
      <w:r>
        <w:rPr>
          <w:szCs w:val="32"/>
        </w:rPr>
        <w:t>年预算数持平；公务用车购置费0万元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w:t>
      </w:r>
      <w:r>
        <w:rPr>
          <w:rFonts w:hint="eastAsia"/>
          <w:szCs w:val="32"/>
          <w:lang w:eastAsia="zh-CN"/>
        </w:rPr>
        <w:t>。</w:t>
      </w:r>
      <w:r>
        <w:rPr>
          <w:szCs w:val="32"/>
        </w:rPr>
        <w:t>。</w:t>
      </w:r>
      <w:r>
        <w:rPr>
          <w:rFonts w:hint="eastAsia"/>
          <w:szCs w:val="32"/>
          <w:lang w:val="en-US" w:eastAsia="zh-CN"/>
        </w:rPr>
        <w:t xml:space="preserve">         </w:t>
      </w:r>
    </w:p>
    <w:p>
      <w:pPr>
        <w:ind w:left="0" w:firstLineChars="200" w:firstLine="640"/>
        <w:rPr>
          <w:rFonts w:eastAsia="黑体"/>
          <w:szCs w:val="32"/>
        </w:rPr>
      </w:pPr>
      <w:r>
        <w:rPr>
          <w:rFonts w:eastAsia="黑体"/>
          <w:szCs w:val="32"/>
        </w:rPr>
        <w:t>八、20</w:t>
      </w:r>
      <w:r>
        <w:rPr>
          <w:rFonts w:eastAsia="黑体" w:hint="eastAsia"/>
          <w:szCs w:val="32"/>
        </w:rPr>
        <w:t>2</w:t>
      </w:r>
      <w:r>
        <w:rPr>
          <w:rFonts w:eastAsia="黑体" w:hint="eastAsia"/>
          <w:szCs w:val="32"/>
          <w:lang w:val="en-US" w:eastAsia="zh-CN"/>
        </w:rPr>
        <w:t>6</w:t>
      </w:r>
      <w:r>
        <w:rPr>
          <w:rFonts w:eastAsia="黑体"/>
          <w:szCs w:val="32"/>
        </w:rPr>
        <w:t>年政府性基金预算支出情况</w:t>
      </w:r>
    </w:p>
    <w:p>
      <w:pPr>
        <w:ind w:firstLineChars="200" w:firstLine="640"/>
        <w:rPr>
          <w:rFonts w:eastAsia="楷体"/>
          <w:szCs w:val="32"/>
        </w:rPr>
      </w:pPr>
      <w:r>
        <w:rPr>
          <w:rFonts w:hint="eastAsia"/>
          <w:szCs w:val="32"/>
        </w:rPr>
        <w:t>本单位</w:t>
      </w:r>
      <w:r>
        <w:rPr>
          <w:szCs w:val="32"/>
        </w:rPr>
        <w:t>无政府性基金预算拨款</w:t>
      </w:r>
      <w:r>
        <w:rPr>
          <w:rFonts w:hint="eastAsia"/>
          <w:szCs w:val="32"/>
        </w:rPr>
        <w:t>。</w:t>
      </w:r>
    </w:p>
    <w:p>
      <w:pPr>
        <w:ind w:firstLineChars="200" w:firstLine="640"/>
        <w:rPr>
          <w:rFonts w:eastAsia="黑体"/>
          <w:szCs w:val="32"/>
        </w:rPr>
      </w:pPr>
      <w:r>
        <w:rPr>
          <w:rFonts w:eastAsia="黑体" w:hint="eastAsia"/>
          <w:szCs w:val="32"/>
        </w:rPr>
        <w:t>九</w:t>
      </w:r>
      <w:r>
        <w:rPr>
          <w:rFonts w:eastAsia="黑体"/>
          <w:szCs w:val="32"/>
        </w:rPr>
        <w:t>、20</w:t>
      </w:r>
      <w:r>
        <w:rPr>
          <w:rFonts w:eastAsia="黑体" w:hint="eastAsia"/>
          <w:szCs w:val="32"/>
        </w:rPr>
        <w:t>2</w:t>
      </w:r>
      <w:r>
        <w:rPr>
          <w:rFonts w:eastAsia="黑体" w:hint="eastAsia"/>
          <w:szCs w:val="32"/>
          <w:lang w:val="en-US" w:eastAsia="zh-CN"/>
        </w:rPr>
        <w:t>6</w:t>
      </w:r>
      <w:r>
        <w:rPr>
          <w:rFonts w:eastAsia="黑体"/>
          <w:szCs w:val="32"/>
        </w:rPr>
        <w:t>年</w:t>
      </w:r>
      <w:r>
        <w:rPr>
          <w:rFonts w:eastAsia="黑体" w:hint="eastAsia"/>
          <w:szCs w:val="32"/>
        </w:rPr>
        <w:t>国有资本经营</w:t>
      </w:r>
      <w:r>
        <w:rPr>
          <w:rFonts w:eastAsia="黑体"/>
          <w:szCs w:val="32"/>
        </w:rPr>
        <w:t>预算支出情况</w:t>
      </w:r>
    </w:p>
    <w:p>
      <w:pPr>
        <w:spacing w:line="540" w:lineRule="exact"/>
        <w:ind w:firstLineChars="200" w:firstLine="640"/>
        <w:rPr>
          <w:rFonts w:hint="eastAsia"/>
          <w:szCs w:val="32"/>
        </w:rPr>
      </w:pPr>
      <w:r>
        <w:rPr>
          <w:rFonts w:hint="eastAsia"/>
          <w:szCs w:val="32"/>
        </w:rPr>
        <w:t>本单位</w:t>
      </w:r>
      <w:r>
        <w:rPr>
          <w:szCs w:val="32"/>
        </w:rPr>
        <w:t>无</w:t>
      </w:r>
      <w:r>
        <w:rPr>
          <w:rFonts w:hint="eastAsia"/>
          <w:szCs w:val="32"/>
        </w:rPr>
        <w:t>国有资本经营</w:t>
      </w:r>
      <w:r>
        <w:rPr>
          <w:szCs w:val="32"/>
        </w:rPr>
        <w:t>预算拨款</w:t>
      </w:r>
      <w:r>
        <w:rPr>
          <w:rFonts w:hint="eastAsia"/>
          <w:szCs w:val="32"/>
        </w:rPr>
        <w:t>。</w:t>
      </w:r>
    </w:p>
    <w:p>
      <w:pPr>
        <w:ind w:firstLine="640"/>
        <w:rPr>
          <w:rFonts w:eastAsia="黑体"/>
          <w:szCs w:val="32"/>
        </w:rPr>
      </w:pPr>
      <w:r>
        <w:rPr>
          <w:rFonts w:eastAsia="黑体" w:hint="eastAsia"/>
          <w:szCs w:val="32"/>
        </w:rPr>
        <w:t>十</w:t>
      </w:r>
      <w:r>
        <w:rPr>
          <w:rFonts w:eastAsia="黑体"/>
          <w:szCs w:val="32"/>
        </w:rPr>
        <w:t>、其他重要事项的说明情况</w:t>
      </w:r>
    </w:p>
    <w:p>
      <w:pPr>
        <w:spacing w:line="540" w:lineRule="exact"/>
        <w:ind w:firstLineChars="200" w:firstLine="640"/>
        <w:rPr>
          <w:rFonts w:eastAsia="楷体"/>
          <w:szCs w:val="32"/>
        </w:rPr>
      </w:pPr>
      <w:r>
        <w:rPr>
          <w:rFonts w:eastAsia="楷体"/>
          <w:szCs w:val="32"/>
        </w:rPr>
        <w:t>（一）机关运行经费</w:t>
      </w:r>
    </w:p>
    <w:p>
      <w:pPr>
        <w:spacing w:line="540" w:lineRule="exact"/>
        <w:ind w:firstLineChars="200" w:firstLine="640"/>
        <w:rPr>
          <w:szCs w:val="32"/>
          <w:shd w:val="solid" w:color="FFFFFF" w:fill="FFFFFF"/>
        </w:rPr>
      </w:pPr>
      <w:r>
        <w:rPr>
          <w:szCs w:val="32"/>
        </w:rPr>
        <w:t>本单位无机关运行经费</w:t>
      </w:r>
      <w:r>
        <w:rPr>
          <w:szCs w:val="32"/>
          <w:shd w:val="solid" w:color="FFFFFF" w:fill="FFFFFF"/>
        </w:rPr>
        <w:t>。</w:t>
      </w:r>
    </w:p>
    <w:p>
      <w:pPr>
        <w:spacing w:line="540" w:lineRule="exact"/>
        <w:ind w:firstLineChars="200" w:firstLine="640"/>
        <w:rPr>
          <w:rFonts w:eastAsia="楷体"/>
          <w:szCs w:val="32"/>
        </w:rPr>
      </w:pPr>
      <w:r>
        <w:rPr>
          <w:rFonts w:eastAsia="楷体"/>
          <w:szCs w:val="32"/>
        </w:rPr>
        <w:t>（二）政府采购情况</w:t>
      </w:r>
    </w:p>
    <w:p>
      <w:pPr>
        <w:spacing w:line="540" w:lineRule="exact"/>
        <w:ind w:firstLineChars="200" w:firstLine="640"/>
        <w:rPr>
          <w:szCs w:val="32"/>
        </w:rPr>
      </w:pPr>
      <w:r>
        <w:rPr>
          <w:szCs w:val="32"/>
        </w:rPr>
        <w:t>20</w:t>
      </w:r>
      <w:r>
        <w:rPr>
          <w:rFonts w:hint="eastAsia"/>
          <w:szCs w:val="32"/>
        </w:rPr>
        <w:t>2</w:t>
      </w:r>
      <w:r>
        <w:rPr>
          <w:rFonts w:hint="eastAsia"/>
          <w:szCs w:val="32"/>
          <w:lang w:val="en-US" w:eastAsia="zh-CN"/>
        </w:rPr>
        <w:t>6</w:t>
      </w:r>
      <w:r>
        <w:rPr>
          <w:szCs w:val="32"/>
        </w:rPr>
        <w:t>年政府采购预算总额33.86万元，其中：政府采购货物预算17.86万元、政府采购工程预算0万元、政府采购服务预算16.00万元。</w:t>
      </w:r>
    </w:p>
    <w:p>
      <w:pPr>
        <w:spacing w:line="540" w:lineRule="exact"/>
        <w:ind w:firstLineChars="200" w:firstLine="640"/>
        <w:rPr>
          <w:rFonts w:eastAsia="楷体"/>
          <w:szCs w:val="32"/>
        </w:rPr>
      </w:pPr>
      <w:r>
        <w:rPr>
          <w:rFonts w:eastAsia="楷体"/>
          <w:szCs w:val="32"/>
        </w:rPr>
        <w:t>（三）国有资产占有使用情况</w:t>
      </w:r>
    </w:p>
    <w:p>
      <w:pPr>
        <w:spacing w:line="540" w:lineRule="exact"/>
        <w:ind w:firstLineChars="200" w:firstLine="640"/>
        <w:rPr>
          <w:rFonts w:eastAsia="楷体" w:hint="eastAsia"/>
          <w:szCs w:val="32"/>
        </w:rPr>
      </w:pPr>
      <w:r>
        <w:rPr>
          <w:rFonts w:hint="eastAsia"/>
          <w:szCs w:val="32"/>
        </w:rPr>
        <w:t>本单位无国有资产占有使用情况。</w:t>
      </w:r>
    </w:p>
    <w:p>
      <w:pPr>
        <w:numPr>
          <w:ilvl w:val="0"/>
          <w:numId w:val="1"/>
        </w:numPr>
        <w:spacing w:line="540" w:lineRule="exact"/>
        <w:ind w:left="0" w:firstLineChars="200" w:firstLine="640"/>
        <w:rPr>
          <w:rFonts w:eastAsia="楷体" w:hint="eastAsia"/>
          <w:szCs w:val="32"/>
        </w:rPr>
      </w:pPr>
      <w:r>
        <w:rPr>
          <w:rFonts w:eastAsia="楷体" w:hint="eastAsia"/>
          <w:szCs w:val="32"/>
        </w:rPr>
        <w:t>项目支出情况说明</w:t>
      </w:r>
    </w:p>
    <w:p>
      <w:pPr>
        <w:spacing w:line="540" w:lineRule="exact"/>
        <w:ind w:firstLineChars="200" w:firstLine="640"/>
        <w:rPr>
          <w:rFonts w:eastAsia="楷体"/>
          <w:szCs w:val="32"/>
        </w:rPr>
      </w:pPr>
      <w:r>
        <w:rPr>
          <w:rFonts w:hint="eastAsia"/>
          <w:szCs w:val="32"/>
        </w:rPr>
        <w:t>本单位无项目支出拨款。</w:t>
      </w:r>
    </w:p>
    <w:p>
      <w:pPr>
        <w:spacing w:line="540" w:lineRule="exact"/>
        <w:ind w:firstLineChars="200" w:firstLine="640"/>
        <w:rPr>
          <w:rFonts w:hint="eastAsia"/>
          <w:szCs w:val="32"/>
        </w:rPr>
      </w:pPr>
      <w:r>
        <w:rPr>
          <w:rFonts w:eastAsia="楷体" w:hint="eastAsia"/>
          <w:szCs w:val="32"/>
        </w:rPr>
        <w:t>（五）项目支出绩效目标情况说明</w:t>
      </w:r>
    </w:p>
    <w:p>
      <w:pPr>
        <w:spacing w:line="540" w:lineRule="exact"/>
        <w:ind w:firstLineChars="200" w:firstLine="640"/>
        <w:rPr>
          <w:rFonts w:hint="eastAsia"/>
          <w:szCs w:val="32"/>
        </w:rPr>
      </w:pPr>
      <w:r>
        <w:rPr>
          <w:rFonts w:hint="eastAsia"/>
          <w:szCs w:val="32"/>
        </w:rPr>
        <w:t>本单位无项目支出拨款。</w:t>
      </w: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rFonts w:eastAsia="楷体"/>
          <w:szCs w:val="32"/>
        </w:rPr>
      </w:pPr>
    </w:p>
    <w:p>
      <w:pPr>
        <w:ind w:firstLineChars="200" w:firstLine="640"/>
        <w:rPr>
          <w:szCs w:val="32"/>
        </w:rPr>
      </w:pPr>
    </w:p>
    <w:p>
      <w:pPr>
        <w:jc w:val="center"/>
        <w:rPr>
          <w:rFonts w:eastAsia="黑体"/>
        </w:rPr>
      </w:pPr>
      <w:r>
        <w:rPr>
          <w:rFonts w:eastAsia="黑体"/>
        </w:rPr>
        <w:t>第四部分 名词解释</w:t>
      </w:r>
    </w:p>
    <w:p>
      <w:pPr>
        <w:ind w:firstLineChars="200" w:firstLine="640"/>
        <w:jc w:val="center"/>
        <w:rPr>
          <w:rFonts w:eastAsia="黑体"/>
        </w:rPr>
      </w:pPr>
    </w:p>
    <w:p>
      <w:pPr>
        <w:ind w:firstLineChars="200" w:firstLine="640"/>
        <w:rPr>
          <w:szCs w:val="32"/>
        </w:rPr>
      </w:pPr>
      <w:r>
        <w:rPr>
          <w:rFonts w:eastAsia="楷体"/>
          <w:szCs w:val="32"/>
        </w:rPr>
        <w:t>（一）一般公共预算拨款收入：</w:t>
      </w:r>
      <w:r>
        <w:rPr>
          <w:szCs w:val="32"/>
        </w:rPr>
        <w:t>指省级财政通过当年一般公共预算拨付的资金。</w:t>
      </w:r>
    </w:p>
    <w:p>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ascii="宋体" w:eastAsia="仿宋_GB2312" w:cs="Times New Roman" w:hAnsi="宋体" w:hint="eastAsia"/>
          <w:sz w:val="32"/>
          <w:szCs w:val="32"/>
          <w:lang w:val="en-US" w:eastAsia="zh-CN"/>
        </w:rPr>
      </w:pPr>
      <w:r>
        <w:rPr>
          <w:rFonts w:eastAsia="楷体" w:hint="eastAsia"/>
          <w:szCs w:val="32"/>
        </w:rPr>
        <w:t>（五）</w:t>
      </w:r>
      <w:r>
        <w:rPr>
          <w:rFonts w:eastAsia="楷体"/>
          <w:szCs w:val="32"/>
        </w:rPr>
        <w:t>事业收入：</w:t>
      </w:r>
      <w:r>
        <w:rPr>
          <w:rFonts w:ascii="宋体" w:cs="Times New Roman" w:hAnsi="宋体" w:hint="eastAsia"/>
          <w:sz w:val="32"/>
          <w:szCs w:val="32"/>
          <w:lang w:val="en-US" w:eastAsia="zh-CN"/>
        </w:rPr>
        <w:t>是指</w:t>
      </w:r>
      <w:r>
        <w:rPr>
          <w:rFonts w:ascii="宋体" w:eastAsia="仿宋_GB2312" w:cs="Times New Roman" w:hAnsi="宋体" w:hint="eastAsia"/>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指预算单位从主管部门或上级单位取得的非财政拨款补助收入。</w:t>
      </w:r>
    </w:p>
    <w:p>
      <w:pPr>
        <w:ind w:firstLineChars="200" w:firstLine="640"/>
        <w:jc w:val="both"/>
        <w:rPr>
          <w:rFonts w:ascii="宋体" w:eastAsia="仿宋_GB2312" w:cs="Times New Roman" w:hAnsi="宋体" w:hint="eastAsia"/>
          <w:sz w:val="32"/>
          <w:szCs w:val="32"/>
          <w:lang w:val="en-US" w:eastAsia="zh-CN"/>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ascii="宋体" w:cs="Times New Roman" w:hAnsi="宋体" w:hint="eastAsia"/>
          <w:sz w:val="32"/>
          <w:szCs w:val="32"/>
          <w:lang w:val="en-US" w:eastAsia="zh-CN"/>
        </w:rPr>
        <w:t>是指本单位所属下级单位上缴给本单位的全部收入。包括下级事业单位上缴的事业收入、其他收入和下级企业单位上缴的利润等。</w:t>
      </w:r>
    </w:p>
    <w:p>
      <w:pPr>
        <w:ind w:firstLineChars="200"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eastAsia="仿宋_GB2312" w:hint="eastAsia"/>
          <w:szCs w:val="32"/>
          <w:lang w:eastAsia="zh-CN"/>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eastAsia="楷体" w:hint="eastAsia"/>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eastAsia="楷体" w:hint="eastAsia"/>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eastAsia="楷体" w:hint="eastAsia"/>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eastAsia="楷体" w:hint="eastAsia"/>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eastAsia="楷体" w:hint="eastAsia"/>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eastAsia="楷体" w:hint="eastAsia"/>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eastAsia="楷体" w:hint="eastAsia"/>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eastAsia="楷体" w:hint="eastAsia"/>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Chars="200" w:firstLine="640"/>
        <w:rPr>
          <w:szCs w:val="32"/>
        </w:rPr>
      </w:pPr>
      <w:r>
        <w:rPr>
          <w:rFonts w:eastAsia="楷体"/>
          <w:szCs w:val="32"/>
        </w:rPr>
        <w:t>（</w:t>
      </w:r>
      <w:r>
        <w:rPr>
          <w:rFonts w:eastAsia="楷体" w:hint="eastAsia"/>
          <w:szCs w:val="32"/>
          <w:lang w:eastAsia="zh-CN"/>
        </w:rPr>
        <w:t>十九</w:t>
      </w:r>
      <w:r>
        <w:rPr>
          <w:rFonts w:eastAsia="楷体"/>
          <w:szCs w:val="32"/>
        </w:rPr>
        <w:t>）</w:t>
      </w:r>
      <w:r>
        <w:rPr>
          <w:rFonts w:eastAsia="楷体" w:hint="eastAsia"/>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titlePg/>
      <w:docGrid w:type="lines" w:linePitch="574" w:charSpace="-1675"/>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altName w:val="黑体"/>
    <w:panose1 w:val="03000509000000000000"/>
    <w:charset w:val="86"/>
    <w:family w:val="auto"/>
    <w:pitch w:val="variable"/>
    <w:sig w:usb0="00000001" w:usb1="080E0000" w:usb2="00000000" w:usb3="00000000" w:csb0="00040000" w:csb1="00000000"/>
  </w:font>
  <w:font w:name="华文细黑">
    <w:altName w:val="微软雅黑"/>
    <w:panose1 w:val="02010600040101010101"/>
    <w:charset w:val="86"/>
    <w:family w:val="auto"/>
    <w:pitch w:val="variable"/>
    <w:sig w:usb0="00000287" w:usb1="080F0000" w:usb2="00000000" w:usb3="00000000" w:csb0="0004009F" w:csb1="DFD70000"/>
  </w:font>
  <w:font w:name="仿宋_GB2312">
    <w:altName w:val="仿宋"/>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p>
  <w:p>
    <w:pPr>
      <w:pStyle w:val="19"/>
      <w:tabs>
        <w:tab w:val="clear" w:pos="4153"/>
        <w:tab w:val="clear" w:pos="8306"/>
        <w:tab w:val="left" w:pos="5124"/>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2"/>
      </w:rPr>
    </w:pPr>
    <w:r>
      <w:rPr>
        <w:rStyle w:val="22"/>
      </w:rPr>
      <w:fldChar w:fldCharType="begin"/>
    </w:r>
    <w:r>
      <w:rPr>
        <w:rStyle w:val="22"/>
      </w:rPr>
      <w:instrText xml:space="preserve">PAGE  </w:instrText>
    </w:r>
    <w:r>
      <w:fldChar w:fldCharType="separate"/>
    </w:r>
    <w:r>
      <w:rPr>
        <w:rStyle w:val="22"/>
      </w:rPr>
      <w:t>0</w:t>
    </w:r>
    <w:r>
      <w:fldChar w:fldCharType="end"/>
    </w:r>
  </w:p>
  <w:p>
    <w:pPr>
      <w:pStyle w:val="19"/>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left" w:pos="5124"/>
      </w:tabs>
      <w:jc w:val="center"/>
    </w:pPr>
    <w:r>
      <w:fldChar w:fldCharType="begin"/>
    </w:r>
    <w:r>
      <w:instrText>PAGE</w:instrText>
    </w:r>
    <w:r>
      <w:fldChar w:fldCharType="separate"/>
    </w:r>
    <w:r>
      <w:t>- 1 -</w:t>
    </w:r>
    <w: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247573" cy="131559"/>
              <wp:effectExtent l="0" t="0" r="0" b="0"/>
              <wp:wrapNone/>
              <wp:docPr id="1" name="文本框 8"/>
              <wp:cNvGraphicFramePr>
                <a:graphicFrameLocks noChangeAspect="0"/>
              </wp:cNvGraphicFramePr>
              <a:graphic>
                <a:graphicData uri="http://schemas.microsoft.com/office/word/2010/wordprocessingShape">
                  <wps:wsp>
                    <wps:cNvSpPr/>
                    <wps:spPr>
                      <a:xfrm rot="0">
                        <a:off x="0" y="0"/>
                        <a:ext cx="247573" cy="131559"/>
                      </a:xfrm>
                      <a:prstGeom prst="rect"/>
                      <a:noFill/>
                      <a:ln w="9525" cmpd="sng" cap="flat">
                        <a:noFill/>
                        <a:prstDash val="solid"/>
                        <a:round/>
                      </a:ln>
                    </wps:spPr>
                    <wps:txbx id="2">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8 3" o:spid="_x0000_s3" filled="f" stroked="f" style="position:absolute;margin-left:0.0pt;margin-top:0.0pt;width:19.494003pt;height:10.35898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01A1281"/>
    <w:multiLevelType w:val="singleLevel"/>
    <w:tmpl w:val="601A1281"/>
    <w:lvl w:ilvl="0">
      <w:start w:val="4"/>
      <w:numFmt w:val="chineseCounting"/>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109"/>
  <w:drawingGridHorizontalSpacing w:val="156"/>
  <w:drawingGridVerticalSpacing w:val="287"/>
  <w:displayHorizontalDrawingGridEvery w:val="1"/>
  <w:displayVerticalDrawingGridEvery w:val="1"/>
  <w:noPunctuationKerning/>
  <w:characterSpacingControl w:val="compressPunctuation"/>
  <w:compat>
    <w:spaceForUL/>
    <w:balanceSingleByteDoubleByteWidth/>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tabs>
        <w:tab w:val="left" w:pos="8372"/>
      </w:tabs>
      <w:spacing w:line="540" w:lineRule="exact"/>
      <w:ind w:firstLine="630"/>
    </w:pPr>
    <w:rPr>
      <w:rFonts w:eastAsia="黑体"/>
    </w:rPr>
  </w:style>
  <w:style w:type="paragraph" w:styleId="16">
    <w:name w:val="Date"/>
    <w:basedOn w:val="0"/>
    <w:next w:val="0"/>
  </w:style>
  <w:style w:type="paragraph" w:styleId="17">
    <w:name w:val="Body Text Indent 2"/>
    <w:basedOn w:val="0"/>
    <w:pPr>
      <w:tabs>
        <w:tab w:val="left" w:pos="8372"/>
      </w:tabs>
      <w:spacing w:line="540" w:lineRule="exact"/>
      <w:ind w:firstLine="630"/>
    </w:pPr>
    <w:rPr>
      <w:b/>
      <w:bCs/>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eastAsia="宋体" w:cs="宋体"/>
      <w:kern w:val="0"/>
      <w:sz w:val="24"/>
      <w:szCs w:val="24"/>
    </w:rPr>
  </w:style>
  <w:style w:type="character" w:styleId="22">
    <w:name w:val="page number"/>
    <w:basedOn w:val="10"/>
  </w:style>
  <w:style w:type="character" w:customStyle="1" w:styleId="23">
    <w:name w:val="font61"/>
    <w:rPr>
      <w:rFonts w:ascii="宋体" w:eastAsia="宋体" w:cs="宋体"/>
      <w:color w:val="000000"/>
      <w:sz w:val="24"/>
      <w:szCs w:val="24"/>
      <w:u w:val="none"/>
    </w:rPr>
  </w:style>
  <w:style w:type="character" w:customStyle="1" w:styleId="24">
    <w:name w:val="font41"/>
    <w:rPr>
      <w:rFonts w:ascii="华文细黑" w:eastAsia="华文细黑" w:cs="华文细黑"/>
      <w:color w:val="000000"/>
      <w:sz w:val="20"/>
      <w:szCs w:val="20"/>
      <w:u w:val="none"/>
    </w:rPr>
  </w:style>
  <w:style w:type="character" w:customStyle="1" w:styleId="25">
    <w:name w:val="font21"/>
    <w:rPr>
      <w:rFonts w:ascii="Arial" w:cs="Arial" w:hAnsi="Arial"/>
      <w:color w:val="000000"/>
      <w:sz w:val="20"/>
      <w:szCs w:val="20"/>
      <w:u w:val="none"/>
    </w:rPr>
  </w:style>
  <w:style w:type="character" w:customStyle="1" w:styleId="26">
    <w:name w:val="font01"/>
    <w:rPr>
      <w:rFonts w:ascii="Times New Roman" w:cs="Times New Roman" w:hAnsi="Times New Roman"/>
      <w:color w:val="000000"/>
      <w:sz w:val="24"/>
      <w:szCs w:val="24"/>
      <w:u w:val="none"/>
    </w:rPr>
  </w:style>
  <w:style w:type="character" w:customStyle="1" w:styleId="27">
    <w:name w:val="font11"/>
    <w:rPr>
      <w:rFonts w:ascii="Arial" w:cs="Arial" w:hAnsi="Arial"/>
      <w:color w:val="000000"/>
      <w:sz w:val="24"/>
      <w:szCs w:val="24"/>
      <w:u w:val="none"/>
    </w:rPr>
  </w:style>
  <w:style w:type="paragraph" w:customStyle="1" w:styleId="28">
    <w:name w:val="页脚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29">
    <w:name w:val="页脚 New New New New New New New"/>
    <w:basedOn w:val="0"/>
    <w:pPr>
      <w:tabs>
        <w:tab w:val="center" w:pos="4153"/>
        <w:tab w:val="right" w:pos="8306"/>
      </w:tabs>
      <w:snapToGrid w:val="0"/>
      <w:jc w:val="left"/>
    </w:pPr>
    <w:rPr>
      <w:rFonts w:eastAsia="仿宋_GB2312"/>
      <w:kern w:val="2"/>
      <w:sz w:val="18"/>
    </w:rPr>
  </w:style>
  <w:style w:type="paragraph" w:customStyle="1" w:styleId="30">
    <w:name w:val="页脚 New New New New New New"/>
    <w:basedOn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4">
    <w:name w:val="页脚 New New New New New New New New New New New"/>
    <w:basedOn w:val="0"/>
    <w:pPr>
      <w:tabs>
        <w:tab w:val="center" w:pos="4153"/>
        <w:tab w:val="right" w:pos="8306"/>
      </w:tabs>
      <w:snapToGrid w:val="0"/>
      <w:jc w:val="left"/>
    </w:pPr>
    <w:rPr>
      <w:rFonts w:eastAsia="仿宋_GB2312"/>
      <w:kern w:val="2"/>
      <w:sz w:val="18"/>
    </w:rPr>
  </w:style>
  <w:style w:type="paragraph" w:customStyle="1" w:styleId="35">
    <w:name w:val="p0"/>
    <w:basedOn w:val="0"/>
    <w:pPr>
      <w:widowControl/>
    </w:pPr>
    <w:rPr>
      <w:rFonts w:eastAsia="宋体"/>
      <w:kern w:val="0"/>
      <w:szCs w:val="32"/>
    </w:rPr>
  </w:style>
  <w:style w:type="paragraph" w:customStyle="1" w:styleId="36">
    <w:name w:val="页脚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0">
    <w:name w:val="页脚 New New"/>
    <w:basedOn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2">
    <w:name w:val="页眉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3">
    <w:name w:val="页眉 New New New New"/>
    <w:basedOn w:val="0"/>
    <w:pPr>
      <w:pBdr>
        <w:bottom w:val="single" w:sz="6" w:space="1" w:color="auto"/>
      </w:pBdr>
      <w:tabs>
        <w:tab w:val="center" w:pos="4153"/>
        <w:tab w:val="right" w:pos="8306"/>
      </w:tabs>
      <w:snapToGrid w:val="0"/>
      <w:jc w:val="center"/>
    </w:pPr>
    <w:rPr>
      <w:sz w:val="18"/>
      <w:szCs w:val="18"/>
    </w:rPr>
  </w:style>
  <w:style w:type="paragraph" w:customStyle="1" w:styleId="44">
    <w:name w:val="页眉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5">
    <w:name w:val="页眉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6">
    <w:name w:val="页脚 New New New New New New New New"/>
    <w:basedOn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8">
    <w:name w:val="页眉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0">
    <w:name w:val="页脚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2">
    <w:name w:val="页脚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w:basedOn w:val="0"/>
    <w:pPr>
      <w:tabs>
        <w:tab w:val="center" w:pos="4153"/>
        <w:tab w:val="right" w:pos="8306"/>
      </w:tabs>
      <w:snapToGrid w:val="0"/>
      <w:jc w:val="left"/>
    </w:pPr>
    <w:rPr>
      <w:rFonts w:eastAsia="仿宋_GB2312"/>
      <w:kern w:val="2"/>
      <w:sz w:val="18"/>
    </w:rPr>
  </w:style>
  <w:style w:type="paragraph" w:customStyle="1" w:styleId="54">
    <w:name w:val="页眉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6">
    <w:name w:val="页眉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7">
    <w:name w:val="页眉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8">
    <w:name w:val="正文文本 21"/>
    <w:basedOn w:val="0"/>
    <w:pPr>
      <w:adjustRightInd w:val="0"/>
      <w:ind w:firstLine="630"/>
      <w:jc w:val="left"/>
      <w:textAlignment w:val="baseline"/>
    </w:pPr>
    <w:rPr>
      <w:rFonts w:eastAsia="黑体"/>
    </w:rPr>
  </w:style>
  <w:style w:type="paragraph" w:customStyle="1" w:styleId="59">
    <w:name w:val="页脚 New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0">
    <w:name w:val="页脚 New New New New New"/>
    <w:basedOn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5">
    <w:name w:val="页眉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6">
    <w:name w:val="页脚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9">
    <w:name w:val="页脚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2">
    <w:name w:val="页脚 New New New New New New New New New"/>
    <w:basedOn w:val="0"/>
    <w:pPr>
      <w:tabs>
        <w:tab w:val="center" w:pos="4153"/>
        <w:tab w:val="right" w:pos="8306"/>
      </w:tabs>
      <w:snapToGrid w:val="0"/>
      <w:jc w:val="left"/>
    </w:pPr>
    <w:rPr>
      <w:rFonts w:eastAsia="仿宋_GB2312"/>
      <w:kern w:val="2"/>
      <w:sz w:val="18"/>
    </w:rPr>
  </w:style>
  <w:style w:type="paragraph" w:customStyle="1" w:styleId="73">
    <w:name w:val="页眉 New"/>
    <w:basedOn w:val="0"/>
    <w:pPr>
      <w:pBdr>
        <w:bottom w:val="single" w:sz="6" w:space="1" w:color="auto"/>
      </w:pBdr>
      <w:tabs>
        <w:tab w:val="center" w:pos="4153"/>
        <w:tab w:val="right" w:pos="8306"/>
      </w:tabs>
      <w:snapToGrid w:val="0"/>
      <w:jc w:val="center"/>
    </w:pPr>
    <w:rPr>
      <w:sz w:val="18"/>
      <w:szCs w:val="18"/>
    </w:rPr>
  </w:style>
  <w:style w:type="paragraph" w:customStyle="1" w:styleId="74">
    <w:name w:val="页脚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5">
    <w:name w:val="页眉 New New"/>
    <w:basedOn w:val="0"/>
    <w:pPr>
      <w:pBdr>
        <w:bottom w:val="single" w:sz="6" w:space="1" w:color="auto"/>
      </w:pBdr>
      <w:tabs>
        <w:tab w:val="center" w:pos="4153"/>
        <w:tab w:val="right" w:pos="8306"/>
      </w:tabs>
      <w:snapToGrid w:val="0"/>
      <w:jc w:val="center"/>
    </w:pPr>
    <w:rPr>
      <w:sz w:val="18"/>
      <w:szCs w:val="18"/>
    </w:rPr>
  </w:style>
  <w:style w:type="paragraph" w:customStyle="1" w:styleId="76">
    <w:name w:val="页眉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7">
    <w:name w:val="页脚 New"/>
    <w:basedOn w:val="0"/>
    <w:pPr>
      <w:tabs>
        <w:tab w:val="center" w:pos="4153"/>
        <w:tab w:val="right" w:pos="8306"/>
      </w:tabs>
      <w:snapToGrid w:val="0"/>
      <w:jc w:val="left"/>
    </w:pPr>
    <w:rPr>
      <w:rFonts w:eastAsia="仿宋_GB2312"/>
      <w:kern w:val="2"/>
      <w:sz w:val="18"/>
    </w:rPr>
  </w:style>
  <w:style w:type="paragraph" w:customStyle="1" w:styleId="78">
    <w:name w:val="页眉 New New New"/>
    <w:basedOn w:val="0"/>
    <w:pPr>
      <w:pBdr>
        <w:bottom w:val="single" w:sz="6" w:space="1" w:color="auto"/>
      </w:pBdr>
      <w:tabs>
        <w:tab w:val="center" w:pos="4153"/>
        <w:tab w:val="right" w:pos="8306"/>
      </w:tabs>
      <w:snapToGrid w:val="0"/>
      <w:jc w:val="center"/>
    </w:pPr>
    <w:rPr>
      <w:sz w:val="18"/>
      <w:szCs w:val="18"/>
    </w:rPr>
  </w:style>
  <w:style w:type="paragraph" w:customStyle="1" w:styleId="79">
    <w:name w:val="Char"/>
    <w:basedOn w:val="0"/>
    <w:rPr>
      <w:rFonts w:eastAsia="宋体"/>
      <w:sz w:val="21"/>
      <w:szCs w:val="21"/>
    </w:rPr>
  </w:style>
  <w:style w:type="paragraph" w:customStyle="1" w:styleId="80">
    <w:name w:val="页眉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2">
    <w:name w:val="页脚 New New New"/>
    <w:basedOn w:val="0"/>
    <w:pPr>
      <w:tabs>
        <w:tab w:val="center" w:pos="4153"/>
        <w:tab w:val="right" w:pos="8306"/>
      </w:tabs>
      <w:snapToGrid w:val="0"/>
      <w:jc w:val="left"/>
    </w:pPr>
    <w:rPr>
      <w:rFonts w:eastAsia="仿宋_GB2312"/>
      <w:kern w:val="2"/>
      <w:sz w:val="18"/>
    </w:rPr>
  </w:style>
  <w:style w:type="paragraph" w:customStyle="1" w:styleId="83">
    <w:name w:val="页脚 New New New New"/>
    <w:basedOn w:val="0"/>
    <w:pPr>
      <w:tabs>
        <w:tab w:val="center" w:pos="4153"/>
        <w:tab w:val="right" w:pos="8306"/>
      </w:tabs>
      <w:snapToGrid w:val="0"/>
      <w:jc w:val="left"/>
    </w:pPr>
    <w:rPr>
      <w:rFonts w:eastAsia="仿宋_GB2312"/>
      <w:kern w:val="2"/>
      <w:sz w:val="18"/>
    </w:rPr>
  </w:style>
  <w:style w:type="paragraph" w:customStyle="1" w:styleId="84">
    <w:name w:val="页眉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6">
    <w:name w:val="页眉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7">
    <w:name w:val="页眉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9">
    <w:name w:val="页眉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90">
    <w:name w:val="页脚 New New New New New New New New New New New New New New New New"/>
    <w:basedOn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138</TotalTime>
  <Application>Yozo_Office27021597764231179</Application>
  <Pages>22</Pages>
  <Words>4752</Words>
  <Characters>5931</Characters>
  <Lines>1449</Lines>
  <Paragraphs>546</Paragraphs>
  <CharactersWithSpaces>6497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主  持  词</dc:title>
  <dc:creator>Administrator</dc:creator>
  <cp:lastModifiedBy>user</cp:lastModifiedBy>
  <cp:revision>2</cp:revision>
  <cp:lastPrinted>2025-02-11T03:07:20Z</cp:lastPrinted>
  <dcterms:created xsi:type="dcterms:W3CDTF">2022-02-20T09:24:00Z</dcterms:created>
  <dcterms:modified xsi:type="dcterms:W3CDTF">2026-03-05T02:18:22Z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2052-12.1.0.15120</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