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hint="eastAsia"/>
          <w:sz w:val="44"/>
          <w:szCs w:val="44"/>
          <w:u w:val="none"/>
          <w:lang w:val="en-US" w:eastAsia="zh-CN"/>
        </w:rPr>
      </w:pPr>
      <w:r>
        <w:rPr>
          <w:rFonts w:eastAsia="方正小标宋简体" w:hint="eastAsia"/>
          <w:sz w:val="44"/>
          <w:szCs w:val="44"/>
          <w:u w:val="none"/>
          <w:lang w:val="en-US" w:eastAsia="zh-CN"/>
        </w:rPr>
        <w:t>长春市统计局绿园区分局</w:t>
      </w:r>
    </w:p>
    <w:p>
      <w:pPr>
        <w:jc w:val="center"/>
        <w:rPr>
          <w:rFonts w:eastAsia="方正小标宋简体"/>
          <w:sz w:val="44"/>
          <w:szCs w:val="44"/>
        </w:rPr>
      </w:pPr>
      <w:r>
        <w:rPr>
          <w:rFonts w:eastAsia="方正小标宋简体"/>
          <w:sz w:val="44"/>
          <w:szCs w:val="44"/>
        </w:rPr>
        <w:t>20</w:t>
      </w:r>
      <w:r>
        <w:rPr>
          <w:rFonts w:eastAsia="方正小标宋简体" w:hint="eastAsia"/>
          <w:sz w:val="44"/>
          <w:szCs w:val="44"/>
        </w:rPr>
        <w:t>2</w:t>
      </w:r>
      <w:r>
        <w:rPr>
          <w:rFonts w:eastAsia="方正小标宋简体" w:hint="eastAsia"/>
          <w:sz w:val="44"/>
          <w:szCs w:val="44"/>
          <w:lang w:val="en-US" w:eastAsia="zh-CN"/>
        </w:rPr>
        <w:t>5</w:t>
      </w:r>
      <w:r>
        <w:rPr>
          <w:rFonts w:eastAsia="方正小标宋简体"/>
          <w:sz w:val="44"/>
          <w:szCs w:val="44"/>
        </w:rPr>
        <w:t>年</w:t>
      </w:r>
      <w:r>
        <w:rPr>
          <w:rFonts w:eastAsia="方正小标宋简体" w:hint="eastAsia"/>
          <w:sz w:val="44"/>
          <w:szCs w:val="44"/>
          <w:lang w:eastAsia="zh-CN"/>
        </w:rPr>
        <w:t>单位</w:t>
      </w:r>
      <w:r>
        <w:rPr>
          <w:rFonts w:eastAsia="方正小标宋简体"/>
          <w:sz w:val="44"/>
          <w:szCs w:val="44"/>
        </w:rPr>
        <w:t>预算</w:t>
      </w:r>
    </w:p>
    <w:p>
      <w:pPr>
        <w:jc w:val="left"/>
      </w:pPr>
      <w:r>
        <w:tab/>
        <w:tab/>
        <w:tab/>
        <w:tab/>
        <w:tab/>
        <w:tab/>
      </w:r>
    </w:p>
    <w:p>
      <w:pPr>
        <w:jc w:val="left"/>
      </w:pPr>
    </w:p>
    <w:p>
      <w:pPr>
        <w:jc w:val="left"/>
      </w:pPr>
    </w:p>
    <w:p>
      <w:pPr>
        <w:jc w:val="left"/>
      </w:pPr>
    </w:p>
    <w:p>
      <w:pPr>
        <w:jc w:val="left"/>
      </w:pPr>
    </w:p>
    <w:p>
      <w:pPr>
        <w:jc w:val="left"/>
      </w:pPr>
      <w:r>
        <w:tab/>
        <w:tab/>
        <w:tab/>
        <w:tab/>
        <w:tab/>
        <w:tab/>
      </w:r>
    </w:p>
    <w:p>
      <w:pPr>
        <w:jc w:val="left"/>
      </w:pPr>
    </w:p>
    <w:p>
      <w:pPr>
        <w:jc w:val="left"/>
      </w:pPr>
    </w:p>
    <w:p>
      <w:pPr>
        <w:jc w:val="left"/>
      </w:pPr>
    </w:p>
    <w:p>
      <w:pPr>
        <w:jc w:val="center"/>
        <w:rPr>
          <w:rFonts w:eastAsia="华文细黑"/>
        </w:rPr>
      </w:pPr>
      <w:r>
        <w:rPr>
          <w:rFonts w:eastAsia="华文细黑"/>
        </w:rPr>
        <w:t>二〇二</w:t>
      </w:r>
      <w:r>
        <w:rPr>
          <w:rFonts w:eastAsia="华文细黑" w:hint="eastAsia"/>
          <w:lang w:eastAsia="zh-CN"/>
        </w:rPr>
        <w:t>五</w:t>
      </w:r>
      <w:r>
        <w:rPr>
          <w:rFonts w:eastAsia="华文细黑"/>
        </w:rPr>
        <w:t>年</w:t>
      </w:r>
      <w:r>
        <w:rPr>
          <w:rFonts w:eastAsia="华文细黑" w:hint="eastAsia"/>
          <w:lang w:val="en-US" w:eastAsia="zh-CN"/>
        </w:rPr>
        <w:t>二</w:t>
      </w:r>
      <w:r>
        <w:rPr>
          <w:rFonts w:eastAsia="华文细黑"/>
        </w:rPr>
        <w:t>月</w:t>
      </w:r>
      <w:r>
        <w:rPr>
          <w:rFonts w:eastAsia="华文细黑" w:hint="eastAsia"/>
          <w:lang w:val="en-US" w:eastAsia="zh-CN"/>
        </w:rPr>
        <w:t>二十一</w:t>
      </w:r>
      <w:r>
        <w:rPr>
          <w:rFonts w:eastAsia="华文细黑"/>
        </w:rPr>
        <w:t>日</w:t>
      </w:r>
    </w:p>
    <w:p>
      <w:pPr>
        <w:jc w:val="center"/>
        <w:rPr>
          <w:rFonts w:eastAsia="华文细黑"/>
        </w:rPr>
      </w:pPr>
    </w:p>
    <w:p>
      <w:pPr>
        <w:rPr>
          <w:rFonts w:eastAsia="黑体"/>
        </w:rPr>
      </w:pPr>
    </w:p>
    <w:p>
      <w:pPr>
        <w:ind w:firstLineChars="200" w:firstLine="640"/>
        <w:rPr>
          <w:rFonts w:eastAsia="黑体"/>
        </w:rPr>
      </w:pPr>
    </w:p>
    <w:p>
      <w:pPr>
        <w:ind w:firstLineChars="200" w:firstLine="640"/>
        <w:rPr>
          <w:rFonts w:eastAsia="黑体"/>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p>
    <w:p>
      <w:pPr>
        <w:ind w:firstLineChars="200" w:firstLine="64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eastAsia="黑体" w:hint="eastAsia"/>
          <w:lang w:eastAsia="zh-CN"/>
        </w:rPr>
        <w:t>单位</w:t>
      </w:r>
      <w:r>
        <w:rPr>
          <w:rFonts w:eastAsia="黑体"/>
        </w:rPr>
        <w:t>概况</w:t>
        <w:tab/>
        <w:tab/>
        <w:tab/>
        <w:tab/>
        <w:tab/>
      </w:r>
    </w:p>
    <w:p>
      <w:pPr>
        <w:ind w:leftChars="100" w:left="320" w:firstLineChars="100" w:firstLine="320"/>
      </w:pPr>
      <w:r>
        <w:t>一、主要职能</w:t>
      </w:r>
    </w:p>
    <w:p>
      <w:pPr>
        <w:ind w:leftChars="100" w:left="320" w:firstLineChars="100" w:firstLine="320"/>
      </w:pPr>
      <w:r>
        <w:t>二、机构设置</w:t>
      </w:r>
    </w:p>
    <w:p>
      <w:pPr>
        <w:rPr>
          <w:rFonts w:eastAsia="黑体"/>
        </w:rPr>
      </w:pPr>
      <w:r>
        <w:rPr>
          <w:rFonts w:eastAsia="黑体"/>
        </w:rPr>
        <w:t>第二部分  预算表格</w:t>
      </w:r>
    </w:p>
    <w:p>
      <w:pPr>
        <w:ind w:leftChars="100" w:left="320" w:firstLineChars="100" w:firstLine="320"/>
      </w:pPr>
      <w:r>
        <w:t>一、收支</w:t>
      </w:r>
      <w:r>
        <w:rPr>
          <w:rFonts w:hint="eastAsia"/>
          <w:lang w:eastAsia="zh-CN"/>
        </w:rPr>
        <w:t>预算</w:t>
      </w:r>
      <w:r>
        <w:rPr>
          <w:rFonts w:hint="eastAsia"/>
        </w:rPr>
        <w:t>总</w:t>
      </w:r>
      <w:r>
        <w:t>表</w:t>
      </w:r>
    </w:p>
    <w:p>
      <w:pPr>
        <w:ind w:leftChars="100" w:left="320" w:firstLineChars="100" w:firstLine="320"/>
      </w:pPr>
      <w:r>
        <w:t>二、收入</w:t>
      </w:r>
      <w:r>
        <w:rPr>
          <w:rFonts w:hint="eastAsia"/>
          <w:lang w:eastAsia="zh-CN"/>
        </w:rPr>
        <w:t>预算</w:t>
      </w:r>
      <w:r>
        <w:rPr>
          <w:rFonts w:hint="eastAsia"/>
        </w:rPr>
        <w:t>总</w:t>
      </w:r>
      <w:r>
        <w:t>表</w:t>
      </w:r>
    </w:p>
    <w:p>
      <w:pPr>
        <w:ind w:leftChars="100" w:left="320" w:firstLineChars="100" w:firstLine="320"/>
      </w:pPr>
      <w:r>
        <w:t>三、支出</w:t>
      </w:r>
      <w:r>
        <w:rPr>
          <w:rFonts w:hint="eastAsia"/>
          <w:lang w:eastAsia="zh-CN"/>
        </w:rPr>
        <w:t>预算</w:t>
      </w:r>
      <w:r>
        <w:rPr>
          <w:rFonts w:hint="eastAsia"/>
        </w:rPr>
        <w:t>总</w:t>
      </w:r>
      <w:r>
        <w:t>表</w:t>
      </w:r>
    </w:p>
    <w:p>
      <w:pPr>
        <w:ind w:leftChars="100" w:left="320" w:firstLineChars="100" w:firstLine="320"/>
      </w:pPr>
      <w:r>
        <w:t>四、财政拨款收支</w:t>
      </w:r>
      <w:r>
        <w:rPr>
          <w:rFonts w:hint="eastAsia"/>
          <w:lang w:eastAsia="zh-CN"/>
        </w:rPr>
        <w:t>预算</w:t>
      </w:r>
      <w:r>
        <w:rPr>
          <w:rFonts w:hint="eastAsia"/>
        </w:rPr>
        <w:t>总</w:t>
      </w:r>
      <w:r>
        <w:t>表</w:t>
      </w:r>
    </w:p>
    <w:p>
      <w:pPr>
        <w:ind w:leftChars="100" w:left="320" w:firstLineChars="100" w:firstLine="32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Chars="100" w:left="320" w:firstLineChars="100" w:firstLine="320"/>
        <w:rPr>
          <w:rFonts w:hint="eastAsia"/>
        </w:rPr>
      </w:pPr>
      <w:r>
        <w:t>六、</w:t>
      </w:r>
      <w:r>
        <w:rPr>
          <w:rFonts w:hint="eastAsia"/>
        </w:rPr>
        <w:t>一般公共预算基本支出</w:t>
      </w:r>
      <w:r>
        <w:rPr>
          <w:rFonts w:hint="eastAsia"/>
          <w:lang w:eastAsia="zh-CN"/>
        </w:rPr>
        <w:t>预算</w:t>
      </w:r>
      <w:r>
        <w:rPr>
          <w:rFonts w:hint="eastAsia"/>
        </w:rPr>
        <w:t>表</w:t>
      </w:r>
    </w:p>
    <w:p>
      <w:pPr>
        <w:ind w:leftChars="100" w:left="320" w:firstLineChars="100" w:firstLine="320"/>
      </w:pPr>
      <w:r>
        <w:t>七、一般公共预算“三公”经费支出</w:t>
      </w:r>
      <w:r>
        <w:rPr>
          <w:rFonts w:hint="eastAsia"/>
          <w:lang w:eastAsia="zh-CN"/>
        </w:rPr>
        <w:t>预算</w:t>
      </w:r>
      <w:r>
        <w:t>表</w:t>
      </w:r>
    </w:p>
    <w:p>
      <w:pPr>
        <w:ind w:leftChars="100" w:left="320" w:firstLineChars="100" w:firstLine="320"/>
      </w:pPr>
      <w:r>
        <w:t>八、政府性基金预算</w:t>
      </w:r>
      <w:r>
        <w:rPr>
          <w:rFonts w:hint="eastAsia"/>
          <w:lang w:eastAsia="zh-CN"/>
        </w:rPr>
        <w:t>拨款</w:t>
      </w:r>
      <w:r>
        <w:t>支出</w:t>
      </w:r>
      <w:r>
        <w:rPr>
          <w:rFonts w:hint="eastAsia"/>
          <w:lang w:eastAsia="zh-CN"/>
        </w:rPr>
        <w:t>预算</w:t>
      </w:r>
      <w:r>
        <w:t>表</w:t>
      </w:r>
    </w:p>
    <w:p>
      <w:pPr>
        <w:ind w:leftChars="100" w:left="320" w:firstLineChars="100" w:firstLine="320"/>
      </w:pPr>
      <w:r>
        <w:rPr>
          <w:rFonts w:hint="eastAsia"/>
        </w:rPr>
        <w:t>九、国有资本经营</w:t>
      </w:r>
      <w:r>
        <w:t>预算支出</w:t>
      </w:r>
      <w:r>
        <w:rPr>
          <w:rFonts w:hint="eastAsia"/>
          <w:lang w:eastAsia="zh-CN"/>
        </w:rPr>
        <w:t>预算</w:t>
      </w:r>
      <w:r>
        <w:t>表</w:t>
      </w:r>
    </w:p>
    <w:p>
      <w:pPr>
        <w:ind w:leftChars="100" w:left="320" w:firstLineChars="100" w:firstLine="32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Chars="100" w:left="320" w:firstLineChars="100" w:firstLine="320"/>
        <w:rPr>
          <w:rFonts w:eastAsia="仿宋_GB2312" w:hint="eastAsia"/>
          <w:lang w:eastAsia="zh-CN"/>
        </w:rPr>
      </w:pPr>
      <w:r>
        <w:rPr>
          <w:rFonts w:hint="eastAsia"/>
          <w:lang w:eastAsia="zh-CN"/>
        </w:rPr>
        <w:t>十一、财政拨款委托业务费支出预算表</w:t>
      </w:r>
    </w:p>
    <w:p>
      <w:pPr>
        <w:ind w:firstLineChars="200" w:firstLine="64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Chars="200" w:firstLine="640"/>
        <w:jc w:val="center"/>
        <w:rPr>
          <w:rFonts w:eastAsia="黑体"/>
        </w:rPr>
      </w:pPr>
      <w:r>
        <w:rPr>
          <w:rFonts w:eastAsia="黑体"/>
        </w:rPr>
        <w:t xml:space="preserve">第一部分 </w:t>
      </w:r>
      <w:r>
        <w:rPr>
          <w:rFonts w:eastAsia="黑体" w:hint="eastAsia"/>
          <w:lang w:eastAsia="zh-CN"/>
        </w:rPr>
        <w:t>单位</w:t>
      </w:r>
      <w:r>
        <w:rPr>
          <w:rFonts w:eastAsia="黑体"/>
        </w:rPr>
        <w:t>概况</w:t>
      </w:r>
    </w:p>
    <w:p>
      <w:pPr>
        <w:ind w:firstLineChars="200" w:firstLine="640"/>
        <w:rPr>
          <w:rFonts w:eastAsia="楷体_GB2312"/>
        </w:rPr>
      </w:pPr>
    </w:p>
    <w:p>
      <w:pPr>
        <w:ind w:firstLineChars="200" w:firstLine="640"/>
        <w:rPr>
          <w:rFonts w:eastAsia="楷体_GB2312"/>
        </w:rPr>
      </w:pPr>
      <w:r>
        <w:rPr>
          <w:rFonts w:eastAsia="楷体_GB2312"/>
        </w:rPr>
        <w:t>一、主要职能</w:t>
      </w:r>
    </w:p>
    <w:p>
      <w:pPr>
        <w:ind w:firstLineChars="200" w:firstLine="640"/>
        <w:rPr>
          <w:rFonts w:hint="eastAsia"/>
          <w:color w:val="000000"/>
          <w:szCs w:val="32"/>
        </w:rPr>
      </w:pPr>
      <w:r>
        <w:rPr>
          <w:rFonts w:hint="eastAsia"/>
          <w:color w:val="000000"/>
          <w:szCs w:val="32"/>
        </w:rPr>
        <w:t>（一）贯彻执行国家和省、市统计方针、政策以及法律、法规，监督检查统计法律、法规的实施。组织领导全区统计工作，承担确保统计数据真实、准确、及时的责任。</w:t>
      </w:r>
    </w:p>
    <w:p>
      <w:pPr>
        <w:ind w:firstLineChars="200" w:firstLine="640"/>
        <w:rPr>
          <w:rFonts w:hint="eastAsia"/>
          <w:color w:val="000000"/>
          <w:szCs w:val="32"/>
        </w:rPr>
      </w:pPr>
      <w:r>
        <w:rPr>
          <w:rFonts w:hint="eastAsia"/>
          <w:color w:val="000000"/>
          <w:szCs w:val="32"/>
        </w:rPr>
        <w:t>（二）根据全国统一的基本统计制度，汇编提供全区国民经济核算资料，监督管理全区各级统计机关国民经济核算工作。</w:t>
      </w:r>
    </w:p>
    <w:p>
      <w:pPr>
        <w:ind w:firstLineChars="200" w:firstLine="640"/>
        <w:rPr>
          <w:rFonts w:hint="eastAsia"/>
          <w:color w:val="000000"/>
          <w:szCs w:val="32"/>
        </w:rPr>
      </w:pPr>
      <w:r>
        <w:rPr>
          <w:rFonts w:hint="eastAsia"/>
          <w:color w:val="000000"/>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pPr>
        <w:ind w:firstLineChars="200" w:firstLine="64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pPr>
        <w:ind w:firstLineChars="200" w:firstLine="640"/>
        <w:rPr>
          <w:rFonts w:hint="eastAsia"/>
          <w:color w:val="000000"/>
          <w:szCs w:val="32"/>
        </w:rPr>
      </w:pPr>
      <w:r>
        <w:rPr>
          <w:rFonts w:hint="eastAsia"/>
          <w:color w:val="000000"/>
          <w:szCs w:val="32"/>
        </w:rPr>
        <w:t>（五）根据市统计局的统一安排，建立、完善和管理区统计分局统计信息自动化网络和数据库系统建设。</w:t>
      </w:r>
    </w:p>
    <w:p>
      <w:pPr>
        <w:ind w:firstLineChars="200" w:firstLine="640"/>
        <w:rPr>
          <w:rFonts w:hint="eastAsia"/>
          <w:color w:val="000000"/>
          <w:szCs w:val="32"/>
        </w:rPr>
      </w:pPr>
      <w:r>
        <w:rPr>
          <w:rFonts w:hint="eastAsia"/>
          <w:color w:val="000000"/>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pPr>
        <w:ind w:firstLineChars="200" w:firstLine="640"/>
        <w:rPr>
          <w:rFonts w:hint="eastAsia"/>
          <w:color w:val="000000"/>
          <w:szCs w:val="32"/>
        </w:rPr>
      </w:pPr>
      <w:r>
        <w:rPr>
          <w:rFonts w:hint="eastAsia"/>
          <w:color w:val="000000"/>
          <w:szCs w:val="32"/>
        </w:rPr>
        <w:t>（七）根据省、市统计局的统一安排，负责区统计分局的干部人事、机构编制和财务经费、审计监督及资产设施管理。</w:t>
      </w:r>
    </w:p>
    <w:p>
      <w:pPr>
        <w:ind w:firstLineChars="200" w:firstLine="640"/>
      </w:pPr>
      <w:r>
        <w:rPr>
          <w:rFonts w:hint="eastAsia"/>
          <w:color w:val="000000"/>
          <w:szCs w:val="32"/>
        </w:rPr>
        <w:t>（八）承办省、市统计局和绿园区政府交办的其他事项。</w:t>
      </w:r>
      <w:r>
        <w:rPr>
          <w:rFonts w:eastAsia="楷体_GB2312"/>
        </w:rPr>
        <w:t>二、机构设置</w:t>
      </w:r>
    </w:p>
    <w:p>
      <w:pPr>
        <w:pStyle w:val="31"/>
        <w:ind w:firstLineChars="200" w:firstLine="640"/>
        <w:rPr>
          <w:rFonts w:eastAsia="楷体"/>
        </w:rPr>
      </w:pPr>
      <w:r>
        <w:rPr>
          <w:rFonts w:eastAsia="仿宋_GB2312" w:hint="eastAsia"/>
        </w:rPr>
        <w:t>根据上述职责，长春市统计局绿园区分局内设2个机构，分别为综合科、社会经济统计科。本单位无下设预算单位。</w:t>
      </w:r>
    </w:p>
    <w:p>
      <w:pPr>
        <w:pStyle w:val="31"/>
        <w:ind w:firstLineChars="200" w:firstLine="640"/>
        <w:rPr>
          <w:rFonts w:eastAsia="楷体"/>
        </w:rPr>
      </w:pPr>
    </w:p>
    <w:p>
      <w:pPr>
        <w:pStyle w:val="31"/>
        <w:ind w:firstLineChars="200" w:firstLine="640"/>
        <w:rPr>
          <w:rFonts w:eastAsia="楷体"/>
        </w:rPr>
      </w:pPr>
    </w:p>
    <w:p>
      <w:pPr>
        <w:pStyle w:val="31"/>
        <w:ind w:firstLineChars="200" w:firstLine="640"/>
        <w:rPr>
          <w:rFonts w:eastAsia="楷体"/>
        </w:rPr>
      </w:pPr>
    </w:p>
    <w:p>
      <w:pPr>
        <w:pStyle w:val="31"/>
        <w:ind w:firstLineChars="200" w:firstLine="640"/>
        <w:rPr>
          <w:rFonts w:eastAsia="楷体"/>
        </w:rPr>
      </w:pPr>
    </w:p>
    <w:p>
      <w:pPr>
        <w:pStyle w:val="31"/>
        <w:ind w:firstLineChars="200" w:firstLine="640"/>
        <w:rPr>
          <w:rFonts w:eastAsia="楷体"/>
        </w:rPr>
      </w:pPr>
    </w:p>
    <w:p>
      <w:pPr>
        <w:pStyle w:val="31"/>
        <w:ind w:firstLineChars="200" w:firstLine="640"/>
        <w:rPr>
          <w:rFonts w:eastAsia="楷体"/>
        </w:rPr>
      </w:pPr>
    </w:p>
    <w:p>
      <w:pPr>
        <w:pStyle w:val="31"/>
        <w:ind w:firstLineChars="200" w:firstLine="640"/>
        <w:rPr>
          <w:rFonts w:eastAsia="黑体"/>
        </w:rPr>
      </w:pPr>
      <w:r>
        <w:rPr>
          <w:rFonts w:eastAsia="楷体" w:hint="eastAsia"/>
        </w:rPr>
        <w:br w:type="page"/>
      </w:r>
    </w:p>
    <w:p>
      <w:pPr>
        <w:jc w:val="center"/>
        <w:rPr>
          <w:rFonts w:eastAsia="黑体"/>
        </w:rPr>
      </w:pPr>
      <w:r>
        <w:rPr>
          <w:rFonts w:eastAsia="黑体"/>
        </w:rPr>
        <w:t>第二部分 预算表格</w:t>
      </w:r>
    </w:p>
    <w:tbl>
      <w:tblPr>
        <w:tblpPr w:leftFromText="180" w:rightFromText="180" w:vertAnchor="text" w:horzAnchor="page" w:tblpX="1126" w:tblpY="698"/>
        <w:tblOverlap w:val="never"/>
        <w:tblW w:w="99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kern w:val="0"/>
                <w:sz w:val="20"/>
              </w:rPr>
            </w:pPr>
          </w:p>
        </w:tc>
        <w:tc>
          <w:tcPr>
            <w:tcW w:w="1200" w:type="dxa"/>
            <w:gridSpan w:val="2"/>
            <w:tcBorders>
              <w:top w:val="nil"/>
              <w:left w:val="nil"/>
              <w:bottom w:val="nil"/>
              <w:right w:val="nil"/>
            </w:tcBorders>
            <w:noWrap/>
            <w:vAlign w:val="center"/>
          </w:tcPr>
          <w:p>
            <w:pPr>
              <w:widowControl/>
              <w:jc w:val="center"/>
              <w:rPr>
                <w:rFonts w:eastAsia="宋体"/>
                <w:kern w:val="0"/>
                <w:sz w:val="20"/>
              </w:rPr>
            </w:pPr>
          </w:p>
        </w:tc>
        <w:tc>
          <w:tcPr>
            <w:tcW w:w="2498" w:type="dxa"/>
            <w:gridSpan w:val="2"/>
            <w:tcBorders>
              <w:top w:val="nil"/>
              <w:left w:val="nil"/>
              <w:bottom w:val="nil"/>
              <w:right w:val="nil"/>
            </w:tcBorders>
            <w:noWrap/>
            <w:vAlign w:val="center"/>
          </w:tcPr>
          <w:p>
            <w:pPr>
              <w:widowControl/>
              <w:jc w:val="center"/>
              <w:rPr>
                <w:rFonts w:eastAsia="宋体"/>
                <w:kern w:val="0"/>
                <w:sz w:val="20"/>
              </w:rPr>
            </w:pPr>
          </w:p>
        </w:tc>
        <w:tc>
          <w:tcPr>
            <w:tcW w:w="2340" w:type="dxa"/>
            <w:gridSpan w:val="3"/>
            <w:tcBorders>
              <w:top w:val="nil"/>
              <w:left w:val="nil"/>
              <w:bottom w:val="nil"/>
              <w:right w:val="nil"/>
            </w:tcBorders>
            <w:noWrap/>
            <w:vAlign w:val="bottom"/>
          </w:tcPr>
          <w:p>
            <w:pPr>
              <w:widowControl/>
              <w:jc w:val="right"/>
              <w:rPr>
                <w:rFonts w:eastAsia="宋体"/>
                <w:kern w:val="0"/>
                <w:sz w:val="20"/>
              </w:rPr>
            </w:pPr>
            <w:r>
              <w:rPr>
                <w:rFonts w:eastAsia="宋体" w:hint="eastAsia"/>
                <w:kern w:val="0"/>
                <w:sz w:val="20"/>
                <w:lang w:val="en-US" w:eastAsia="zh-CN"/>
              </w:rPr>
              <w:t xml:space="preserve">            </w:t>
            </w:r>
            <w:r>
              <w:rPr>
                <w:rFonts w:eastAsia="宋体"/>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rPr>
              <w:t xml:space="preserve">支 </w:t>
            </w:r>
            <w:r>
              <w:rPr>
                <w:rFonts w:eastAsia="宋体"/>
                <w:kern w:val="0"/>
                <w:sz w:val="20"/>
              </w:rPr>
              <w:t xml:space="preserve">       </w:t>
            </w:r>
            <w:r>
              <w:rPr>
                <w:rFonts w:eastAsia="宋体" w:hint="eastAsia"/>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本年</w:t>
            </w:r>
            <w:r>
              <w:rPr>
                <w:rFonts w:eastAsia="宋体" w:hint="eastAsia"/>
                <w:kern w:val="0"/>
                <w:sz w:val="20"/>
                <w:lang w:val="en-US" w:eastAsia="zh-CN"/>
              </w:rPr>
              <w:t xml:space="preserve">    </w:t>
            </w:r>
            <w:r>
              <w:rPr>
                <w:rFonts w:eastAsia="宋体" w:hint="eastAsia"/>
                <w:kern w:val="0"/>
                <w:sz w:val="20"/>
              </w:rPr>
              <w:t>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lang w:eastAsia="zh-CN"/>
              </w:rPr>
              <w:t>本</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一、一般公共服务</w:t>
            </w:r>
            <w:r>
              <w:rPr>
                <w:rFonts w:eastAsia="宋体" w:hint="eastAsia"/>
                <w:color w:val="000000"/>
                <w:kern w:val="0"/>
                <w:sz w:val="20"/>
                <w:lang w:val="en-US" w:eastAsia="zh-CN"/>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kern w:val="0"/>
                <w:sz w:val="20"/>
                <w:lang w:val="en-US" w:eastAsia="zh-CN"/>
              </w:rPr>
              <w:t>112.34</w:t>
            </w:r>
          </w:p>
        </w:tc>
        <w:tc>
          <w:tcPr>
            <w:tcW w:w="1182" w:type="dxa"/>
            <w:gridSpan w:val="2"/>
            <w:tcBorders>
              <w:top w:val="nil"/>
              <w:left w:val="nil"/>
              <w:bottom w:val="single" w:sz="4" w:space="0" w:color="auto"/>
              <w:right w:val="single" w:sz="4" w:space="0" w:color="auto"/>
            </w:tcBorders>
            <w:shd w:val="clear" w:color="auto" w:fill="FFFFFF"/>
            <w:noWrap/>
            <w:vAlign w:val="center"/>
          </w:tcPr>
          <w:p>
            <w:pPr>
              <w:widowControl/>
              <w:jc w:val="center"/>
              <w:rPr>
                <w:rFonts w:ascii="Arial" w:eastAsia="宋体" w:cs="Arial" w:hAnsi="Arial"/>
                <w:i w:val="0"/>
                <w:iCs w:val="0"/>
                <w:color w:val="000000"/>
                <w:kern w:val="2"/>
                <w:sz w:val="16"/>
                <w:szCs w:val="16"/>
                <w:u w:val="none"/>
                <w:lang w:val="en-US" w:eastAsia="zh-CN" w:bidi="ar-SA"/>
              </w:rPr>
            </w:pPr>
            <w:r>
              <w:rPr>
                <w:rFonts w:eastAsia="宋体"/>
                <w:kern w:val="0"/>
                <w:sz w:val="20"/>
                <w:lang w:val="en-US" w:eastAsia="zh-CN"/>
              </w:rPr>
              <w:t>112.34</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一般公共预算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sz w:val="20"/>
              </w:rPr>
              <w:t>二、</w:t>
            </w:r>
            <w:r>
              <w:rPr>
                <w:rFonts w:eastAsia="宋体" w:hint="eastAsia"/>
                <w:color w:val="000000"/>
                <w:sz w:val="20"/>
              </w:rPr>
              <w:t>社会保障和就业支出　</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hint="eastAsia"/>
                <w:color w:val="000000"/>
                <w:kern w:val="0"/>
                <w:sz w:val="20"/>
              </w:rPr>
              <w:t>30.1</w:t>
            </w:r>
          </w:p>
        </w:tc>
        <w:tc>
          <w:tcPr>
            <w:tcW w:w="1182" w:type="dxa"/>
            <w:gridSpan w:val="2"/>
            <w:tcBorders>
              <w:top w:val="nil"/>
              <w:left w:val="nil"/>
              <w:bottom w:val="single" w:sz="4" w:space="0" w:color="auto"/>
              <w:right w:val="single" w:sz="4" w:space="0" w:color="auto"/>
            </w:tcBorders>
            <w:noWrap/>
            <w:vAlign w:val="center"/>
          </w:tcPr>
          <w:p>
            <w:pPr>
              <w:tabs>
                <w:tab w:val="left" w:pos="403"/>
              </w:tabs>
              <w:jc w:val="center"/>
              <w:rPr>
                <w:rFonts w:eastAsia="宋体" w:hint="eastAsia"/>
                <w:kern w:val="0"/>
                <w:sz w:val="20"/>
                <w:lang w:eastAsia="zh-CN"/>
              </w:rPr>
            </w:pPr>
            <w:r>
              <w:rPr>
                <w:rFonts w:eastAsia="宋体" w:hint="eastAsia"/>
                <w:kern w:val="0"/>
                <w:sz w:val="20"/>
                <w:lang w:val="en-US" w:eastAsia="zh-CN"/>
              </w:rPr>
              <w:t>30.1</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政府性基金预算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rPr>
                <w:rFonts w:eastAsia="宋体"/>
                <w:color w:val="000000"/>
                <w:kern w:val="0"/>
                <w:sz w:val="20"/>
              </w:rPr>
            </w:pPr>
            <w:r>
              <w:rPr>
                <w:rFonts w:ascii="宋体" w:eastAsia="宋体" w:hint="eastAsia"/>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hint="eastAsia"/>
                <w:kern w:val="0"/>
                <w:sz w:val="20"/>
                <w:lang w:val="en-US" w:eastAsia="zh-CN"/>
              </w:rPr>
              <w:t>8.72</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lang w:val="en-US" w:eastAsia="zh-CN"/>
              </w:rPr>
              <w:t>8.72</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rPr>
                <w:rFonts w:eastAsia="宋体"/>
                <w:color w:val="000000"/>
                <w:kern w:val="0"/>
                <w:sz w:val="20"/>
              </w:rPr>
            </w:pPr>
            <w:r>
              <w:rPr>
                <w:rFonts w:ascii="宋体" w:eastAsia="宋体" w:hint="eastAsia"/>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hint="eastAsia"/>
                <w:color w:val="000000"/>
                <w:kern w:val="0"/>
                <w:sz w:val="20"/>
              </w:rPr>
              <w:t>10.32</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rPr>
              <w:t>10.32</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hint="eastAsia"/>
                <w:sz w:val="20"/>
              </w:rPr>
            </w:pPr>
            <w:r>
              <w:rPr>
                <w:rFonts w:eastAsia="宋体" w:hint="eastAsia"/>
                <w:sz w:val="20"/>
              </w:rPr>
              <w:t>二、财政专户管理</w:t>
            </w:r>
            <w:r>
              <w:rPr>
                <w:rFonts w:eastAsia="宋体" w:hint="eastAsia"/>
                <w:sz w:val="20"/>
                <w:lang w:val="en-US" w:eastAsia="zh-CN"/>
              </w:rPr>
              <w:t xml:space="preserve">  </w:t>
            </w:r>
            <w:r>
              <w:rPr>
                <w:rFonts w:eastAsia="宋体" w:hint="eastAsia"/>
                <w:sz w:val="20"/>
              </w:rPr>
              <w:t>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hint="eastAsia"/>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both"/>
              <w:rPr>
                <w:rFonts w:eastAsia="宋体" w:hint="eastAsia"/>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hint="eastAsia"/>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hint="eastAsia"/>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hint="eastAsia"/>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本年收入</w:t>
            </w:r>
            <w:r>
              <w:rPr>
                <w:rFonts w:eastAsia="宋体" w:hint="eastAsia"/>
                <w:b/>
                <w:bCs/>
                <w:kern w:val="0"/>
                <w:sz w:val="20"/>
                <w:lang w:val="en-US" w:eastAsia="zh-CN"/>
              </w:rPr>
              <w:t xml:space="preserve">         </w:t>
            </w:r>
            <w:r>
              <w:rPr>
                <w:rFonts w:eastAsia="宋体"/>
                <w:b/>
                <w:bCs/>
                <w:kern w:val="0"/>
                <w:sz w:val="20"/>
              </w:rPr>
              <w:t>合计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本年支出</w:t>
            </w:r>
            <w:r>
              <w:rPr>
                <w:rFonts w:eastAsia="宋体" w:hint="eastAsia"/>
                <w:b/>
                <w:bCs/>
                <w:kern w:val="0"/>
                <w:sz w:val="20"/>
                <w:lang w:val="en-US" w:eastAsia="zh-CN"/>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kern w:val="0"/>
                <w:sz w:val="20"/>
                <w:lang w:val="en-US" w:eastAsia="zh-CN"/>
              </w:rPr>
              <w:t>161.48</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结转下年</w:t>
            </w:r>
            <w:r>
              <w:rPr>
                <w:rFonts w:eastAsia="宋体" w:hint="eastAsia"/>
                <w:kern w:val="0"/>
                <w:sz w:val="20"/>
                <w:lang w:val="en-US" w:eastAsia="zh-CN"/>
              </w:rPr>
              <w:t xml:space="preserve">  </w:t>
            </w:r>
            <w:r>
              <w:rPr>
                <w:rFonts w:eastAsia="宋体" w:hint="eastAsia"/>
                <w:kern w:val="0"/>
                <w:sz w:val="20"/>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lang w:eastAsia="zh-CN"/>
              </w:rPr>
              <w:t>非财政拨款</w:t>
            </w:r>
            <w:r>
              <w:rPr>
                <w:rFonts w:eastAsia="宋体" w:hint="eastAsia"/>
                <w:sz w:val="20"/>
                <w:lang w:val="en-US" w:eastAsia="zh-CN"/>
              </w:rPr>
              <w:t xml:space="preserve">      </w:t>
            </w:r>
            <w:r>
              <w:rPr>
                <w:rFonts w:eastAsia="宋体" w:hint="eastAsia"/>
                <w:sz w:val="20"/>
              </w:rPr>
              <w:t>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lang w:val="en-US" w:eastAsia="zh-CN"/>
              </w:rPr>
              <w:t>161.48</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bl>
    <w:p>
      <w:pPr>
        <w:ind w:firstLineChars="200" w:firstLine="640"/>
        <w:rPr>
          <w:rFonts w:eastAsia="楷体_GB2312"/>
          <w:strike/>
          <w:dstrike w:val="0"/>
        </w:rPr>
      </w:pPr>
    </w:p>
    <w:p>
      <w:pPr>
        <w:ind w:firstLineChars="200" w:firstLine="640"/>
        <w:rPr>
          <w:rFonts w:eastAsia="楷体_GB2312"/>
        </w:rPr>
      </w:pPr>
    </w:p>
    <w:p>
      <w:pPr>
        <w:jc w:val="center"/>
        <w:rPr>
          <w:rFonts w:eastAsia="方正小标宋简体"/>
          <w:sz w:val="44"/>
        </w:rPr>
      </w:pPr>
      <w:r>
        <w:rPr>
          <w:rFonts w:eastAsia="楷体"/>
        </w:rPr>
        <w:br w:type="page"/>
      </w:r>
      <w:r>
        <w:rPr>
          <w:rFonts w:eastAsia="方正小标宋简体"/>
          <w:sz w:val="44"/>
        </w:rPr>
        <w:t>收入</w:t>
      </w:r>
      <w:r>
        <w:rPr>
          <w:rFonts w:eastAsia="方正小标宋简体" w:hint="eastAsia"/>
          <w:sz w:val="44"/>
          <w:lang w:eastAsia="zh-CN"/>
        </w:rPr>
        <w:t>预算</w:t>
      </w:r>
      <w:r>
        <w:rPr>
          <w:rFonts w:eastAsia="方正小标宋简体" w:hint="eastAsia"/>
          <w:sz w:val="44"/>
        </w:rPr>
        <w:t>总</w:t>
      </w:r>
      <w:r>
        <w:rPr>
          <w:rFonts w:eastAsia="方正小标宋简体"/>
          <w:sz w:val="44"/>
        </w:rPr>
        <w:t>表</w:t>
      </w:r>
    </w:p>
    <w:tbl>
      <w:tblPr>
        <w:jc w:val="center"/>
        <w:tblW w:w="104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7"/>
        <w:gridCol w:w="832"/>
        <w:gridCol w:w="900"/>
        <w:gridCol w:w="831"/>
        <w:gridCol w:w="450"/>
        <w:gridCol w:w="437"/>
        <w:gridCol w:w="750"/>
        <w:gridCol w:w="573"/>
        <w:gridCol w:w="463"/>
        <w:gridCol w:w="437"/>
        <w:gridCol w:w="450"/>
        <w:gridCol w:w="368"/>
        <w:gridCol w:w="518"/>
        <w:gridCol w:w="368"/>
        <w:gridCol w:w="451"/>
        <w:gridCol w:w="435"/>
        <w:gridCol w:w="409"/>
        <w:gridCol w:w="369"/>
      </w:tblGrid>
      <w:tr>
        <w:trPr>
          <w:trHeight w:val="335"/>
        </w:trPr>
        <w:tc>
          <w:tcPr>
            <w:tcW w:w="1447" w:type="dxa"/>
            <w:tcBorders>
              <w:bottom w:val="single" w:sz="4" w:space="0" w:color="000000"/>
            </w:tcBorders>
            <w:noWrap/>
          </w:tcPr>
          <w:p>
            <w:pPr>
              <w:autoSpaceDN w:val="0"/>
              <w:jc w:val="left"/>
              <w:textAlignment w:val="center"/>
              <w:rPr>
                <w:rFonts w:eastAsia="华文细黑"/>
                <w:color w:val="000000"/>
                <w:sz w:val="20"/>
              </w:rPr>
            </w:pPr>
          </w:p>
        </w:tc>
        <w:tc>
          <w:tcPr>
            <w:tcW w:w="5236" w:type="dxa"/>
            <w:gridSpan w:val="8"/>
            <w:tcBorders>
              <w:bottom w:val="single" w:sz="4" w:space="0" w:color="000000"/>
            </w:tcBorders>
            <w:noWrap/>
            <w:vAlign w:val="center"/>
          </w:tcPr>
          <w:p>
            <w:pPr>
              <w:autoSpaceDN w:val="0"/>
              <w:jc w:val="left"/>
              <w:textAlignment w:val="center"/>
              <w:rPr>
                <w:rFonts w:eastAsia="华文细黑"/>
                <w:color w:val="000000"/>
                <w:sz w:val="20"/>
              </w:rPr>
            </w:pPr>
          </w:p>
        </w:tc>
        <w:tc>
          <w:tcPr>
            <w:tcW w:w="1255" w:type="dxa"/>
            <w:gridSpan w:val="3"/>
            <w:noWrap/>
            <w:vAlign w:val="center"/>
          </w:tcPr>
          <w:p>
            <w:pPr>
              <w:autoSpaceDN w:val="0"/>
              <w:jc w:val="left"/>
              <w:textAlignment w:val="center"/>
              <w:rPr>
                <w:rFonts w:eastAsia="华文细黑"/>
                <w:color w:val="000000"/>
                <w:sz w:val="20"/>
              </w:rPr>
            </w:pPr>
          </w:p>
        </w:tc>
        <w:tc>
          <w:tcPr>
            <w:tcW w:w="518" w:type="dxa"/>
            <w:noWrap/>
            <w:vAlign w:val="center"/>
          </w:tcPr>
          <w:p>
            <w:pPr>
              <w:autoSpaceDN w:val="0"/>
              <w:jc w:val="left"/>
              <w:textAlignment w:val="center"/>
              <w:rPr>
                <w:rFonts w:eastAsia="华文细黑"/>
                <w:color w:val="000000"/>
                <w:sz w:val="20"/>
              </w:rPr>
            </w:pPr>
          </w:p>
        </w:tc>
        <w:tc>
          <w:tcPr>
            <w:tcW w:w="368" w:type="dxa"/>
            <w:noWrap/>
            <w:vAlign w:val="center"/>
          </w:tcPr>
          <w:p>
            <w:pPr>
              <w:autoSpaceDN w:val="0"/>
              <w:jc w:val="left"/>
              <w:textAlignment w:val="center"/>
              <w:rPr>
                <w:rFonts w:eastAsia="华文细黑"/>
                <w:color w:val="000000"/>
                <w:sz w:val="20"/>
              </w:rPr>
            </w:pPr>
          </w:p>
        </w:tc>
        <w:tc>
          <w:tcPr>
            <w:tcW w:w="451" w:type="dxa"/>
            <w:noWrap/>
            <w:vAlign w:val="bottom"/>
          </w:tcPr>
          <w:p>
            <w:pPr>
              <w:autoSpaceDN w:val="0"/>
              <w:jc w:val="right"/>
              <w:textAlignment w:val="bottom"/>
              <w:rPr>
                <w:rFonts w:eastAsia="宋体"/>
                <w:color w:val="000000"/>
                <w:sz w:val="20"/>
              </w:rPr>
            </w:pPr>
          </w:p>
        </w:tc>
        <w:tc>
          <w:tcPr>
            <w:tcW w:w="1213" w:type="dxa"/>
            <w:gridSpan w:val="3"/>
            <w:noWrap/>
            <w:vAlign w:val="bottom"/>
          </w:tcPr>
          <w:p>
            <w:pPr>
              <w:wordWrap/>
              <w:autoSpaceDN w:val="0"/>
              <w:jc w:val="right"/>
              <w:textAlignment w:val="center"/>
              <w:rPr>
                <w:rFonts w:eastAsia="宋体"/>
                <w:color w:val="000000"/>
                <w:sz w:val="20"/>
              </w:rPr>
            </w:pPr>
            <w:r>
              <w:rPr>
                <w:rFonts w:eastAsia="宋体"/>
                <w:color w:val="000000"/>
                <w:sz w:val="20"/>
              </w:rPr>
              <w:t>单位：万元</w:t>
            </w:r>
          </w:p>
        </w:tc>
      </w:tr>
      <w:tr>
        <w:trPr>
          <w:trHeight w:val="517"/>
        </w:trPr>
        <w:tc>
          <w:tcPr>
            <w:tcW w:w="1447" w:type="dxa"/>
            <w:vMerge w:val="restart"/>
            <w:tcBorders>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单位（单位）</w:t>
            </w:r>
          </w:p>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名称</w:t>
            </w:r>
          </w:p>
        </w:tc>
        <w:tc>
          <w:tcPr>
            <w:tcW w:w="832" w:type="dxa"/>
            <w:vMerge w:val="restart"/>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总计</w:t>
            </w:r>
          </w:p>
        </w:tc>
        <w:tc>
          <w:tcPr>
            <w:tcW w:w="5659" w:type="dxa"/>
            <w:gridSpan w:val="10"/>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本年</w:t>
            </w:r>
            <w:r>
              <w:rPr>
                <w:rFonts w:eastAsia="宋体" w:hint="eastAsia"/>
                <w:color w:val="000000"/>
                <w:sz w:val="20"/>
                <w:shd w:val="clear" w:color="auto" w:fill="FFFFFF"/>
                <w:lang w:val="en-US" w:eastAsia="zh-CN"/>
              </w:rPr>
              <w:t>收入</w:t>
            </w:r>
          </w:p>
        </w:tc>
        <w:tc>
          <w:tcPr>
            <w:tcW w:w="2550" w:type="dxa"/>
            <w:gridSpan w:val="6"/>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上年结转结余</w:t>
            </w:r>
          </w:p>
        </w:tc>
      </w:tr>
      <w:tr>
        <w:trPr>
          <w:trHeight w:val="517"/>
        </w:trPr>
        <w:tc>
          <w:tcPr>
            <w:tcW w:w="1447" w:type="dxa"/>
            <w:vMerge/>
            <w:tcBorders>
              <w:left w:val="single" w:sz="4" w:space="0" w:color="000000"/>
              <w:right w:val="single" w:sz="4" w:space="0" w:color="000000"/>
            </w:tcBorders>
            <w:noWrap/>
            <w:vAlign w:val="center"/>
          </w:tcPr>
          <w:p/>
        </w:tc>
        <w:tc>
          <w:tcPr>
            <w:tcW w:w="832" w:type="dxa"/>
            <w:vMerge/>
            <w:tcBorders>
              <w:left w:val="single" w:sz="4" w:space="0" w:color="000000"/>
              <w:right w:val="single" w:sz="4" w:space="0" w:color="000000"/>
            </w:tcBorders>
            <w:noWrap/>
            <w:vAlign w:val="center"/>
          </w:tcPr>
          <w:p/>
        </w:tc>
        <w:tc>
          <w:tcPr>
            <w:tcW w:w="900"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718" w:type="dxa"/>
            <w:gridSpan w:val="3"/>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财政拨款</w:t>
            </w:r>
          </w:p>
          <w:p>
            <w:pPr>
              <w:widowControl/>
              <w:jc w:val="center"/>
              <w:rPr>
                <w:rFonts w:eastAsia="宋体" w:hint="eastAsia"/>
                <w:color w:val="000000"/>
                <w:sz w:val="21"/>
                <w:szCs w:val="21"/>
                <w:shd w:val="clear" w:color="auto" w:fill="FFFFFF"/>
                <w:lang w:eastAsia="zh-CN"/>
              </w:rPr>
            </w:pPr>
            <w:r>
              <w:rPr>
                <w:rFonts w:eastAsia="宋体" w:hint="eastAsia"/>
                <w:color w:val="000000"/>
                <w:sz w:val="20"/>
                <w:szCs w:val="20"/>
                <w:shd w:val="clear" w:color="auto" w:fill="FFFFFF"/>
                <w:lang w:eastAsia="zh-CN"/>
              </w:rPr>
              <w:t>收入</w:t>
            </w:r>
          </w:p>
        </w:tc>
        <w:tc>
          <w:tcPr>
            <w:tcW w:w="750" w:type="dxa"/>
            <w:vMerge w:val="restart"/>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财政专户管理资金收入</w:t>
            </w:r>
          </w:p>
        </w:tc>
        <w:tc>
          <w:tcPr>
            <w:tcW w:w="2291" w:type="dxa"/>
            <w:gridSpan w:val="5"/>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单位资金收入</w:t>
            </w:r>
          </w:p>
        </w:tc>
        <w:tc>
          <w:tcPr>
            <w:tcW w:w="518"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254" w:type="dxa"/>
            <w:gridSpan w:val="3"/>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财政拨款结转</w:t>
            </w:r>
          </w:p>
        </w:tc>
        <w:tc>
          <w:tcPr>
            <w:tcW w:w="778" w:type="dxa"/>
            <w:gridSpan w:val="2"/>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非财政拨款结转结余</w:t>
            </w:r>
          </w:p>
        </w:tc>
      </w:tr>
      <w:tr>
        <w:trPr>
          <w:trHeight w:val="6089"/>
        </w:trPr>
        <w:tc>
          <w:tcPr>
            <w:tcW w:w="1447"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832"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900"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831"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auto"/>
                <w:lang w:eastAsia="zh-CN"/>
              </w:rPr>
              <w:t>一般公共预算收入</w:t>
            </w:r>
          </w:p>
        </w:tc>
        <w:tc>
          <w:tcPr>
            <w:tcW w:w="450" w:type="dxa"/>
            <w:tcBorders>
              <w:top w:val="single" w:sz="4" w:space="0" w:color="000000"/>
              <w:left w:val="single" w:sz="4" w:space="0" w:color="000000"/>
              <w:bottom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政府性基金预算收入</w:t>
            </w: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国有资本经营预算收入</w:t>
            </w:r>
          </w:p>
        </w:tc>
        <w:tc>
          <w:tcPr>
            <w:tcW w:w="750" w:type="dxa"/>
            <w:vMerge/>
            <w:tcBorders>
              <w:left w:val="single" w:sz="4" w:space="0" w:color="auto"/>
              <w:bottom w:val="single" w:sz="4" w:space="0" w:color="000000"/>
              <w:right w:val="single" w:sz="4" w:space="0" w:color="auto"/>
            </w:tcBorders>
            <w:shd w:val="solid" w:color="FFFFFF" w:fill="auto"/>
            <w:noWrap/>
            <w:textDirection w:val="tbLrV"/>
            <w:vAlign w:val="center"/>
          </w:tcPr>
          <w:p/>
        </w:tc>
        <w:tc>
          <w:tcPr>
            <w:tcW w:w="573"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事业收入</w:t>
            </w: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事业单位经营收入</w:t>
            </w: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上级补助收入</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附属单位上缴收入</w:t>
            </w: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其他收入</w:t>
            </w:r>
          </w:p>
        </w:tc>
        <w:tc>
          <w:tcPr>
            <w:tcW w:w="518"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一般公共预算拨款结转</w:t>
            </w:r>
          </w:p>
        </w:tc>
        <w:tc>
          <w:tcPr>
            <w:tcW w:w="451"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left"/>
              <w:rPr>
                <w:rFonts w:eastAsia="宋体" w:hint="eastAsia"/>
                <w:color w:val="000000"/>
                <w:sz w:val="20"/>
                <w:szCs w:val="20"/>
                <w:shd w:val="clear" w:color="auto" w:fill="FFFFFF"/>
                <w:lang w:eastAsia="zh-CN"/>
              </w:rPr>
            </w:pPr>
          </w:p>
          <w:p>
            <w:pPr>
              <w:widowControl/>
              <w:ind w:left="113" w:right="113"/>
              <w:jc w:val="center"/>
              <w:rPr>
                <w:rFonts w:eastAsia="宋体"/>
                <w:color w:val="000000"/>
                <w:sz w:val="20"/>
                <w:szCs w:val="20"/>
                <w:shd w:val="clear" w:color="auto" w:fill="FFFFFF"/>
                <w:lang w:val="en-US" w:eastAsia="zh-CN"/>
              </w:rPr>
            </w:pPr>
            <w:r>
              <w:rPr>
                <w:rFonts w:eastAsia="宋体" w:hint="eastAsia"/>
                <w:color w:val="000000"/>
                <w:sz w:val="20"/>
                <w:szCs w:val="20"/>
                <w:shd w:val="clear" w:color="auto" w:fill="FFFFFF"/>
                <w:lang w:eastAsia="zh-CN"/>
              </w:rPr>
              <w:t>政府性基金预算拨款</w:t>
            </w:r>
            <w:r>
              <w:rPr>
                <w:rFonts w:eastAsia="宋体" w:hint="eastAsia"/>
                <w:color w:val="000000"/>
                <w:sz w:val="20"/>
                <w:szCs w:val="20"/>
                <w:shd w:val="clear" w:color="auto" w:fill="FFFFFF"/>
                <w:lang w:val="en-US" w:eastAsia="zh-CN"/>
              </w:rPr>
              <w:t>结转</w:t>
            </w:r>
          </w:p>
          <w:p>
            <w:pPr>
              <w:widowControl/>
              <w:ind w:left="113" w:right="113"/>
              <w:jc w:val="center"/>
              <w:rPr>
                <w:rFonts w:eastAsia="宋体" w:hint="eastAsia"/>
                <w:color w:val="000000"/>
                <w:sz w:val="20"/>
                <w:szCs w:val="20"/>
                <w:shd w:val="clear" w:color="auto" w:fill="FFFFFF"/>
                <w:lang w:eastAsia="zh-CN"/>
              </w:rPr>
            </w:pPr>
          </w:p>
        </w:tc>
        <w:tc>
          <w:tcPr>
            <w:tcW w:w="435" w:type="dxa"/>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国有资本经营预算拨款结转</w:t>
            </w:r>
          </w:p>
        </w:tc>
        <w:tc>
          <w:tcPr>
            <w:tcW w:w="409"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财政专户管理资金结转结余</w:t>
            </w:r>
          </w:p>
        </w:tc>
        <w:tc>
          <w:tcPr>
            <w:tcW w:w="369"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单位资金结转结余</w:t>
            </w:r>
          </w:p>
        </w:tc>
      </w:tr>
      <w:tr>
        <w:trPr>
          <w:trHeight w:val="517"/>
        </w:trPr>
        <w:tc>
          <w:tcPr>
            <w:tcW w:w="1447"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hint="eastAsia"/>
                <w:color w:val="000000"/>
                <w:sz w:val="20"/>
                <w:shd w:val="clear" w:color="auto" w:fill="FFFFFF"/>
                <w:lang w:val="en-US" w:eastAsia="zh-CN"/>
              </w:rPr>
            </w:pPr>
            <w:r>
              <w:rPr>
                <w:rFonts w:eastAsia="宋体" w:hint="eastAsia"/>
                <w:color w:val="000000"/>
                <w:sz w:val="20"/>
                <w:shd w:val="clear" w:color="auto" w:fill="FFFFFF"/>
                <w:lang w:val="en-US" w:eastAsia="zh-CN"/>
              </w:rPr>
              <w:t>长春市统计局绿园区分局</w:t>
            </w:r>
          </w:p>
        </w:tc>
        <w:tc>
          <w:tcPr>
            <w:tcW w:w="83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kern w:val="0"/>
                <w:sz w:val="20"/>
                <w:lang w:val="en-US" w:eastAsia="zh-CN"/>
              </w:rPr>
              <w:t>161.48</w:t>
            </w:r>
          </w:p>
        </w:tc>
        <w:tc>
          <w:tcPr>
            <w:tcW w:w="9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kern w:val="0"/>
                <w:sz w:val="20"/>
                <w:lang w:val="en-US" w:eastAsia="zh-CN"/>
              </w:rPr>
              <w:t>161.48</w:t>
            </w:r>
          </w:p>
        </w:tc>
        <w:tc>
          <w:tcPr>
            <w:tcW w:w="83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kern w:val="0"/>
                <w:sz w:val="20"/>
                <w:lang w:val="en-US" w:eastAsia="zh-CN"/>
              </w:rPr>
              <w:t>161.48</w:t>
            </w:r>
          </w:p>
        </w:tc>
        <w:tc>
          <w:tcPr>
            <w:tcW w:w="450"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75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57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1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1"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1447"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83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9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3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75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57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1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1"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30"/>
        </w:trPr>
        <w:tc>
          <w:tcPr>
            <w:tcW w:w="1447"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3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kern w:val="0"/>
                <w:sz w:val="20"/>
                <w:lang w:val="en-US" w:eastAsia="zh-CN"/>
              </w:rPr>
              <w:t>161.48</w:t>
            </w:r>
          </w:p>
        </w:tc>
        <w:tc>
          <w:tcPr>
            <w:tcW w:w="9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kern w:val="0"/>
                <w:sz w:val="20"/>
                <w:lang w:val="en-US" w:eastAsia="zh-CN"/>
              </w:rPr>
              <w:t>161.48</w:t>
            </w:r>
          </w:p>
        </w:tc>
        <w:tc>
          <w:tcPr>
            <w:tcW w:w="83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kern w:val="0"/>
                <w:sz w:val="20"/>
                <w:lang w:val="en-US" w:eastAsia="zh-CN"/>
              </w:rPr>
              <w:t>161.48</w:t>
            </w:r>
          </w:p>
        </w:tc>
        <w:tc>
          <w:tcPr>
            <w:tcW w:w="450"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75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57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1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6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51"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43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r>
    </w:tbl>
    <w:p>
      <w:pPr>
        <w:rPr>
          <w:rFonts w:eastAsia="楷体"/>
        </w:rPr>
      </w:pPr>
    </w:p>
    <w:p>
      <w:pPr>
        <w:rPr>
          <w:rFonts w:eastAsia="楷体"/>
        </w:rPr>
      </w:pPr>
      <w:r>
        <w:rPr>
          <w:rFonts w:eastAsia="楷体"/>
        </w:rPr>
        <w:br w:type="page"/>
      </w:r>
    </w:p>
    <w:tbl>
      <w:tblPr>
        <w:jc w:val="center"/>
        <w:tblW w:w="1040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960"/>
        <w:gridCol w:w="445"/>
      </w:tblGrid>
      <w:tr>
        <w:trPr>
          <w:trHeight w:val="5312"/>
        </w:trPr>
        <w:tc>
          <w:tcPr>
            <w:tcW w:w="10405" w:type="dxa"/>
            <w:gridSpan w:val="2"/>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bl>
            <w:tblPr>
              <w:jc w:val="left"/>
              <w:tblInd w:w="445" w:type="dxa"/>
              <w:tblW w:w="984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3305"/>
              <w:gridCol w:w="1146"/>
              <w:gridCol w:w="1186"/>
              <w:gridCol w:w="1173"/>
              <w:gridCol w:w="1091"/>
              <w:gridCol w:w="504"/>
              <w:gridCol w:w="464"/>
              <w:gridCol w:w="833"/>
              <w:gridCol w:w="138"/>
            </w:tblGrid>
            <w:tr>
              <w:trPr>
                <w:trHeight w:val="362"/>
                <w:gridAfter w:val="1"/>
                <w:wAfter w:w="138" w:type="dxa"/>
              </w:trPr>
              <w:tc>
                <w:tcPr>
                  <w:tcW w:w="6810" w:type="dxa"/>
                  <w:gridSpan w:val="4"/>
                  <w:tcBorders>
                    <w:bottom w:val="single" w:sz="4" w:space="0" w:color="000000"/>
                  </w:tcBorders>
                  <w:noWrap/>
                  <w:vAlign w:val="center"/>
                </w:tcPr>
                <w:p>
                  <w:pPr>
                    <w:widowControl/>
                    <w:jc w:val="left"/>
                    <w:rPr>
                      <w:rFonts w:eastAsia="华文细黑"/>
                      <w:color w:val="000000"/>
                      <w:kern w:val="0"/>
                      <w:sz w:val="20"/>
                    </w:rPr>
                  </w:pPr>
                </w:p>
              </w:tc>
              <w:tc>
                <w:tcPr>
                  <w:tcW w:w="1091" w:type="dxa"/>
                  <w:tcBorders>
                    <w:bottom w:val="single" w:sz="4" w:space="0" w:color="000000"/>
                  </w:tcBorders>
                  <w:noWrap/>
                  <w:vAlign w:val="center"/>
                </w:tcPr>
                <w:p>
                  <w:pPr>
                    <w:widowControl/>
                    <w:jc w:val="right"/>
                    <w:rPr>
                      <w:rFonts w:eastAsia="华文细黑"/>
                      <w:color w:val="000000"/>
                      <w:kern w:val="0"/>
                      <w:sz w:val="20"/>
                    </w:rPr>
                  </w:pPr>
                </w:p>
              </w:tc>
              <w:tc>
                <w:tcPr>
                  <w:tcW w:w="504" w:type="dxa"/>
                  <w:tcBorders>
                    <w:bottom w:val="single" w:sz="4" w:space="0" w:color="000000"/>
                  </w:tcBorders>
                  <w:noWrap/>
                  <w:vAlign w:val="center"/>
                </w:tcPr>
                <w:p>
                  <w:pPr>
                    <w:widowControl/>
                    <w:jc w:val="right"/>
                    <w:rPr>
                      <w:rFonts w:eastAsia="华文细黑"/>
                      <w:color w:val="000000"/>
                      <w:kern w:val="0"/>
                      <w:sz w:val="20"/>
                    </w:rPr>
                  </w:pPr>
                </w:p>
              </w:tc>
              <w:tc>
                <w:tcPr>
                  <w:tcW w:w="1297" w:type="dxa"/>
                  <w:gridSpan w:val="2"/>
                  <w:tcBorders>
                    <w:bottom w:val="single" w:sz="4" w:space="0" w:color="000000"/>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2211"/>
              </w:trPr>
              <w:tc>
                <w:tcPr>
                  <w:tcW w:w="3305"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46"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lang w:eastAsia="zh-CN"/>
                    </w:rPr>
                    <w:t>合</w:t>
                  </w:r>
                  <w:r>
                    <w:rPr>
                      <w:rFonts w:eastAsia="华文细黑"/>
                      <w:color w:val="000000"/>
                      <w:kern w:val="0"/>
                      <w:sz w:val="20"/>
                    </w:rPr>
                    <w:t>计</w:t>
                  </w:r>
                </w:p>
              </w:tc>
              <w:tc>
                <w:tcPr>
                  <w:tcW w:w="118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173"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c>
                <w:tcPr>
                  <w:tcW w:w="1091"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事业单位</w:t>
                  </w:r>
                </w:p>
                <w:p>
                  <w:pPr>
                    <w:widowControl/>
                    <w:jc w:val="center"/>
                    <w:rPr>
                      <w:rFonts w:eastAsia="华文细黑" w:hint="eastAsia"/>
                      <w:color w:val="000000"/>
                      <w:kern w:val="0"/>
                      <w:sz w:val="20"/>
                    </w:rPr>
                  </w:pPr>
                  <w:r>
                    <w:rPr>
                      <w:rFonts w:eastAsia="华文细黑" w:hint="eastAsia"/>
                      <w:color w:val="000000"/>
                      <w:kern w:val="0"/>
                      <w:sz w:val="20"/>
                    </w:rPr>
                    <w:t>经营支出</w:t>
                  </w:r>
                </w:p>
              </w:tc>
              <w:tc>
                <w:tcPr>
                  <w:tcW w:w="968"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9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trHeight w:val="556"/>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一、一般公共服务支出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lang w:val="en-US" w:eastAsia="zh-CN"/>
                    </w:rPr>
                    <w:t>112.34</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429"/>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统计信息事务</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112.34</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02"/>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行政运行</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9"/>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一般行政管理事务</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10"/>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二、社会保障和就业支出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15"/>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行政事业单位养老支出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93"/>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color w:val="000000"/>
                      <w:kern w:val="0"/>
                      <w:sz w:val="20"/>
                      <w:szCs w:val="20"/>
                      <w:u w:val="none"/>
                      <w:lang w:val="en-US" w:eastAsia="zh-CN"/>
                    </w:rPr>
                    <w:t>　　    行政单位离退休</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机关事业单位基本养老保险缴费支出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1"/>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三、卫生健康支出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37"/>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行政事业单位医疗</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31"/>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行政单位医疗</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27"/>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四、住房保障支出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13"/>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住房改革支出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3"/>
              </w:trPr>
              <w:tc>
                <w:tcPr>
                  <w:tcW w:w="3305"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color w:val="000000"/>
                      <w:kern w:val="0"/>
                      <w:sz w:val="20"/>
                      <w:szCs w:val="20"/>
                      <w:u w:val="none"/>
                      <w:lang w:val="en-US" w:eastAsia="zh-CN"/>
                    </w:rPr>
                    <w:t>　　    住房公积金</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3305" w:type="dxa"/>
                  <w:tcBorders>
                    <w:top w:val="single" w:sz="4" w:space="0" w:color="000000"/>
                    <w:left w:val="single" w:sz="4" w:space="0" w:color="000000"/>
                    <w:bottom w:val="single" w:sz="4" w:space="0" w:color="auto"/>
                  </w:tcBorders>
                  <w:shd w:val="clear" w:color="000000" w:fill="FFFFFF"/>
                  <w:noWrap/>
                  <w:vAlign w:val="center"/>
                </w:tcPr>
                <w:p>
                  <w:pPr>
                    <w:keepNext w:val="0"/>
                    <w:keepLines w:val="0"/>
                    <w:widowControl/>
                    <w:suppressLineNumbers w:val="0"/>
                    <w:jc w:val="center"/>
                    <w:textAlignment w:val="center"/>
                    <w:rPr>
                      <w:rFonts w:ascii="宋体" w:eastAsia="宋体" w:cs="宋体" w:hint="eastAsia"/>
                      <w:color w:val="000000"/>
                      <w:kern w:val="0"/>
                      <w:sz w:val="20"/>
                      <w:szCs w:val="20"/>
                      <w:u w:val="none"/>
                      <w:lang w:val="en-US" w:eastAsia="zh-CN"/>
                    </w:rPr>
                  </w:pPr>
                  <w:r>
                    <w:rPr>
                      <w:rFonts w:ascii="宋体" w:eastAsia="宋体" w:cs="宋体" w:hint="eastAsia"/>
                      <w:color w:val="000000"/>
                      <w:kern w:val="0"/>
                      <w:sz w:val="20"/>
                      <w:szCs w:val="20"/>
                      <w:u w:val="none"/>
                      <w:lang w:val="en-US" w:eastAsia="zh-CN"/>
                    </w:rPr>
                    <w:t>合  计</w:t>
                  </w:r>
                </w:p>
              </w:tc>
              <w:tc>
                <w:tcPr>
                  <w:tcW w:w="1146"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86"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144.88</w:t>
                  </w:r>
                </w:p>
              </w:tc>
              <w:tc>
                <w:tcPr>
                  <w:tcW w:w="1173"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c>
                <w:tcPr>
                  <w:tcW w:w="1091"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Borders>
                    <w:top w:val="single" w:sz="4" w:space="0" w:color="auto"/>
                    <w:left w:val="nil"/>
                    <w:bottom w:val="nil"/>
                    <w:right w:val="nil"/>
                    <w:tl2br w:val="nil"/>
                    <w:tr2bl w:val="nil"/>
                  </w:tcBorders>
                  <w:shd w:val="clear" w:color="000000" w:fill="FFFFFF"/>
                  <w:noWrap/>
                  <w:vAlign w:val="center"/>
                </w:tcPr>
                <w:p>
                  <w:pPr>
                    <w:keepNext w:val="0"/>
                    <w:keepLines w:val="0"/>
                    <w:widowControl/>
                    <w:suppressLineNumbers w:val="0"/>
                    <w:jc w:val="center"/>
                    <w:textAlignment w:val="center"/>
                    <w:rPr>
                      <w:rFonts w:ascii="宋体" w:eastAsia="宋体" w:cs="宋体"/>
                      <w:color w:val="000000"/>
                      <w:kern w:val="0"/>
                      <w:sz w:val="20"/>
                      <w:szCs w:val="20"/>
                      <w:u w:val="none"/>
                      <w:lang w:val="en-US" w:eastAsia="zh-CN"/>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968" w:type="dxa"/>
                  <w:gridSpan w:val="2"/>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971" w:type="dxa"/>
                  <w:gridSpan w:val="2"/>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rPr>
          <w:trHeight w:val="233"/>
        </w:trPr>
        <w:tc>
          <w:tcPr>
            <w:tcW w:w="10405" w:type="dxa"/>
            <w:gridSpan w:val="2"/>
            <w:tcBorders>
              <w:top w:val="nil"/>
              <w:left w:val="nil"/>
              <w:bottom w:val="nil"/>
              <w:right w:val="nil"/>
            </w:tcBorders>
            <w:noWrap/>
            <w:vAlign w:val="bottom"/>
          </w:tcPr>
          <w:p>
            <w:pPr>
              <w:widowControl/>
              <w:jc w:val="both"/>
              <w:rPr>
                <w:rFonts w:eastAsia="方正小标宋简体"/>
                <w:kern w:val="0"/>
                <w:sz w:val="44"/>
                <w:szCs w:val="44"/>
              </w:rPr>
            </w:pPr>
            <w:bookmarkStart w:id="0" w:name="_GoBack"/>
            <w:bookmarkEnd w:id="0"/>
          </w:p>
        </w:tc>
      </w:tr>
      <w:tr>
        <w:trPr>
          <w:trHeight w:val="11083"/>
          <w:gridAfter w:val="1"/>
          <w:wAfter w:w="445" w:type="dxa"/>
        </w:trPr>
        <w:tc>
          <w:tcPr>
            <w:tcW w:w="9960" w:type="dxa"/>
            <w:tcBorders>
              <w:top w:val="nil"/>
              <w:left w:val="nil"/>
              <w:bottom w:val="nil"/>
              <w:right w:val="nil"/>
            </w:tcBorders>
            <w:noWrap/>
            <w:vAlign w:val="bottom"/>
          </w:tcPr>
          <w:tbl>
            <w:tblPr>
              <w:tblpPr w:leftFromText="180" w:rightFromText="180" w:vertAnchor="page" w:horzAnchor="page" w:tblpX="114" w:tblpY="657"/>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2"/>
              <w:gridCol w:w="1126"/>
              <w:gridCol w:w="1126"/>
              <w:gridCol w:w="1126"/>
              <w:gridCol w:w="1374"/>
              <w:gridCol w:w="1166"/>
              <w:gridCol w:w="1130"/>
              <w:gridCol w:w="1150"/>
            </w:tblGrid>
            <w:tr>
              <w:trPr>
                <w:trHeight w:val="634"/>
              </w:trPr>
              <w:tc>
                <w:tcPr>
                  <w:tcW w:w="9640" w:type="dxa"/>
                  <w:gridSpan w:val="8"/>
                  <w:tcBorders>
                    <w:top w:val="nil"/>
                    <w:left w:val="nil"/>
                    <w:bottom w:val="nil"/>
                    <w:right w:val="nil"/>
                  </w:tcBorders>
                  <w:noWrap/>
                  <w:vAlign w:val="center"/>
                </w:tcPr>
                <w:p>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lang w:eastAsia="zh-CN"/>
                    </w:rPr>
                    <w:t>预算总</w:t>
                  </w:r>
                  <w:r>
                    <w:rPr>
                      <w:rFonts w:eastAsia="方正小标宋简体"/>
                      <w:kern w:val="0"/>
                      <w:sz w:val="44"/>
                      <w:szCs w:val="44"/>
                    </w:rPr>
                    <w:t>表</w:t>
                  </w:r>
                </w:p>
              </w:tc>
            </w:tr>
            <w:tr>
              <w:trPr>
                <w:trHeight w:val="502"/>
              </w:trPr>
              <w:tc>
                <w:tcPr>
                  <w:tcW w:w="9640" w:type="dxa"/>
                  <w:gridSpan w:val="8"/>
                  <w:tcBorders>
                    <w:top w:val="nil"/>
                    <w:left w:val="nil"/>
                    <w:bottom w:val="nil"/>
                    <w:right w:val="nil"/>
                  </w:tcBorders>
                  <w:noWrap/>
                  <w:vAlign w:val="bottom"/>
                </w:tcPr>
                <w:p>
                  <w:pPr>
                    <w:widowControl/>
                    <w:jc w:val="right"/>
                    <w:rPr>
                      <w:rFonts w:eastAsia="华文细黑"/>
                      <w:color w:val="000000"/>
                      <w:kern w:val="0"/>
                      <w:sz w:val="20"/>
                    </w:rPr>
                  </w:pPr>
                  <w:r>
                    <w:rPr>
                      <w:rFonts w:eastAsia="华文细黑" w:hint="eastAsia"/>
                      <w:color w:val="000000"/>
                      <w:kern w:val="0"/>
                      <w:sz w:val="20"/>
                    </w:rPr>
                    <w:t xml:space="preserve"> </w:t>
                  </w:r>
                  <w:r>
                    <w:rPr>
                      <w:rFonts w:eastAsia="华文细黑"/>
                      <w:color w:val="000000"/>
                      <w:kern w:val="0"/>
                      <w:sz w:val="20"/>
                    </w:rPr>
                    <w:t>单位：万元</w:t>
                  </w:r>
                </w:p>
              </w:tc>
            </w:tr>
            <w:tr>
              <w:trPr>
                <w:trHeight w:val="493"/>
              </w:trPr>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支      出</w:t>
                  </w:r>
                </w:p>
              </w:tc>
            </w:tr>
            <w:tr>
              <w:trPr>
                <w:trHeight w:val="1363"/>
              </w:trPr>
              <w:tc>
                <w:tcPr>
                  <w:tcW w:w="1442"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val="en-US"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c>
                <w:tcPr>
                  <w:tcW w:w="1374"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6"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30"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r>
            <w:tr>
              <w:trPr>
                <w:trHeight w:val="433"/>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eastAsia="zh-CN"/>
                    </w:rPr>
                  </w:pPr>
                  <w:r>
                    <w:rPr>
                      <w:rFonts w:eastAsia="宋体" w:hint="eastAsia"/>
                      <w:color w:val="000000"/>
                      <w:kern w:val="0"/>
                      <w:sz w:val="20"/>
                      <w:lang w:eastAsia="zh-CN"/>
                    </w:rPr>
                    <w:t>一、本年支出</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3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color w:val="000000"/>
                      <w:kern w:val="0"/>
                      <w:sz w:val="20"/>
                      <w:lang w:val="en-US" w:eastAsia="zh-CN"/>
                    </w:rPr>
                    <w:t>161.48</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szCs w:val="22"/>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ascii="宋体" w:eastAsia="宋体" w:cs="宋体" w:hint="eastAsia"/>
                      <w:color w:val="000000"/>
                      <w:sz w:val="20"/>
                      <w:lang w:eastAsia="zh-CN"/>
                    </w:rPr>
                    <w:t>（</w:t>
                  </w:r>
                  <w:r>
                    <w:rPr>
                      <w:rFonts w:ascii="宋体" w:eastAsia="宋体" w:cs="宋体" w:hint="eastAsia"/>
                      <w:color w:val="000000"/>
                      <w:sz w:val="20"/>
                      <w:lang w:val="en-US" w:eastAsia="zh-CN"/>
                    </w:rPr>
                    <w:t>一</w:t>
                  </w:r>
                  <w:r>
                    <w:rPr>
                      <w:rFonts w:ascii="宋体" w:eastAsia="宋体" w:cs="宋体" w:hint="eastAsia"/>
                      <w:color w:val="000000"/>
                      <w:sz w:val="20"/>
                      <w:lang w:eastAsia="zh-CN"/>
                    </w:rPr>
                    <w:t>）</w:t>
                  </w:r>
                  <w:r>
                    <w:rPr>
                      <w:rFonts w:ascii="宋体" w:eastAsia="宋体" w:cs="宋体" w:hint="eastAsia"/>
                      <w:color w:val="000000"/>
                      <w:sz w:val="20"/>
                      <w:lang w:val="en-US" w:eastAsia="zh-CN"/>
                    </w:rPr>
                    <w:t>一般公共服务支出</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112.34</w:t>
                  </w:r>
                  <w:r>
                    <w:rPr>
                      <w:rFonts w:eastAsia="宋体"/>
                      <w:color w:val="000000"/>
                      <w:kern w:val="0"/>
                      <w:sz w:val="20"/>
                      <w:lang w:val="en-US" w:eastAsia="zh-CN"/>
                    </w:rPr>
                    <w:t>　</w:t>
                  </w:r>
                </w:p>
              </w:tc>
              <w:tc>
                <w:tcPr>
                  <w:tcW w:w="113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color w:val="000000"/>
                      <w:kern w:val="0"/>
                      <w:sz w:val="20"/>
                      <w:lang w:val="en-US" w:eastAsia="zh-CN"/>
                    </w:rPr>
                    <w:t>112.34</w:t>
                  </w:r>
                  <w:r>
                    <w:rPr>
                      <w:rFonts w:eastAsia="宋体"/>
                      <w:color w:val="000000"/>
                      <w:kern w:val="0"/>
                      <w:sz w:val="20"/>
                      <w:lang w:val="en-US" w:eastAsia="zh-CN"/>
                    </w:rPr>
                    <w:t>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ascii="宋体" w:eastAsia="宋体" w:cs="宋体" w:hint="eastAsia"/>
                      <w:color w:val="000000"/>
                      <w:sz w:val="20"/>
                      <w:lang w:eastAsia="zh-CN"/>
                    </w:rPr>
                    <w:t>（</w:t>
                  </w:r>
                  <w:r>
                    <w:rPr>
                      <w:rFonts w:ascii="宋体" w:eastAsia="宋体" w:cs="宋体" w:hint="eastAsia"/>
                      <w:color w:val="000000"/>
                      <w:sz w:val="20"/>
                      <w:lang w:val="en-US" w:eastAsia="zh-CN"/>
                    </w:rPr>
                    <w:t>二</w:t>
                  </w:r>
                  <w:r>
                    <w:rPr>
                      <w:rFonts w:ascii="宋体" w:eastAsia="宋体" w:cs="宋体" w:hint="eastAsia"/>
                      <w:color w:val="000000"/>
                      <w:sz w:val="20"/>
                      <w:lang w:eastAsia="zh-CN"/>
                    </w:rPr>
                    <w:t>）</w:t>
                  </w:r>
                  <w:r>
                    <w:rPr>
                      <w:rFonts w:ascii="宋体" w:eastAsia="宋体" w:cs="宋体" w:hint="eastAsia"/>
                      <w:color w:val="000000"/>
                      <w:sz w:val="20"/>
                    </w:rPr>
                    <w:t>社会保障和就业支出　</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30.1</w:t>
                  </w:r>
                  <w:r>
                    <w:rPr>
                      <w:rFonts w:eastAsia="宋体"/>
                      <w:color w:val="000000"/>
                      <w:kern w:val="0"/>
                      <w:sz w:val="20"/>
                      <w:lang w:val="en-US" w:eastAsia="zh-CN"/>
                    </w:rPr>
                    <w:t>　</w:t>
                  </w:r>
                </w:p>
              </w:tc>
              <w:tc>
                <w:tcPr>
                  <w:tcW w:w="113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color w:val="000000"/>
                      <w:kern w:val="0"/>
                      <w:sz w:val="20"/>
                      <w:lang w:val="en-US" w:eastAsia="zh-CN"/>
                    </w:rPr>
                    <w:t>30.1</w:t>
                  </w:r>
                  <w:r>
                    <w:rPr>
                      <w:rFonts w:eastAsia="宋体"/>
                      <w:color w:val="000000"/>
                      <w:kern w:val="0"/>
                      <w:sz w:val="20"/>
                      <w:lang w:val="en-US" w:eastAsia="zh-CN"/>
                    </w:rPr>
                    <w:t>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ascii="宋体" w:eastAsia="宋体" w:cs="宋体" w:hint="eastAsia"/>
                      <w:color w:val="000000"/>
                      <w:sz w:val="20"/>
                      <w:lang w:eastAsia="zh-CN"/>
                    </w:rPr>
                    <w:t>（</w:t>
                  </w:r>
                  <w:r>
                    <w:rPr>
                      <w:rFonts w:ascii="宋体" w:eastAsia="宋体" w:cs="宋体" w:hint="eastAsia"/>
                      <w:color w:val="000000"/>
                      <w:sz w:val="20"/>
                      <w:lang w:val="en-US" w:eastAsia="zh-CN"/>
                    </w:rPr>
                    <w:t>三</w:t>
                  </w:r>
                  <w:r>
                    <w:rPr>
                      <w:rFonts w:ascii="宋体" w:eastAsia="宋体" w:cs="宋体" w:hint="eastAsia"/>
                      <w:color w:val="000000"/>
                      <w:sz w:val="20"/>
                      <w:lang w:eastAsia="zh-CN"/>
                    </w:rPr>
                    <w:t>）</w:t>
                  </w:r>
                  <w:r>
                    <w:rPr>
                      <w:rFonts w:ascii="宋体" w:eastAsia="宋体" w:cs="宋体" w:hint="eastAsia"/>
                      <w:color w:val="000000"/>
                      <w:sz w:val="20"/>
                    </w:rPr>
                    <w:t>卫生健康支出</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8.72</w:t>
                  </w:r>
                  <w:r>
                    <w:rPr>
                      <w:rFonts w:eastAsia="宋体"/>
                      <w:color w:val="000000"/>
                      <w:kern w:val="0"/>
                      <w:sz w:val="20"/>
                      <w:lang w:val="en-US" w:eastAsia="zh-CN"/>
                    </w:rPr>
                    <w:t>　</w:t>
                  </w:r>
                </w:p>
              </w:tc>
              <w:tc>
                <w:tcPr>
                  <w:tcW w:w="113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color w:val="000000"/>
                      <w:kern w:val="0"/>
                      <w:sz w:val="20"/>
                      <w:lang w:val="en-US" w:eastAsia="zh-CN"/>
                    </w:rPr>
                    <w:t>8.72</w:t>
                  </w:r>
                  <w:r>
                    <w:rPr>
                      <w:rFonts w:eastAsia="宋体"/>
                      <w:color w:val="000000"/>
                      <w:kern w:val="0"/>
                      <w:sz w:val="20"/>
                      <w:lang w:val="en-US" w:eastAsia="zh-CN"/>
                    </w:rPr>
                    <w:t>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ascii="宋体" w:eastAsia="宋体" w:cs="宋体" w:hint="eastAsia"/>
                      <w:color w:val="000000"/>
                      <w:kern w:val="0"/>
                      <w:sz w:val="20"/>
                      <w:lang w:val="en-US" w:eastAsia="zh-CN"/>
                    </w:rPr>
                    <w:t>（四）住房保障支出</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hint="eastAsia"/>
                      <w:color w:val="000000"/>
                      <w:kern w:val="0"/>
                      <w:sz w:val="20"/>
                      <w:lang w:val="en-US" w:eastAsia="zh-CN"/>
                    </w:rPr>
                  </w:pPr>
                  <w:r>
                    <w:rPr>
                      <w:rFonts w:eastAsia="宋体" w:hint="eastAsia"/>
                      <w:color w:val="000000"/>
                      <w:kern w:val="0"/>
                      <w:sz w:val="20"/>
                      <w:lang w:val="en-US" w:eastAsia="zh-CN"/>
                    </w:rPr>
                    <w:tab/>
                    <w:t>10.32</w:t>
                  </w:r>
                </w:p>
              </w:tc>
              <w:tc>
                <w:tcPr>
                  <w:tcW w:w="113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color w:val="000000"/>
                      <w:kern w:val="0"/>
                      <w:sz w:val="20"/>
                      <w:lang w:val="en-US" w:eastAsia="zh-CN"/>
                    </w:rPr>
                    <w:tab/>
                    <w:t>10.32</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5"/>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kern w:val="0"/>
                      <w:sz w:val="20"/>
                    </w:rPr>
                  </w:pP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kern w:val="0"/>
                      <w:sz w:val="20"/>
                    </w:rPr>
                  </w:pPr>
                  <w:r>
                    <w:rPr>
                      <w:rFonts w:eastAsia="宋体"/>
                      <w:kern w:val="0"/>
                      <w:sz w:val="20"/>
                    </w:rPr>
                    <w:t>　</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3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sz w:val="20"/>
                    </w:rPr>
                  </w:pPr>
                  <w:r>
                    <w:rPr>
                      <w:rFonts w:eastAsia="宋体" w:hint="eastAsia"/>
                      <w:kern w:val="0"/>
                      <w:sz w:val="20"/>
                      <w:lang w:eastAsia="zh-CN"/>
                    </w:rPr>
                    <w:t>二、</w:t>
                  </w:r>
                  <w:r>
                    <w:rPr>
                      <w:rFonts w:eastAsia="宋体"/>
                      <w:kern w:val="0"/>
                      <w:sz w:val="20"/>
                    </w:rPr>
                    <w:t>结转下年</w:t>
                  </w:r>
                </w:p>
              </w:tc>
              <w:tc>
                <w:tcPr>
                  <w:tcW w:w="116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30"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c>
                <w:tcPr>
                  <w:tcW w:w="1150"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r>
            <w:tr>
              <w:trPr>
                <w:trHeight w:val="500"/>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color w:val="000000"/>
                      <w:kern w:val="0"/>
                      <w:sz w:val="20"/>
                      <w:lang w:val="en-US" w:eastAsia="zh-CN"/>
                    </w:rPr>
                    <w:t>161.48</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color w:val="000000"/>
                      <w:kern w:val="0"/>
                      <w:sz w:val="20"/>
                      <w:lang w:val="en-US" w:eastAsia="zh-CN"/>
                    </w:rPr>
                    <w:t>161.48</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支出总计</w:t>
                  </w:r>
                </w:p>
              </w:tc>
              <w:tc>
                <w:tcPr>
                  <w:tcW w:w="116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color w:val="000000"/>
                      <w:kern w:val="0"/>
                      <w:sz w:val="20"/>
                      <w:lang w:val="en-US" w:eastAsia="zh-CN"/>
                    </w:rPr>
                    <w:t>161.48</w:t>
                  </w:r>
                </w:p>
              </w:tc>
              <w:tc>
                <w:tcPr>
                  <w:tcW w:w="113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color w:val="000000"/>
                      <w:kern w:val="0"/>
                      <w:sz w:val="20"/>
                      <w:lang w:val="en-US" w:eastAsia="zh-CN"/>
                    </w:rPr>
                    <w:t>161.48</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bl>
          <w:p>
            <w:pPr>
              <w:widowControl/>
              <w:rPr>
                <w:rFonts w:eastAsia="方正小标宋简体"/>
                <w:kern w:val="0"/>
                <w:sz w:val="44"/>
                <w:szCs w:val="44"/>
              </w:rPr>
            </w:pPr>
          </w:p>
        </w:tc>
      </w:tr>
    </w:tbl>
    <w:p>
      <w:pPr>
        <w:ind w:firstLineChars="200" w:firstLine="64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081"/>
        </w:trPr>
        <w:tc>
          <w:tcPr>
            <w:tcW w:w="10405" w:type="dxa"/>
            <w:tcBorders>
              <w:top w:val="nil"/>
              <w:left w:val="nil"/>
              <w:bottom w:val="nil"/>
              <w:right w:val="nil"/>
            </w:tcBorders>
            <w:noWrap/>
            <w:vAlign w:val="bottom"/>
          </w:tcPr>
          <w:p>
            <w:pPr>
              <w:widowControl/>
              <w:rPr>
                <w:rFonts w:eastAsia="方正小标宋简体"/>
                <w:kern w:val="0"/>
                <w:sz w:val="44"/>
                <w:szCs w:val="44"/>
              </w:rPr>
            </w:pPr>
          </w:p>
          <w:tbl>
            <w:tblPr>
              <w:jc w:val="left"/>
              <w:tblInd w:w="871"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552"/>
              <w:gridCol w:w="1134"/>
              <w:gridCol w:w="1134"/>
              <w:gridCol w:w="1134"/>
              <w:gridCol w:w="1134"/>
              <w:gridCol w:w="1701"/>
            </w:tblGrid>
            <w:tr>
              <w:trPr>
                <w:trHeight w:val="390"/>
              </w:trPr>
              <w:tc>
                <w:tcPr>
                  <w:tcW w:w="8789" w:type="dxa"/>
                  <w:gridSpan w:val="6"/>
                  <w:tcBorders>
                    <w:bottom w:val="single" w:sz="4" w:space="0" w:color="000000"/>
                  </w:tcBorders>
                  <w:noWrap/>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eastAsia="方正小标宋简体" w:hint="eastAsia"/>
                      <w:kern w:val="0"/>
                      <w:sz w:val="44"/>
                      <w:szCs w:val="44"/>
                      <w:lang w:eastAsia="zh-CN"/>
                    </w:rPr>
                    <w:t>拨款</w:t>
                  </w:r>
                  <w:r>
                    <w:rPr>
                      <w:rFonts w:eastAsia="方正小标宋简体" w:hint="eastAsia"/>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552"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281"/>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3402" w:type="dxa"/>
                  <w:gridSpan w:val="3"/>
                  <w:vMerge/>
                  <w:tcBorders>
                    <w:top w:val="single" w:sz="4" w:space="0" w:color="000000"/>
                    <w:left w:val="single" w:sz="4" w:space="0" w:color="000000"/>
                    <w:bottom w:val="single" w:sz="4" w:space="0" w:color="000000"/>
                    <w:right w:val="single" w:sz="4" w:space="0" w:color="000000"/>
                  </w:tcBorders>
                  <w:noWrap/>
                  <w:vAlign w:val="center"/>
                </w:tc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630"/>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一、一般公共服务支出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112.34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76.91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18.83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统计信息事务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112.34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76.91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18.83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行政运行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95.74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76.91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18.83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一般行政管理事务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二、社会保障和就业支出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ind w:firstLineChars="200" w:firstLine="40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行政事业单位养老支出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行政单位离退休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机关事业单位基本养老保险缴费支出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三、卫生健康支出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行政事业单位医疗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行政单位医疗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8.72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四、住房保障支出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住房改革支出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left"/>
                    <w:textAlignment w:val="center"/>
                    <w:rPr>
                      <w:rFonts w:eastAsia="华文细黑"/>
                      <w:color w:val="000000"/>
                      <w:kern w:val="0"/>
                      <w:sz w:val="20"/>
                    </w:rPr>
                  </w:pPr>
                  <w:r>
                    <w:rPr>
                      <w:rFonts w:ascii="宋体" w:eastAsia="宋体" w:cs="宋体" w:hint="eastAsia"/>
                      <w:i w:val="0"/>
                      <w:iCs w:val="0"/>
                      <w:color w:val="000000"/>
                      <w:kern w:val="0"/>
                      <w:sz w:val="20"/>
                      <w:szCs w:val="20"/>
                      <w:u w:val="none"/>
                      <w:lang w:val="en-US" w:eastAsia="zh-CN"/>
                    </w:rPr>
                    <w:t>　　    住房公积金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合计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161.48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144.88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126.05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18.83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16.60</w:t>
                  </w:r>
                </w:p>
              </w:tc>
            </w:tr>
          </w:tbl>
          <w:p>
            <w:pPr>
              <w:widowControl/>
              <w:jc w:val="center"/>
              <w:rPr>
                <w:rFonts w:eastAsia="方正小标宋简体"/>
                <w:kern w:val="0"/>
                <w:sz w:val="44"/>
                <w:szCs w:val="44"/>
              </w:rPr>
            </w:pPr>
          </w:p>
        </w:tc>
      </w:tr>
    </w:tbl>
    <w:p>
      <w:pPr>
        <w:ind w:firstLineChars="200" w:firstLine="640"/>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r>
        <w:rPr>
          <w:rFonts w:eastAsia="楷体"/>
        </w:rPr>
        <w:br w:type="page"/>
      </w:r>
    </w:p>
    <w:tbl>
      <w:tblPr>
        <w:jc w:val="center"/>
        <w:tblW w:w="914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373"/>
        <w:gridCol w:w="1331"/>
        <w:gridCol w:w="1831"/>
        <w:gridCol w:w="209"/>
      </w:tblGrid>
      <w:tr>
        <w:trPr>
          <w:trHeight w:val="615"/>
          <w:gridAfter w:val="1"/>
          <w:wAfter w:w="209" w:type="dxa"/>
        </w:trPr>
        <w:tc>
          <w:tcPr>
            <w:tcW w:w="8931" w:type="dxa"/>
            <w:gridSpan w:val="5"/>
            <w:tcBorders>
              <w:top w:val="nil"/>
              <w:left w:val="nil"/>
              <w:bottom w:val="nil"/>
              <w:right w:val="nil"/>
            </w:tcBorders>
            <w:noWrap/>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tc>
      </w:tr>
      <w:tr>
        <w:trPr>
          <w:trHeight w:val="390"/>
          <w:gridAfter w:val="1"/>
          <w:wAfter w:w="209" w:type="dxa"/>
        </w:trPr>
        <w:tc>
          <w:tcPr>
            <w:tcW w:w="3176" w:type="dxa"/>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3535" w:type="dxa"/>
            <w:gridSpan w:val="3"/>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812"/>
          <w:gridAfter w:val="1"/>
          <w:wAfter w:w="209" w:type="dxa"/>
        </w:trPr>
        <w:tc>
          <w:tcPr>
            <w:tcW w:w="3176"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hint="eastAsia"/>
                <w:kern w:val="0"/>
                <w:sz w:val="20"/>
                <w:lang w:eastAsia="zh-CN"/>
              </w:rPr>
              <w:t>单位预算支出</w:t>
            </w:r>
            <w:r>
              <w:rPr>
                <w:rFonts w:eastAsia="华文细黑"/>
                <w:kern w:val="0"/>
                <w:sz w:val="20"/>
              </w:rPr>
              <w:t>经济分类科目</w:t>
            </w:r>
          </w:p>
        </w:tc>
        <w:tc>
          <w:tcPr>
            <w:tcW w:w="2220"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sz="4" w:space="0" w:color="auto"/>
              <w:left w:val="single" w:sz="4" w:space="0" w:color="auto"/>
              <w:right w:val="single" w:sz="4" w:space="0" w:color="auto"/>
            </w:tcBorders>
            <w:noWrap/>
            <w:vAlign w:val="center"/>
          </w:tcPr>
          <w:p>
            <w:pPr>
              <w:widowControl/>
              <w:jc w:val="center"/>
            </w:pPr>
            <w:r>
              <w:rPr>
                <w:rFonts w:eastAsia="华文细黑"/>
                <w:color w:val="000000"/>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rFonts w:eastAsia="华文细黑"/>
                <w:color w:val="000000"/>
                <w:kern w:val="0"/>
                <w:sz w:val="20"/>
              </w:rPr>
              <w:t>公用经费</w:t>
            </w:r>
          </w:p>
        </w:tc>
      </w:tr>
      <w:tr>
        <w:trPr>
          <w:trHeight w:val="396"/>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一、工资福利支出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106.99</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106.99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348"/>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基本工资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34.45</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34.45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361"/>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津贴补贴</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17.56</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17.56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348"/>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奖金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22.18</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22.18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454"/>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kern w:val="0"/>
                <w:sz w:val="20"/>
              </w:rPr>
            </w:pPr>
            <w:r>
              <w:rPr>
                <w:rFonts w:ascii="宋体" w:eastAsia="宋体" w:cs="宋体" w:hint="eastAsia"/>
                <w:i w:val="0"/>
                <w:iCs w:val="0"/>
                <w:color w:val="000000"/>
                <w:kern w:val="0"/>
                <w:sz w:val="20"/>
                <w:szCs w:val="20"/>
                <w:u w:val="none"/>
                <w:lang w:val="en-US" w:eastAsia="zh-CN"/>
              </w:rPr>
              <w:t>　    机关事业单位基本养老保险缴费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11.31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382"/>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kern w:val="0"/>
                <w:sz w:val="20"/>
              </w:rPr>
            </w:pPr>
            <w:r>
              <w:rPr>
                <w:rFonts w:ascii="宋体" w:eastAsia="宋体" w:cs="宋体" w:hint="eastAsia"/>
                <w:i w:val="0"/>
                <w:iCs w:val="0"/>
                <w:color w:val="000000"/>
                <w:kern w:val="0"/>
                <w:sz w:val="20"/>
                <w:szCs w:val="20"/>
                <w:u w:val="none"/>
                <w:lang w:val="en-US" w:eastAsia="zh-CN"/>
              </w:rPr>
              <w:t>　    职工基本医疗保险缴费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3.77</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3.77</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405"/>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kern w:val="0"/>
                <w:sz w:val="20"/>
              </w:rPr>
            </w:pPr>
            <w:r>
              <w:rPr>
                <w:rFonts w:ascii="宋体" w:eastAsia="宋体" w:cs="宋体" w:hint="eastAsia"/>
                <w:i w:val="0"/>
                <w:iCs w:val="0"/>
                <w:color w:val="000000"/>
                <w:kern w:val="0"/>
                <w:sz w:val="20"/>
                <w:szCs w:val="20"/>
                <w:u w:val="none"/>
                <w:lang w:val="en-US" w:eastAsia="zh-CN"/>
              </w:rPr>
              <w:t>　    公务员医疗补助缴费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4.85</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4.85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415"/>
          <w:gridAfter w:val="1"/>
          <w:wAfter w:w="209"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eastAsia="宋体"/>
                <w:kern w:val="0"/>
                <w:sz w:val="20"/>
              </w:rPr>
            </w:pPr>
            <w:r>
              <w:rPr>
                <w:rFonts w:ascii="宋体" w:eastAsia="宋体" w:cs="宋体" w:hint="eastAsia"/>
                <w:i w:val="0"/>
                <w:iCs w:val="0"/>
                <w:color w:val="000000"/>
                <w:kern w:val="0"/>
                <w:sz w:val="20"/>
                <w:szCs w:val="20"/>
                <w:u w:val="none"/>
                <w:lang w:val="en-US" w:eastAsia="zh-CN"/>
              </w:rPr>
              <w:t>　    其他社会保障缴费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0.10</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0.10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p>
        </w:tc>
      </w:tr>
      <w:tr>
        <w:trPr>
          <w:trHeight w:val="352"/>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eastAsia="宋体"/>
                <w:kern w:val="0"/>
                <w:sz w:val="20"/>
              </w:rPr>
            </w:pPr>
            <w:r>
              <w:rPr>
                <w:rFonts w:ascii="宋体" w:eastAsia="宋体" w:cs="宋体" w:hint="eastAsia"/>
                <w:i w:val="0"/>
                <w:iCs w:val="0"/>
                <w:color w:val="000000"/>
                <w:kern w:val="0"/>
                <w:sz w:val="20"/>
                <w:szCs w:val="20"/>
                <w:u w:val="none"/>
                <w:lang w:val="en-US" w:eastAsia="zh-CN"/>
              </w:rPr>
              <w:t>　    住房公积金</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10.32</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375"/>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firstLineChars="200" w:firstLine="40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医疗费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1.30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1.30</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375"/>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eastAsia="宋体"/>
                <w:color w:val="000000"/>
                <w:kern w:val="0"/>
                <w:sz w:val="20"/>
              </w:rPr>
            </w:pPr>
            <w:r>
              <w:rPr>
                <w:rFonts w:ascii="宋体" w:eastAsia="宋体" w:cs="宋体" w:hint="eastAsia"/>
                <w:i w:val="0"/>
                <w:iCs w:val="0"/>
                <w:color w:val="000000"/>
                <w:kern w:val="0"/>
                <w:sz w:val="20"/>
                <w:szCs w:val="20"/>
                <w:u w:val="none"/>
                <w:lang w:val="en-US" w:eastAsia="zh-CN"/>
              </w:rPr>
              <w:t>　    其他工资福利支出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1.15</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1.15</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386"/>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二</w:t>
            </w:r>
            <w:r>
              <w:rPr>
                <w:rFonts w:eastAsia="宋体"/>
                <w:color w:val="000000"/>
                <w:sz w:val="20"/>
              </w:rPr>
              <w:t>、</w:t>
            </w:r>
            <w:r>
              <w:rPr>
                <w:rFonts w:eastAsia="宋体" w:hint="eastAsia"/>
                <w:color w:val="000000"/>
                <w:sz w:val="20"/>
                <w:lang w:val="en-US" w:eastAsia="zh-CN"/>
              </w:rPr>
              <w:t>商品服务</w:t>
            </w:r>
            <w:r>
              <w:rPr>
                <w:rFonts w:eastAsia="宋体"/>
                <w:color w:val="000000"/>
                <w:sz w:val="20"/>
              </w:rPr>
              <w:t>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18.33</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18.33</w:t>
            </w:r>
          </w:p>
        </w:tc>
      </w:tr>
      <w:tr>
        <w:trPr>
          <w:trHeight w:val="389"/>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　    办公费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4.97</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4.97</w:t>
            </w:r>
          </w:p>
        </w:tc>
      </w:tr>
      <w:tr>
        <w:trPr>
          <w:trHeight w:val="363"/>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hint="eastAsia"/>
                <w:color w:val="000000"/>
                <w:sz w:val="20"/>
                <w:lang w:val="en-US" w:eastAsia="zh-CN"/>
              </w:rPr>
              <w:t>　差旅费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1.22</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1.22</w:t>
            </w:r>
          </w:p>
        </w:tc>
      </w:tr>
      <w:tr>
        <w:trPr>
          <w:trHeight w:val="361"/>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　    会议费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0.11</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0.11</w:t>
            </w:r>
          </w:p>
        </w:tc>
      </w:tr>
      <w:tr>
        <w:trPr>
          <w:trHeight w:val="389"/>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hint="eastAsia"/>
                <w:color w:val="000000"/>
                <w:sz w:val="20"/>
                <w:lang w:val="en-US" w:eastAsia="zh-CN"/>
              </w:rPr>
              <w:t>　培训费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0.36</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0.36</w:t>
            </w:r>
          </w:p>
        </w:tc>
      </w:tr>
      <w:tr>
        <w:trPr>
          <w:trHeight w:val="389"/>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hint="eastAsia"/>
                <w:color w:val="000000"/>
                <w:sz w:val="20"/>
                <w:lang w:val="en-US" w:eastAsia="zh-CN"/>
              </w:rPr>
              <w:t>　工会经费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1.02</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1.02</w:t>
            </w:r>
          </w:p>
        </w:tc>
      </w:tr>
      <w:tr>
        <w:trPr>
          <w:trHeight w:val="389"/>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hint="eastAsia"/>
                <w:color w:val="000000"/>
                <w:sz w:val="20"/>
                <w:lang w:val="en-US" w:eastAsia="zh-CN"/>
              </w:rPr>
              <w:t>　福利费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3.86</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3.86</w:t>
            </w:r>
          </w:p>
        </w:tc>
      </w:tr>
      <w:tr>
        <w:trPr>
          <w:trHeight w:val="331"/>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hint="eastAsia"/>
                <w:color w:val="000000"/>
                <w:sz w:val="20"/>
                <w:lang w:val="en-US" w:eastAsia="zh-CN"/>
              </w:rPr>
              <w:t>　其他交通费用</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5.50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5.50</w:t>
            </w:r>
          </w:p>
        </w:tc>
      </w:tr>
      <w:tr>
        <w:trPr>
          <w:trHeight w:val="372"/>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hint="eastAsia"/>
                <w:color w:val="000000"/>
                <w:sz w:val="20"/>
                <w:lang w:val="en-US" w:eastAsia="zh-CN"/>
              </w:rPr>
              <w:t>　其他商品和服务支出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1.29</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1.29</w:t>
            </w:r>
          </w:p>
        </w:tc>
      </w:tr>
      <w:tr>
        <w:trPr>
          <w:trHeight w:val="403"/>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三、对个人和家庭的补助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19.06</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19.06</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358"/>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300" w:firstLine="600"/>
              <w:jc w:val="left"/>
              <w:textAlignment w:val="center"/>
              <w:rPr>
                <w:rFonts w:eastAsia="宋体"/>
                <w:color w:val="000000"/>
                <w:kern w:val="0"/>
                <w:sz w:val="20"/>
              </w:rPr>
            </w:pPr>
            <w:r>
              <w:rPr>
                <w:rFonts w:eastAsia="宋体" w:hint="eastAsia"/>
                <w:color w:val="000000"/>
                <w:sz w:val="20"/>
                <w:lang w:val="en-US" w:eastAsia="zh-CN"/>
              </w:rPr>
              <w:t>退休费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18.79</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372"/>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　    其他对个人和家庭的补助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0.27</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0.27</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r>
      <w:tr>
        <w:trPr>
          <w:trHeight w:val="375"/>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lang w:val="en-US" w:eastAsia="zh-CN"/>
              </w:rPr>
              <w:t>四、资本性支出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0.50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0.50</w:t>
            </w:r>
          </w:p>
        </w:tc>
      </w:tr>
      <w:tr>
        <w:trPr>
          <w:trHeight w:val="372"/>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ind w:firstLineChars="300" w:firstLine="600"/>
              <w:jc w:val="left"/>
              <w:textAlignment w:val="center"/>
              <w:rPr>
                <w:rFonts w:eastAsia="宋体"/>
                <w:color w:val="000000"/>
                <w:kern w:val="0"/>
                <w:sz w:val="20"/>
              </w:rPr>
            </w:pPr>
            <w:r>
              <w:rPr>
                <w:rFonts w:eastAsia="宋体" w:hint="eastAsia"/>
                <w:color w:val="000000"/>
                <w:sz w:val="20"/>
                <w:lang w:val="en-US" w:eastAsia="zh-CN"/>
              </w:rPr>
              <w:t>办公设备购置</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0.50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0.50</w:t>
            </w:r>
          </w:p>
        </w:tc>
      </w:tr>
      <w:tr>
        <w:trPr>
          <w:trHeight w:val="395"/>
          <w:gridAfter w:val="1"/>
          <w:wAfter w:w="209"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hint="eastAsia"/>
                <w:color w:val="000000"/>
                <w:sz w:val="20"/>
                <w:lang w:val="en-US" w:eastAsia="zh-CN"/>
              </w:rPr>
              <w:t>合计</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144.88</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126.05</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lang w:val="en-US" w:eastAsia="zh-CN"/>
              </w:rPr>
            </w:pPr>
            <w:r>
              <w:rPr>
                <w:rFonts w:eastAsia="宋体"/>
                <w:color w:val="000000"/>
                <w:kern w:val="0"/>
                <w:sz w:val="20"/>
                <w:lang w:val="en-US" w:eastAsia="zh-CN"/>
              </w:rPr>
              <w:t>18.83</w:t>
            </w:r>
          </w:p>
        </w:tc>
      </w:tr>
      <w:tr>
        <w:trPr>
          <w:trHeight w:val="1246"/>
        </w:trPr>
        <w:tc>
          <w:tcPr>
            <w:tcW w:w="9140" w:type="dxa"/>
            <w:gridSpan w:val="6"/>
            <w:tcBorders>
              <w:top w:val="nil"/>
              <w:left w:val="nil"/>
              <w:right w:val="nil"/>
            </w:tcBorders>
            <w:noWrap/>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eastAsia="方正小标宋简体" w:hint="eastAsia"/>
                <w:color w:val="000000"/>
                <w:kern w:val="0"/>
                <w:sz w:val="44"/>
                <w:szCs w:val="44"/>
                <w:lang w:eastAsia="zh-CN"/>
              </w:rPr>
              <w:t>预算</w:t>
            </w:r>
            <w:r>
              <w:rPr>
                <w:rFonts w:eastAsia="方正小标宋简体"/>
                <w:color w:val="000000"/>
                <w:kern w:val="0"/>
                <w:sz w:val="44"/>
                <w:szCs w:val="44"/>
              </w:rPr>
              <w:t>表</w:t>
            </w:r>
          </w:p>
        </w:tc>
      </w:tr>
      <w:tr>
        <w:trPr>
          <w:trHeight w:val="440"/>
        </w:trPr>
        <w:tc>
          <w:tcPr>
            <w:tcW w:w="9140" w:type="dxa"/>
            <w:gridSpan w:val="6"/>
            <w:tcBorders>
              <w:bottom w:val="single" w:sz="4" w:space="0" w:color="auto"/>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851"/>
        </w:trPr>
        <w:tc>
          <w:tcPr>
            <w:tcW w:w="5769" w:type="dxa"/>
            <w:gridSpan w:val="3"/>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项    目</w:t>
            </w:r>
          </w:p>
        </w:tc>
        <w:tc>
          <w:tcPr>
            <w:tcW w:w="3371" w:type="dxa"/>
            <w:gridSpan w:val="3"/>
            <w:tcBorders>
              <w:top w:val="single" w:sz="4" w:space="0" w:color="auto"/>
              <w:left w:val="nil"/>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w:t>
            </w:r>
            <w:r>
              <w:rPr>
                <w:rFonts w:eastAsia="华文细黑" w:hint="eastAsia"/>
                <w:color w:val="000000"/>
                <w:kern w:val="0"/>
                <w:sz w:val="20"/>
                <w:lang w:val="en-US" w:eastAsia="zh-CN"/>
              </w:rPr>
              <w:t>5</w:t>
            </w:r>
            <w:r>
              <w:rPr>
                <w:rFonts w:eastAsia="华文细黑"/>
                <w:color w:val="000000"/>
                <w:kern w:val="0"/>
                <w:sz w:val="20"/>
              </w:rPr>
              <w:t>年预算数</w:t>
            </w: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1335"/>
        </w:trPr>
        <w:tc>
          <w:tcPr>
            <w:tcW w:w="9140" w:type="dxa"/>
            <w:gridSpan w:val="6"/>
            <w:tcBorders>
              <w:top w:val="single" w:sz="4" w:space="0" w:color="auto"/>
              <w:left w:val="nil"/>
              <w:bottom w:val="nil"/>
              <w:right w:val="nil"/>
            </w:tcBorders>
            <w:noWrap/>
            <w:vAlign w:val="center"/>
          </w:tcPr>
          <w:p>
            <w:pPr>
              <w:widowControl/>
              <w:jc w:val="both"/>
              <w:rPr>
                <w:rFonts w:eastAsia="仿宋_GB2312" w:hint="eastAsia"/>
                <w:color w:val="000000"/>
                <w:kern w:val="0"/>
                <w:sz w:val="28"/>
                <w:szCs w:val="28"/>
                <w:lang w:val="en-US" w:eastAsia="zh-CN"/>
              </w:rPr>
            </w:pPr>
            <w:r>
              <w:rPr>
                <w:rFonts w:eastAsia="仿宋_GB2312" w:hint="eastAsia"/>
                <w:color w:val="000000"/>
                <w:kern w:val="0"/>
                <w:sz w:val="28"/>
                <w:szCs w:val="28"/>
                <w:lang w:val="en-US" w:eastAsia="zh-CN"/>
              </w:rPr>
              <w:t>说明：本单位2025年度无一般公共预算“三公”经费预算，故本表无数据</w:t>
            </w:r>
            <w:r>
              <w:rPr>
                <w:rFonts w:hint="eastAsia"/>
                <w:color w:val="000000"/>
                <w:kern w:val="0"/>
                <w:sz w:val="28"/>
                <w:szCs w:val="28"/>
                <w:lang w:val="en-US" w:eastAsia="zh-CN"/>
              </w:rPr>
              <w:t>。</w:t>
            </w: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widowControl/>
        <w:jc w:val="both"/>
        <w:rPr>
          <w:rFonts w:eastAsia="仿宋_GB2312" w:hint="eastAsia"/>
          <w:color w:val="000000"/>
          <w:kern w:val="0"/>
          <w:sz w:val="28"/>
          <w:szCs w:val="28"/>
          <w:lang w:val="en-US" w:eastAsia="zh-CN"/>
        </w:rPr>
      </w:pPr>
      <w:r>
        <w:rPr>
          <w:rFonts w:eastAsia="仿宋_GB2312" w:hint="eastAsia"/>
          <w:color w:val="000000"/>
          <w:kern w:val="0"/>
          <w:sz w:val="28"/>
          <w:szCs w:val="28"/>
          <w:lang w:val="en-US" w:eastAsia="zh-CN"/>
        </w:rPr>
        <w:t>说明：本单位2025年度无政府性基金预算，故本表无数据。</w:t>
      </w:r>
    </w:p>
    <w:p>
      <w:pPr>
        <w:spacing w:line="700" w:lineRule="exact"/>
        <w:rPr>
          <w:rFonts w:eastAsia="楷体_GB2312"/>
          <w:kern w:val="0"/>
          <w:szCs w:val="32"/>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kern w:val="0"/>
          <w:szCs w:val="32"/>
        </w:rPr>
      </w:pPr>
    </w:p>
    <w:p>
      <w:pPr>
        <w:ind w:firstLineChars="200" w:firstLine="640"/>
        <w:rPr>
          <w:rFonts w:eastAsia="楷体"/>
          <w:kern w:val="0"/>
          <w:szCs w:val="32"/>
        </w:rPr>
      </w:pPr>
      <w:r>
        <w:rPr>
          <w:rFonts w:eastAsia="楷体"/>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eastAsia="方正小标宋简体" w:hint="eastAsia"/>
                <w:kern w:val="0"/>
                <w:sz w:val="44"/>
                <w:szCs w:val="44"/>
                <w:lang w:eastAsia="zh-CN"/>
              </w:rPr>
              <w:t>拨款</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1420"/>
        </w:trPr>
        <w:tc>
          <w:tcPr>
            <w:tcW w:w="219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项目支出</w:t>
            </w: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仿宋_GB2312" w:hint="eastAsia"/>
          <w:color w:val="000000"/>
          <w:kern w:val="0"/>
          <w:sz w:val="28"/>
          <w:szCs w:val="28"/>
          <w:lang w:val="en-US" w:eastAsia="zh-CN"/>
        </w:rPr>
        <w:t xml:space="preserve"> </w:t>
      </w: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197"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281"/>
        </w:trPr>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bl>
    <w:p>
      <w:pPr>
        <w:spacing w:line="700" w:lineRule="exact"/>
        <w:ind w:firstLineChars="200" w:firstLine="640"/>
        <w:rPr>
          <w:rFonts w:eastAsia="楷体"/>
          <w:kern w:val="0"/>
          <w:szCs w:val="32"/>
        </w:rPr>
      </w:pPr>
    </w:p>
    <w:p>
      <w:pPr>
        <w:widowControl/>
        <w:jc w:val="both"/>
        <w:rPr>
          <w:rFonts w:eastAsia="仿宋_GB2312" w:hint="eastAsia"/>
          <w:color w:val="000000"/>
          <w:kern w:val="0"/>
          <w:sz w:val="28"/>
          <w:szCs w:val="28"/>
          <w:lang w:val="en-US" w:eastAsia="zh-CN"/>
        </w:rPr>
      </w:pPr>
      <w:r>
        <w:rPr>
          <w:rFonts w:eastAsia="仿宋_GB2312" w:hint="eastAsia"/>
          <w:color w:val="000000"/>
          <w:kern w:val="0"/>
          <w:sz w:val="28"/>
          <w:szCs w:val="28"/>
          <w:lang w:val="en-US" w:eastAsia="zh-CN"/>
        </w:rPr>
        <w:t>说明：本单位2025年度无国有资本经营预算，故本表无数据。</w:t>
      </w: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rPr>
          <w:rFonts w:eastAsia="楷体"/>
          <w:kern w:val="0"/>
          <w:szCs w:val="32"/>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8"/>
        <w:gridCol w:w="832"/>
        <w:gridCol w:w="139"/>
        <w:gridCol w:w="706"/>
        <w:gridCol w:w="928"/>
        <w:gridCol w:w="641"/>
        <w:gridCol w:w="572"/>
        <w:gridCol w:w="437"/>
        <w:gridCol w:w="422"/>
        <w:gridCol w:w="450"/>
        <w:gridCol w:w="464"/>
        <w:gridCol w:w="505"/>
        <w:gridCol w:w="409"/>
        <w:gridCol w:w="436"/>
        <w:gridCol w:w="491"/>
        <w:gridCol w:w="376"/>
      </w:tblGrid>
      <w:tr>
        <w:trPr>
          <w:trHeight w:val="1273"/>
        </w:trPr>
        <w:tc>
          <w:tcPr>
            <w:tcW w:w="8676" w:type="dxa"/>
            <w:gridSpan w:val="16"/>
            <w:tcBorders>
              <w:top w:val="nil"/>
              <w:left w:val="nil"/>
              <w:bottom w:val="nil"/>
              <w:right w:val="nil"/>
            </w:tcBorders>
            <w:noWrap/>
            <w:vAlign w:val="center"/>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w:t>
            </w:r>
            <w:r>
              <w:rPr>
                <w:rFonts w:ascii="Calibri" w:eastAsia="方正小标宋简体" w:hAnsi="Calibri" w:hint="eastAsia"/>
                <w:kern w:val="0"/>
                <w:sz w:val="44"/>
                <w:szCs w:val="44"/>
                <w:lang w:eastAsia="zh-CN"/>
              </w:rPr>
              <w:t>预算</w:t>
            </w:r>
            <w:r>
              <w:rPr>
                <w:rFonts w:ascii="Calibri" w:eastAsia="方正小标宋简体" w:hAnsi="Calibri"/>
                <w:kern w:val="0"/>
                <w:sz w:val="44"/>
                <w:szCs w:val="44"/>
              </w:rPr>
              <w:t>表</w:t>
            </w:r>
          </w:p>
          <w:p>
            <w:pPr>
              <w:autoSpaceDN w:val="0"/>
              <w:jc w:val="center"/>
              <w:textAlignment w:val="center"/>
              <w:rPr>
                <w:rFonts w:ascii="Calibri" w:eastAsia="华文细黑" w:hAnsi="Calibri" w:hint="eastAsia"/>
                <w:color w:val="000000"/>
                <w:sz w:val="20"/>
                <w:szCs w:val="22"/>
              </w:rPr>
            </w:pPr>
          </w:p>
        </w:tc>
      </w:tr>
      <w:tr>
        <w:trPr>
          <w:trHeight w:val="550"/>
        </w:trPr>
        <w:tc>
          <w:tcPr>
            <w:tcW w:w="868"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971" w:type="dxa"/>
            <w:gridSpan w:val="2"/>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706"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928"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641"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345" w:type="dxa"/>
            <w:gridSpan w:val="5"/>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217" w:type="dxa"/>
            <w:gridSpan w:val="5"/>
            <w:tcBorders>
              <w:top w:val="nil"/>
              <w:left w:val="nil"/>
              <w:bottom w:val="single" w:sz="4" w:space="0" w:color="auto"/>
              <w:right w:val="nil"/>
            </w:tcBorders>
            <w:noWrap/>
            <w:vAlign w:val="bottom"/>
          </w:tcPr>
          <w:p>
            <w:pPr>
              <w:autoSpaceDN w:val="0"/>
              <w:jc w:val="right"/>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单位：万元</w:t>
            </w:r>
          </w:p>
        </w:tc>
      </w:tr>
      <w:tr>
        <w:trPr>
          <w:trHeight w:val="836"/>
        </w:trPr>
        <w:tc>
          <w:tcPr>
            <w:tcW w:w="868"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类型</w:t>
            </w:r>
          </w:p>
        </w:tc>
        <w:tc>
          <w:tcPr>
            <w:tcW w:w="1677"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项目名称</w:t>
            </w:r>
          </w:p>
        </w:tc>
        <w:tc>
          <w:tcPr>
            <w:tcW w:w="928"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ind w:left="113" w:right="113"/>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单位（单位）名称</w:t>
            </w:r>
          </w:p>
        </w:tc>
        <w:tc>
          <w:tcPr>
            <w:tcW w:w="641"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合计</w:t>
            </w:r>
          </w:p>
        </w:tc>
        <w:tc>
          <w:tcPr>
            <w:tcW w:w="2345"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本年预算</w:t>
            </w:r>
          </w:p>
        </w:tc>
        <w:tc>
          <w:tcPr>
            <w:tcW w:w="2217"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上年结转结余</w:t>
            </w:r>
          </w:p>
        </w:tc>
      </w:tr>
      <w:tr>
        <w:trPr>
          <w:trHeight w:val="836"/>
        </w:trPr>
        <w:tc>
          <w:tcPr>
            <w:tcW w:w="868" w:type="dxa"/>
            <w:vMerge/>
            <w:tcBorders>
              <w:top w:val="single" w:sz="4" w:space="0" w:color="auto"/>
              <w:left w:val="single" w:sz="4" w:space="0" w:color="auto"/>
              <w:bottom w:val="single" w:sz="4" w:space="0" w:color="auto"/>
              <w:right w:val="single" w:sz="4" w:space="0" w:color="auto"/>
            </w:tcBorders>
            <w:noWrap/>
            <w:vAlign w:val="center"/>
          </w:tcPr>
          <w:p/>
        </w:tc>
        <w:tc>
          <w:tcPr>
            <w:tcW w:w="83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一级项目</w:t>
            </w:r>
          </w:p>
        </w:tc>
        <w:tc>
          <w:tcPr>
            <w:tcW w:w="845" w:type="dxa"/>
            <w:gridSpan w:val="2"/>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二级</w:t>
            </w:r>
            <w:r>
              <w:rPr>
                <w:rFonts w:ascii="宋体" w:eastAsia="宋体" w:cs="宋体" w:hint="eastAsia"/>
                <w:color w:val="000000"/>
                <w:sz w:val="20"/>
                <w:szCs w:val="22"/>
                <w:lang w:val="en-US" w:eastAsia="zh-CN"/>
              </w:rPr>
              <w:t xml:space="preserve">  </w:t>
            </w:r>
            <w:r>
              <w:rPr>
                <w:rFonts w:ascii="宋体" w:eastAsia="宋体" w:cs="宋体" w:hint="eastAsia"/>
                <w:color w:val="000000"/>
                <w:sz w:val="20"/>
                <w:szCs w:val="22"/>
              </w:rPr>
              <w:t>项目</w:t>
            </w:r>
          </w:p>
        </w:tc>
        <w:tc>
          <w:tcPr>
            <w:tcW w:w="928"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641" w:type="dxa"/>
            <w:vMerge/>
            <w:tcBorders>
              <w:top w:val="single" w:sz="4" w:space="0" w:color="auto"/>
              <w:left w:val="single" w:sz="4" w:space="0" w:color="auto"/>
              <w:bottom w:val="single" w:sz="4" w:space="0" w:color="auto"/>
              <w:right w:val="single" w:sz="4" w:space="0" w:color="auto"/>
            </w:tcBorders>
            <w:noWrap/>
            <w:vAlign w:val="center"/>
          </w:tcPr>
          <w:p/>
        </w:tc>
        <w:tc>
          <w:tcPr>
            <w:tcW w:w="1431"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w:t>
            </w:r>
          </w:p>
        </w:tc>
        <w:tc>
          <w:tcPr>
            <w:tcW w:w="45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spacing w:line="240" w:lineRule="auto"/>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464"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单位资金</w:t>
            </w:r>
          </w:p>
        </w:tc>
        <w:tc>
          <w:tcPr>
            <w:tcW w:w="1350"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财政拨款结转</w:t>
            </w:r>
          </w:p>
        </w:tc>
        <w:tc>
          <w:tcPr>
            <w:tcW w:w="867" w:type="dxa"/>
            <w:gridSpan w:val="2"/>
            <w:tcBorders>
              <w:top w:val="single" w:sz="4" w:space="0" w:color="auto"/>
              <w:left w:val="single" w:sz="4" w:space="0" w:color="auto"/>
              <w:bottom w:val="single" w:sz="4" w:space="0" w:color="auto"/>
              <w:right w:val="single" w:sz="4" w:space="0" w:color="auto"/>
            </w:tcBorders>
            <w:noWrap/>
            <w:vAlign w:val="center"/>
          </w:tcPr>
          <w:p>
            <w:pPr>
              <w:tabs>
                <w:tab w:val="left" w:pos="492"/>
              </w:tabs>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非财政拨款结转结余</w:t>
            </w:r>
          </w:p>
        </w:tc>
      </w:tr>
      <w:tr>
        <w:trPr>
          <w:trHeight w:val="2876"/>
        </w:trPr>
        <w:tc>
          <w:tcPr>
            <w:tcW w:w="868" w:type="dxa"/>
            <w:vMerge/>
            <w:tcBorders>
              <w:top w:val="single" w:sz="4" w:space="0" w:color="auto"/>
              <w:left w:val="single" w:sz="4" w:space="0" w:color="auto"/>
              <w:bottom w:val="single" w:sz="4" w:space="0" w:color="auto"/>
              <w:right w:val="single" w:sz="4" w:space="0" w:color="auto"/>
            </w:tcBorders>
            <w:noWrap/>
            <w:vAlign w:val="center"/>
          </w:tcPr>
          <w:p/>
        </w:tc>
        <w:tc>
          <w:tcPr>
            <w:tcW w:w="832" w:type="dxa"/>
            <w:vMerge/>
            <w:tcBorders>
              <w:top w:val="single" w:sz="4" w:space="0" w:color="auto"/>
              <w:left w:val="single" w:sz="4" w:space="0" w:color="auto"/>
              <w:bottom w:val="single" w:sz="4" w:space="0" w:color="auto"/>
              <w:right w:val="single" w:sz="4" w:space="0" w:color="auto"/>
            </w:tcBorders>
            <w:noWrap/>
            <w:vAlign w:val="center"/>
          </w:tcPr>
          <w:p/>
        </w:tc>
        <w:tc>
          <w:tcPr>
            <w:tcW w:w="845" w:type="dxa"/>
            <w:gridSpan w:val="2"/>
            <w:vMerge/>
            <w:tcBorders>
              <w:top w:val="single" w:sz="4" w:space="0" w:color="auto"/>
              <w:left w:val="single" w:sz="4" w:space="0" w:color="auto"/>
              <w:bottom w:val="single" w:sz="4" w:space="0" w:color="auto"/>
              <w:right w:val="single" w:sz="4" w:space="0" w:color="auto"/>
            </w:tcBorders>
            <w:noWrap/>
            <w:vAlign w:val="center"/>
          </w:tcPr>
          <w:p/>
        </w:tc>
        <w:tc>
          <w:tcPr>
            <w:tcW w:w="928" w:type="dxa"/>
            <w:vMerge/>
            <w:tcBorders>
              <w:top w:val="single" w:sz="4" w:space="0" w:color="auto"/>
              <w:left w:val="single" w:sz="4" w:space="0" w:color="auto"/>
              <w:bottom w:val="single" w:sz="4" w:space="0" w:color="auto"/>
              <w:right w:val="single" w:sz="4" w:space="0" w:color="auto"/>
            </w:tcBorders>
            <w:noWrap/>
            <w:vAlign w:val="center"/>
          </w:tcPr>
          <w:p/>
        </w:tc>
        <w:tc>
          <w:tcPr>
            <w:tcW w:w="641" w:type="dxa"/>
            <w:vMerge/>
            <w:tcBorders>
              <w:top w:val="single" w:sz="4" w:space="0" w:color="auto"/>
              <w:left w:val="single" w:sz="4" w:space="0" w:color="auto"/>
              <w:bottom w:val="single" w:sz="4" w:space="0" w:color="auto"/>
              <w:right w:val="single" w:sz="4" w:space="0" w:color="auto"/>
            </w:tcBorders>
            <w:noWrap/>
            <w:vAlign w:val="center"/>
          </w:tcPr>
          <w:p/>
        </w:tc>
        <w:tc>
          <w:tcPr>
            <w:tcW w:w="57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一般公共预算</w:t>
            </w:r>
          </w:p>
        </w:tc>
        <w:tc>
          <w:tcPr>
            <w:tcW w:w="43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基金</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预算</w:t>
            </w:r>
          </w:p>
        </w:tc>
        <w:tc>
          <w:tcPr>
            <w:tcW w:w="42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国有资本经营预算</w:t>
            </w:r>
          </w:p>
        </w:tc>
        <w:tc>
          <w:tcPr>
            <w:tcW w:w="450"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464"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50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w:t>
              <w:br/>
              <w:t>公共</w:t>
              <w:br/>
              <w:t>预算</w:t>
            </w:r>
          </w:p>
        </w:tc>
        <w:tc>
          <w:tcPr>
            <w:tcW w:w="409"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br/>
              <w:t>基金</w:t>
              <w:br/>
              <w:t>预算</w:t>
            </w:r>
          </w:p>
        </w:tc>
        <w:tc>
          <w:tcPr>
            <w:tcW w:w="436"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国有资本经营</w:t>
              <w:br/>
              <w:t>预算</w:t>
            </w:r>
          </w:p>
        </w:tc>
        <w:tc>
          <w:tcPr>
            <w:tcW w:w="491"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376"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单位资金</w:t>
            </w:r>
          </w:p>
        </w:tc>
      </w:tr>
      <w:tr>
        <w:trPr>
          <w:trHeight w:val="700"/>
        </w:trPr>
        <w:tc>
          <w:tcPr>
            <w:tcW w:w="868"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lang w:val="en-US" w:eastAsia="zh-CN"/>
              </w:rPr>
              <w:t>专项业务支出</w:t>
            </w:r>
          </w:p>
        </w:tc>
        <w:tc>
          <w:tcPr>
            <w:tcW w:w="832" w:type="dxa"/>
            <w:tcBorders>
              <w:top w:val="single" w:sz="4" w:space="0" w:color="auto"/>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p>
        </w:tc>
        <w:tc>
          <w:tcPr>
            <w:tcW w:w="845" w:type="dxa"/>
            <w:gridSpan w:val="2"/>
            <w:tcBorders>
              <w:top w:val="single" w:sz="4" w:space="0" w:color="auto"/>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p>
        </w:tc>
        <w:tc>
          <w:tcPr>
            <w:tcW w:w="9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r>
              <w:rPr>
                <w:rFonts w:eastAsia="宋体" w:hint="eastAsia"/>
                <w:color w:val="000000"/>
                <w:kern w:val="0"/>
                <w:sz w:val="20"/>
                <w:lang w:val="en-US" w:eastAsia="zh-CN"/>
              </w:rPr>
              <w:t>16.6</w:t>
            </w:r>
          </w:p>
        </w:tc>
        <w:tc>
          <w:tcPr>
            <w:tcW w:w="5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r>
              <w:rPr>
                <w:rFonts w:eastAsia="宋体" w:hint="eastAsia"/>
                <w:color w:val="000000"/>
                <w:kern w:val="0"/>
                <w:sz w:val="20"/>
                <w:lang w:val="en-US" w:eastAsia="zh-CN"/>
              </w:rPr>
              <w:t>16.6</w:t>
            </w:r>
          </w:p>
        </w:tc>
        <w:tc>
          <w:tcPr>
            <w:tcW w:w="43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5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3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868" w:type="dxa"/>
            <w:tcBorders>
              <w:top w:val="single" w:sz="4" w:space="0" w:color="auto"/>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p>
        </w:tc>
        <w:tc>
          <w:tcPr>
            <w:tcW w:w="83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lang w:val="en-US" w:eastAsia="zh-CN"/>
              </w:rPr>
              <w:t>专项统计业务</w:t>
            </w:r>
          </w:p>
        </w:tc>
        <w:tc>
          <w:tcPr>
            <w:tcW w:w="845" w:type="dxa"/>
            <w:gridSpan w:val="2"/>
            <w:tcBorders>
              <w:top w:val="single" w:sz="4" w:space="0" w:color="auto"/>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p>
        </w:tc>
        <w:tc>
          <w:tcPr>
            <w:tcW w:w="9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r>
              <w:rPr>
                <w:rFonts w:eastAsia="宋体" w:hint="eastAsia"/>
                <w:color w:val="000000"/>
                <w:kern w:val="0"/>
                <w:sz w:val="20"/>
                <w:lang w:val="en-US" w:eastAsia="zh-CN"/>
              </w:rPr>
              <w:t>16.6</w:t>
            </w:r>
          </w:p>
        </w:tc>
        <w:tc>
          <w:tcPr>
            <w:tcW w:w="5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r>
              <w:rPr>
                <w:rFonts w:eastAsia="宋体" w:hint="eastAsia"/>
                <w:color w:val="000000"/>
                <w:kern w:val="0"/>
                <w:sz w:val="20"/>
                <w:lang w:val="en-US" w:eastAsia="zh-CN"/>
              </w:rPr>
              <w:t>16.6</w:t>
            </w:r>
          </w:p>
        </w:tc>
        <w:tc>
          <w:tcPr>
            <w:tcW w:w="43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5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3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868" w:type="dxa"/>
            <w:tcBorders>
              <w:top w:val="single" w:sz="4" w:space="0" w:color="auto"/>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p>
        </w:tc>
        <w:tc>
          <w:tcPr>
            <w:tcW w:w="832" w:type="dxa"/>
            <w:tcBorders>
              <w:top w:val="single" w:sz="4" w:space="0" w:color="auto"/>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p>
        </w:tc>
        <w:tc>
          <w:tcPr>
            <w:tcW w:w="845" w:type="dxa"/>
            <w:gridSpan w:val="2"/>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lang w:val="en-US" w:eastAsia="zh-CN"/>
              </w:rPr>
              <w:t>综合统计业务费</w:t>
            </w:r>
          </w:p>
        </w:tc>
        <w:tc>
          <w:tcPr>
            <w:tcW w:w="928"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val="en-US" w:eastAsia="zh-CN"/>
              </w:rPr>
            </w:pPr>
            <w:r>
              <w:rPr>
                <w:rFonts w:eastAsia="宋体" w:hint="eastAsia"/>
                <w:color w:val="000000"/>
                <w:kern w:val="0"/>
                <w:sz w:val="20"/>
                <w:lang w:val="en-US" w:eastAsia="zh-CN"/>
              </w:rPr>
              <w:t>长春市统计局绿园区分局</w:t>
            </w:r>
          </w:p>
        </w:tc>
        <w:tc>
          <w:tcPr>
            <w:tcW w:w="641"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val="en-US" w:eastAsia="zh-CN"/>
              </w:rPr>
            </w:pPr>
            <w:r>
              <w:rPr>
                <w:rFonts w:eastAsia="宋体" w:hint="eastAsia"/>
                <w:color w:val="000000"/>
                <w:kern w:val="0"/>
                <w:sz w:val="20"/>
                <w:lang w:val="en-US" w:eastAsia="zh-CN"/>
              </w:rPr>
              <w:t>16.6</w:t>
            </w:r>
          </w:p>
        </w:tc>
        <w:tc>
          <w:tcPr>
            <w:tcW w:w="57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16.6</w:t>
            </w:r>
          </w:p>
        </w:tc>
        <w:tc>
          <w:tcPr>
            <w:tcW w:w="43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5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3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86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合计</w:t>
            </w:r>
          </w:p>
        </w:tc>
        <w:tc>
          <w:tcPr>
            <w:tcW w:w="83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p>
        </w:tc>
        <w:tc>
          <w:tcPr>
            <w:tcW w:w="845"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9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41"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16.6</w:t>
            </w:r>
          </w:p>
        </w:tc>
        <w:tc>
          <w:tcPr>
            <w:tcW w:w="57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16.6</w:t>
            </w:r>
          </w:p>
        </w:tc>
        <w:tc>
          <w:tcPr>
            <w:tcW w:w="43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5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0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3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37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sectPr>
          <w:footerReference w:type="default" r:id="rId7"/>
          <w:footerReference w:type="first" r:id="rId8"/>
          <w:pgSz w:w="11907" w:h="16840"/>
          <w:pgMar w:top="2041" w:right="1588" w:bottom="2041" w:left="1588" w:header="851" w:footer="1588" w:gutter="0"/>
          <w:pgNumType w:fmt="numberInDash" w:start="1"/>
          <w:titlePg/>
          <w:docGrid w:type="lines" w:linePitch="574" w:charSpace="-1675"/>
        </w:sectPr>
      </w:pPr>
    </w:p>
    <w:tbl>
      <w:tblPr>
        <w:tblpPr w:leftFromText="180" w:rightFromText="180" w:vertAnchor="text" w:tblpX="90" w:tblpY="337"/>
        <w:tblOverlap w:val="nev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trPr>
        <w:tc>
          <w:tcPr>
            <w:tcW w:w="8780" w:type="dxa"/>
            <w:gridSpan w:val="9"/>
            <w:tcBorders>
              <w:top w:val="nil"/>
              <w:left w:val="nil"/>
              <w:bottom w:val="nil"/>
              <w:right w:val="nil"/>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Calibri" w:eastAsia="方正小标宋简体" w:cs="Times New Roman" w:hAnsi="Calibri" w:hint="eastAsia"/>
                <w:kern w:val="0"/>
                <w:sz w:val="44"/>
                <w:szCs w:val="44"/>
                <w:lang w:eastAsia="zh-CN"/>
              </w:rPr>
              <w:t>财政拨款委托业务费支出预算表</w:t>
            </w:r>
          </w:p>
        </w:tc>
      </w:tr>
      <w:tr>
        <w:trPr>
          <w:trHeight w:val="721"/>
        </w:trPr>
        <w:tc>
          <w:tcPr>
            <w:tcW w:w="8780" w:type="dxa"/>
            <w:gridSpan w:val="9"/>
            <w:tcBorders>
              <w:top w:val="nil"/>
              <w:left w:val="nil"/>
              <w:bottom w:val="single" w:sz="4" w:space="0" w:color="auto"/>
              <w:right w:val="nil"/>
            </w:tcBorders>
            <w:noWrap/>
            <w:vAlign w:val="bottom"/>
          </w:tcPr>
          <w:p>
            <w:pPr>
              <w:spacing w:line="240" w:lineRule="auto"/>
              <w:jc w:val="right"/>
              <w:rPr>
                <w:rFonts w:ascii="华文细黑" w:eastAsia="华文细黑" w:cs="华文细黑" w:hint="eastAsia"/>
                <w:kern w:val="0"/>
                <w:sz w:val="20"/>
                <w:szCs w:val="20"/>
                <w:vertAlign w:val="baseline"/>
                <w:lang w:eastAsia="zh-CN"/>
              </w:rPr>
            </w:pPr>
            <w:r>
              <w:rPr>
                <w:rFonts w:ascii="Calibri" w:eastAsia="华文细黑" w:cs="Times New Roman" w:hAnsi="Calibri"/>
                <w:color w:val="000000"/>
                <w:kern w:val="0"/>
                <w:sz w:val="20"/>
                <w:szCs w:val="22"/>
              </w:rPr>
              <w:t>单位：万元</w:t>
            </w:r>
          </w:p>
        </w:tc>
      </w:tr>
      <w:tr>
        <w:trPr>
          <w:trHeight w:val="744"/>
        </w:trPr>
        <w:tc>
          <w:tcPr>
            <w:tcW w:w="181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000000"/>
                <w:sz w:val="20"/>
                <w:szCs w:val="20"/>
                <w:lang w:val="en-US" w:eastAsia="zh-CN"/>
              </w:rPr>
            </w:pPr>
            <w:r>
              <w:rPr>
                <w:rFonts w:ascii="华文细黑" w:eastAsia="华文细黑" w:cs="华文细黑" w:hint="eastAsia"/>
                <w:color w:val="000000"/>
                <w:sz w:val="20"/>
                <w:szCs w:val="20"/>
                <w:lang w:eastAsia="zh-CN"/>
              </w:rPr>
              <w:t>单位</w:t>
            </w:r>
            <w:r>
              <w:rPr>
                <w:rFonts w:ascii="华文细黑" w:eastAsia="华文细黑" w:cs="华文细黑" w:hint="eastAsia"/>
                <w:color w:val="000000"/>
                <w:sz w:val="20"/>
                <w:szCs w:val="20"/>
                <w:lang w:val="en-US" w:eastAsia="zh-CN"/>
              </w:rPr>
              <w:t>/单位/</w:t>
            </w:r>
          </w:p>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val="en-US" w:eastAsia="zh-CN"/>
              </w:rPr>
              <w:t>项目名称</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eastAsia="zh-CN"/>
              </w:rPr>
              <w:t>委托事</w:t>
            </w:r>
            <w:r>
              <w:rPr>
                <w:rFonts w:ascii="华文细黑" w:eastAsia="华文细黑" w:cs="华文细黑" w:hint="eastAsia"/>
                <w:color w:val="000000"/>
                <w:sz w:val="20"/>
                <w:szCs w:val="20"/>
                <w:lang w:val="en-US" w:eastAsia="zh-CN"/>
              </w:rPr>
              <w:t xml:space="preserve">    </w:t>
            </w:r>
            <w:r>
              <w:rPr>
                <w:rFonts w:ascii="华文细黑" w:eastAsia="华文细黑" w:cs="华文细黑" w:hint="eastAsia"/>
                <w:color w:val="000000"/>
                <w:sz w:val="20"/>
                <w:szCs w:val="20"/>
                <w:lang w:eastAsia="zh-CN"/>
              </w:rPr>
              <w:t>项内容</w:t>
            </w:r>
          </w:p>
        </w:tc>
        <w:tc>
          <w:tcPr>
            <w:tcW w:w="2778" w:type="dxa"/>
            <w:gridSpan w:val="4"/>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eastAsia="zh-CN"/>
              </w:rPr>
              <w:t>财政拨款收入</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是否政府购买服务</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府采购</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80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特殊情况说明</w:t>
            </w:r>
          </w:p>
        </w:tc>
      </w:tr>
      <w:tr>
        <w:trPr>
          <w:trHeight w:val="2147"/>
        </w:trPr>
        <w:tc>
          <w:tcPr>
            <w:tcW w:w="1816" w:type="dxa"/>
            <w:vMerge/>
            <w:tcBorders>
              <w:top w:val="single" w:sz="4" w:space="0" w:color="auto"/>
              <w:left w:val="single" w:sz="4" w:space="0" w:color="auto"/>
              <w:bottom w:val="single" w:sz="4" w:space="0" w:color="auto"/>
              <w:right w:val="single" w:sz="4" w:space="0" w:color="auto"/>
            </w:tcBorders>
            <w:noWrap/>
            <w:vAlign w:val="center"/>
          </w:tcPr>
          <w:p/>
        </w:tc>
        <w:tc>
          <w:tcPr>
            <w:tcW w:w="1284" w:type="dxa"/>
            <w:vMerge/>
            <w:tcBorders>
              <w:top w:val="single" w:sz="4" w:space="0" w:color="auto"/>
              <w:left w:val="single" w:sz="4" w:space="0" w:color="auto"/>
              <w:bottom w:val="single" w:sz="4" w:space="0" w:color="auto"/>
              <w:right w:val="single" w:sz="4" w:space="0" w:color="auto"/>
            </w:tcBorders>
            <w:noWrap/>
            <w:vAlign w:val="center"/>
          </w:tc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合计</w:t>
            </w: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Calibri" w:eastAsia="华文细黑" w:cs="Times New Roman" w:hAnsi="Calibri" w:hint="eastAsia"/>
                <w:color w:val="000000"/>
                <w:sz w:val="20"/>
                <w:szCs w:val="22"/>
                <w:lang w:eastAsia="zh-CN"/>
              </w:rPr>
              <w:t>一般公共预算拨款收入</w:t>
            </w: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政府性基金预算拨款收入</w:t>
            </w: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国有资本经营预算拨款收入</w:t>
            </w:r>
          </w:p>
        </w:tc>
        <w:tc>
          <w:tcPr>
            <w:tcW w:w="1063" w:type="dxa"/>
            <w:vMerge/>
            <w:tcBorders>
              <w:top w:val="single" w:sz="4" w:space="0" w:color="auto"/>
              <w:left w:val="single" w:sz="4" w:space="0" w:color="auto"/>
              <w:bottom w:val="single" w:sz="4" w:space="0" w:color="auto"/>
              <w:right w:val="single" w:sz="4" w:space="0" w:color="auto"/>
            </w:tcBorders>
            <w:noWrap/>
            <w:vAlign w:val="center"/>
          </w:tcPr>
          <w:p/>
        </w:tc>
        <w:tc>
          <w:tcPr>
            <w:tcW w:w="1036" w:type="dxa"/>
            <w:vMerge/>
            <w:tcBorders>
              <w:top w:val="single" w:sz="4" w:space="0" w:color="auto"/>
              <w:left w:val="single" w:sz="4" w:space="0" w:color="auto"/>
              <w:bottom w:val="single" w:sz="4" w:space="0" w:color="auto"/>
              <w:right w:val="single" w:sz="4" w:space="0" w:color="auto"/>
            </w:tcBorders>
            <w:noWrap/>
            <w:vAlign w:val="center"/>
          </w:tcPr>
          <w:p/>
        </w:tc>
        <w:tc>
          <w:tcPr>
            <w:tcW w:w="803" w:type="dxa"/>
            <w:vMerge/>
            <w:tcBorders>
              <w:top w:val="single" w:sz="4" w:space="0" w:color="auto"/>
              <w:left w:val="single" w:sz="4" w:space="0" w:color="auto"/>
              <w:bottom w:val="single" w:sz="4" w:space="0" w:color="auto"/>
              <w:right w:val="single" w:sz="4" w:space="0" w:color="auto"/>
            </w:tcBorders>
            <w:noWrap/>
            <w:vAlign w:val="center"/>
          </w:tc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单位名称</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79"/>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bl>
    <w:p>
      <w:pPr>
        <w:ind w:firstLineChars="200" w:firstLine="640"/>
        <w:rPr>
          <w:rFonts w:eastAsia="楷体"/>
          <w:kern w:val="0"/>
          <w:szCs w:val="32"/>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tbl>
      <w:tblPr>
        <w:jc w:val="left"/>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676"/>
        <w:gridCol w:w="518"/>
        <w:gridCol w:w="954"/>
        <w:gridCol w:w="2004"/>
        <w:gridCol w:w="506"/>
        <w:gridCol w:w="654"/>
        <w:gridCol w:w="1064"/>
        <w:gridCol w:w="1283"/>
        <w:gridCol w:w="776"/>
        <w:gridCol w:w="506"/>
      </w:tblGrid>
      <w:tr>
        <w:trPr>
          <w:trHeight w:val="688"/>
        </w:trPr>
        <w:tc>
          <w:tcPr>
            <w:tcW w:w="8941" w:type="dxa"/>
            <w:gridSpan w:val="10"/>
            <w:tcBorders>
              <w:top w:val="nil"/>
              <w:left w:val="nil"/>
              <w:bottom w:val="single" w:sz="4" w:space="0" w:color="000000"/>
              <w:right w:val="nil"/>
            </w:tcBorders>
            <w:noWrap/>
          </w:tcPr>
          <w:p>
            <w:pPr>
              <w:widowControl/>
              <w:jc w:val="center"/>
              <w:rPr>
                <w:rFonts w:ascii="Calibri" w:eastAsia="方正小标宋简体" w:cs="Times New Roman" w:hAnsi="Calibri"/>
                <w:kern w:val="0"/>
                <w:sz w:val="44"/>
                <w:szCs w:val="44"/>
              </w:rPr>
            </w:pPr>
            <w:r>
              <w:rPr>
                <w:rFonts w:ascii="Calibri" w:eastAsia="方正小标宋简体" w:cs="Times New Roman" w:hAnsi="Calibri" w:hint="eastAsia"/>
                <w:kern w:val="0"/>
                <w:sz w:val="44"/>
                <w:szCs w:val="44"/>
              </w:rPr>
              <w:t>项目支出</w:t>
            </w:r>
            <w:r>
              <w:rPr>
                <w:rFonts w:ascii="Calibri" w:eastAsia="方正小标宋简体" w:cs="Times New Roman" w:hAnsi="Calibri" w:hint="eastAsia"/>
                <w:kern w:val="0"/>
                <w:sz w:val="44"/>
                <w:szCs w:val="44"/>
                <w:lang w:eastAsia="zh-CN"/>
              </w:rPr>
              <w:t>绩效目标</w:t>
            </w:r>
            <w:r>
              <w:rPr>
                <w:rFonts w:ascii="Calibri" w:eastAsia="方正小标宋简体" w:cs="Times New Roman" w:hAnsi="Calibri"/>
                <w:kern w:val="0"/>
                <w:sz w:val="44"/>
                <w:szCs w:val="44"/>
              </w:rPr>
              <w:t>表</w:t>
            </w:r>
          </w:p>
          <w:p>
            <w:pPr>
              <w:spacing w:line="700" w:lineRule="exact"/>
              <w:jc w:val="right"/>
              <w:rPr>
                <w:rFonts w:ascii="Calibri" w:eastAsia="楷体" w:cs="Times New Roman" w:hAnsi="Calibri"/>
                <w:kern w:val="0"/>
                <w:szCs w:val="32"/>
                <w:vertAlign w:val="baseline"/>
              </w:rPr>
            </w:pPr>
            <w:r>
              <w:rPr>
                <w:rFonts w:ascii="Calibri" w:eastAsia="华文细黑" w:cs="Times New Roman" w:hAnsi="Calibri" w:hint="eastAsia"/>
                <w:color w:val="000000"/>
                <w:sz w:val="20"/>
                <w:szCs w:val="22"/>
              </w:rPr>
              <w:t>单位：万元</w:t>
            </w:r>
          </w:p>
        </w:tc>
      </w:tr>
      <w:tr>
        <w:trPr>
          <w:trHeight w:val="1071"/>
        </w:trPr>
        <w:tc>
          <w:tcPr>
            <w:tcW w:w="6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名称</w:t>
            </w:r>
          </w:p>
        </w:tc>
        <w:tc>
          <w:tcPr>
            <w:tcW w:w="51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项目名称</w:t>
            </w:r>
          </w:p>
        </w:tc>
        <w:tc>
          <w:tcPr>
            <w:tcW w:w="95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年度资金总额</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（万元）</w:t>
            </w:r>
          </w:p>
        </w:tc>
        <w:tc>
          <w:tcPr>
            <w:tcW w:w="200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年度绩</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效目标</w:t>
            </w:r>
          </w:p>
        </w:tc>
        <w:tc>
          <w:tcPr>
            <w:tcW w:w="506"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一级指标</w:t>
            </w:r>
          </w:p>
        </w:tc>
        <w:tc>
          <w:tcPr>
            <w:tcW w:w="65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二级指标</w:t>
            </w:r>
          </w:p>
        </w:tc>
        <w:tc>
          <w:tcPr>
            <w:tcW w:w="106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三级指标</w:t>
            </w:r>
          </w:p>
        </w:tc>
        <w:tc>
          <w:tcPr>
            <w:tcW w:w="1283"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指标解释</w:t>
            </w:r>
          </w:p>
        </w:tc>
        <w:tc>
          <w:tcPr>
            <w:tcW w:w="776"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指标值</w:t>
            </w:r>
          </w:p>
        </w:tc>
        <w:tc>
          <w:tcPr>
            <w:tcW w:w="506"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权重</w:t>
            </w:r>
          </w:p>
        </w:tc>
      </w:tr>
      <w:tr>
        <w:trPr>
          <w:trHeight w:val="561"/>
        </w:trPr>
        <w:tc>
          <w:tcPr>
            <w:tcW w:w="676" w:type="dxa"/>
            <w:vMerge w:val="restart"/>
            <w:tcBorders>
              <w:top w:val="single" w:sz="4" w:space="0" w:color="000000"/>
              <w:left w:val="single" w:sz="4" w:space="0" w:color="000000"/>
              <w:bottom w:val="single" w:sz="4" w:space="0" w:color="auto"/>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bidi="ar-SA"/>
              </w:rPr>
            </w:pPr>
            <w:r>
              <w:rPr>
                <w:rFonts w:ascii="宋体" w:eastAsia="宋体" w:cs="宋体" w:hint="eastAsia"/>
                <w:kern w:val="0"/>
                <w:sz w:val="20"/>
                <w:szCs w:val="20"/>
                <w:vertAlign w:val="baseline"/>
                <w:lang w:val="en-US" w:eastAsia="zh-CN"/>
              </w:rPr>
              <w:t>长春市统计局绿园区分局</w:t>
            </w:r>
          </w:p>
        </w:tc>
        <w:tc>
          <w:tcPr>
            <w:tcW w:w="51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r>
              <w:rPr>
                <w:rFonts w:ascii="宋体" w:eastAsia="宋体" w:cs="宋体" w:hint="eastAsia"/>
                <w:kern w:val="0"/>
                <w:sz w:val="20"/>
                <w:szCs w:val="20"/>
                <w:vertAlign w:val="baseline"/>
                <w:lang w:val="en-US" w:eastAsia="zh-CN"/>
              </w:rPr>
              <w:t>综合统计业务费</w:t>
            </w:r>
          </w:p>
        </w:tc>
        <w:tc>
          <w:tcPr>
            <w:tcW w:w="954"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rPr>
              <w:t>16.6</w:t>
            </w:r>
          </w:p>
        </w:tc>
        <w:tc>
          <w:tcPr>
            <w:tcW w:w="2004" w:type="dxa"/>
            <w:vMerge w:val="restart"/>
            <w:tcBorders>
              <w:top w:val="single" w:sz="4" w:space="0" w:color="000000"/>
              <w:left w:val="single" w:sz="4" w:space="0" w:color="000000"/>
              <w:bottom w:val="single" w:sz="4" w:space="0" w:color="auto"/>
              <w:right w:val="single" w:sz="4" w:space="0" w:color="000000"/>
            </w:tcBorders>
            <w:noWrap/>
            <w:vAlign w:val="center"/>
          </w:tcPr>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一是充分发挥统计部门“晴雨表”作用，全力抓好绿园区经济运行监测；</w:t>
            </w:r>
          </w:p>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二是充分发挥统计部门“信息库”作用，做好数据管理、发布、提供及开发利用，各项统计调查能够真实反映绿园区经济和社会发展水平，为党委、 政府宏观决策提供参考依据；</w:t>
            </w:r>
          </w:p>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三是推进统计系统人才培养，开展基层统计调查员培训，提高干部工作能力及业务水平，为统计调查提供人才保障；</w:t>
            </w:r>
          </w:p>
          <w:p>
            <w:pPr>
              <w:keepNext w:val="0"/>
              <w:keepLines w:val="0"/>
              <w:widowControl/>
              <w:suppressLineNumbers w:val="0"/>
              <w:jc w:val="left"/>
              <w:textAlignment w:val="center"/>
              <w:rPr>
                <w:rFonts w:ascii="宋体" w:eastAsia="宋体" w:cs="宋体" w:hint="eastAsia"/>
                <w:kern w:val="0"/>
                <w:sz w:val="20"/>
                <w:szCs w:val="20"/>
                <w:vertAlign w:val="baseline"/>
                <w:lang w:val="en-US" w:eastAsia="zh-CN"/>
              </w:rPr>
            </w:pPr>
            <w:r>
              <w:rPr>
                <w:rFonts w:ascii="宋体" w:eastAsia="宋体" w:cs="宋体" w:hint="eastAsia"/>
                <w:kern w:val="0"/>
                <w:sz w:val="20"/>
                <w:szCs w:val="20"/>
                <w:vertAlign w:val="baseline"/>
                <w:lang w:val="en-US" w:eastAsia="zh-CN"/>
              </w:rPr>
              <w:t>四是加强统计法治建设，定期开展统计法制宣传，提高公众对统计工作认知度。</w:t>
            </w:r>
          </w:p>
          <w:p>
            <w:pPr>
              <w:spacing w:line="240" w:lineRule="auto"/>
              <w:jc w:val="center"/>
              <w:rPr>
                <w:rFonts w:ascii="华文细黑" w:eastAsia="华文细黑" w:cs="华文细黑" w:hint="eastAsia"/>
                <w:kern w:val="0"/>
                <w:sz w:val="20"/>
                <w:szCs w:val="20"/>
                <w:vertAlign w:val="baseline"/>
              </w:rPr>
            </w:pPr>
          </w:p>
        </w:tc>
        <w:tc>
          <w:tcPr>
            <w:tcW w:w="506"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产出指标</w:t>
            </w:r>
          </w:p>
        </w:tc>
        <w:tc>
          <w:tcPr>
            <w:tcW w:w="654"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kern w:val="0"/>
                <w:sz w:val="20"/>
                <w:szCs w:val="20"/>
                <w:vertAlign w:val="baseline"/>
                <w:lang w:val="en-US" w:eastAsia="zh-CN"/>
              </w:rPr>
            </w:pPr>
            <w:r>
              <w:rPr>
                <w:rFonts w:ascii="华文细黑" w:eastAsia="华文细黑" w:cs="华文细黑"/>
                <w:kern w:val="0"/>
                <w:sz w:val="20"/>
                <w:szCs w:val="20"/>
                <w:vertAlign w:val="baseline"/>
                <w:lang w:val="en-US" w:eastAsia="zh-CN"/>
              </w:rPr>
              <w:t>数量指标</w:t>
            </w:r>
          </w:p>
        </w:tc>
        <w:tc>
          <w:tcPr>
            <w:tcW w:w="106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发布统计数据次数</w:t>
            </w:r>
          </w:p>
        </w:tc>
        <w:tc>
          <w:tcPr>
            <w:tcW w:w="1283"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反映向社会发布各类统计数据的次数情况。</w:t>
            </w:r>
          </w:p>
        </w:tc>
        <w:tc>
          <w:tcPr>
            <w:tcW w:w="7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≥12次</w:t>
            </w:r>
          </w:p>
        </w:tc>
        <w:tc>
          <w:tcPr>
            <w:tcW w:w="50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10</w:t>
            </w:r>
          </w:p>
        </w:tc>
      </w:tr>
      <w:tr>
        <w:trPr>
          <w:trHeight w:val="561"/>
        </w:trPr>
        <w:tc>
          <w:tcPr>
            <w:tcW w:w="676" w:type="dxa"/>
            <w:vMerge/>
            <w:tcBorders>
              <w:top w:val="single" w:sz="4" w:space="0" w:color="auto"/>
              <w:left w:val="single" w:sz="4" w:space="0" w:color="000000"/>
              <w:bottom w:val="single" w:sz="4" w:space="0" w:color="auto"/>
              <w:right w:val="single" w:sz="4" w:space="0" w:color="000000"/>
            </w:tcBorders>
            <w:noWrap/>
            <w:vAlign w:val="center"/>
          </w:tcPr>
          <w:p/>
        </w:tc>
        <w:tc>
          <w:tcPr>
            <w:tcW w:w="518" w:type="dxa"/>
            <w:vMerge/>
            <w:tcBorders>
              <w:top w:val="single" w:sz="4" w:space="0" w:color="auto"/>
              <w:left w:val="single" w:sz="4" w:space="0" w:color="000000"/>
              <w:bottom w:val="single" w:sz="4" w:space="0" w:color="auto"/>
              <w:right w:val="single" w:sz="4" w:space="0" w:color="000000"/>
            </w:tcBorders>
            <w:noWrap/>
            <w:vAlign w:val="center"/>
          </w:tcPr>
          <w:p/>
        </w:tc>
        <w:tc>
          <w:tcPr>
            <w:tcW w:w="954" w:type="dxa"/>
            <w:vMerge/>
            <w:tcBorders>
              <w:top w:val="single" w:sz="4" w:space="0" w:color="auto"/>
              <w:left w:val="single" w:sz="4" w:space="0" w:color="000000"/>
              <w:bottom w:val="single" w:sz="4" w:space="0" w:color="auto"/>
              <w:right w:val="single" w:sz="4" w:space="0" w:color="000000"/>
            </w:tcBorders>
            <w:noWrap/>
            <w:vAlign w:val="center"/>
          </w:tcPr>
          <w:p/>
        </w:tc>
        <w:tc>
          <w:tcPr>
            <w:tcW w:w="2004" w:type="dxa"/>
            <w:vMerge/>
            <w:tcBorders>
              <w:top w:val="single" w:sz="4" w:space="0" w:color="auto"/>
              <w:left w:val="single" w:sz="4" w:space="0" w:color="000000"/>
              <w:bottom w:val="single" w:sz="4" w:space="0" w:color="auto"/>
              <w:right w:val="single" w:sz="4" w:space="0" w:color="000000"/>
            </w:tcBorders>
            <w:noWrap/>
            <w:vAlign w:val="center"/>
          </w:tcPr>
          <w:p/>
        </w:tc>
        <w:tc>
          <w:tcPr>
            <w:tcW w:w="506" w:type="dxa"/>
            <w:vMerge/>
            <w:tcBorders>
              <w:top w:val="single" w:sz="4" w:space="0" w:color="auto"/>
              <w:left w:val="single" w:sz="4" w:space="0" w:color="000000"/>
              <w:bottom w:val="single" w:sz="4" w:space="0" w:color="auto"/>
              <w:right w:val="single" w:sz="4" w:space="0" w:color="000000"/>
            </w:tcBorders>
            <w:noWrap/>
            <w:vAlign w:val="center"/>
          </w:tcPr>
          <w:p/>
        </w:tc>
        <w:tc>
          <w:tcPr>
            <w:tcW w:w="654" w:type="dxa"/>
            <w:vMerge/>
            <w:tcBorders>
              <w:top w:val="single" w:sz="4" w:space="0" w:color="auto"/>
              <w:left w:val="single" w:sz="4" w:space="0" w:color="000000"/>
              <w:bottom w:val="single" w:sz="4" w:space="0" w:color="auto"/>
              <w:right w:val="single" w:sz="4" w:space="0" w:color="000000"/>
            </w:tcBorders>
            <w:noWrap/>
            <w:vAlign w:val="center"/>
          </w:tcPr>
          <w:p/>
        </w:tc>
        <w:tc>
          <w:tcPr>
            <w:tcW w:w="1064" w:type="dxa"/>
            <w:tcBorders>
              <w:top w:val="single" w:sz="4" w:space="0" w:color="000000"/>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普法宣传次数</w:t>
            </w:r>
          </w:p>
        </w:tc>
        <w:tc>
          <w:tcPr>
            <w:tcW w:w="1283" w:type="dxa"/>
            <w:tcBorders>
              <w:top w:val="single" w:sz="4" w:space="0" w:color="000000"/>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反映统计普法宣传情况。</w:t>
            </w:r>
          </w:p>
        </w:tc>
        <w:tc>
          <w:tcPr>
            <w:tcW w:w="776" w:type="dxa"/>
            <w:tcBorders>
              <w:top w:val="single" w:sz="4" w:space="0" w:color="000000"/>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≥1次</w:t>
            </w:r>
          </w:p>
        </w:tc>
        <w:tc>
          <w:tcPr>
            <w:tcW w:w="506" w:type="dxa"/>
            <w:tcBorders>
              <w:top w:val="single" w:sz="4" w:space="0" w:color="000000"/>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10</w:t>
            </w:r>
          </w:p>
        </w:tc>
      </w:tr>
      <w:tr>
        <w:trPr>
          <w:trHeight w:val="561"/>
        </w:trPr>
        <w:tc>
          <w:tcPr>
            <w:tcW w:w="676" w:type="dxa"/>
            <w:vMerge/>
            <w:tcBorders>
              <w:top w:val="single" w:sz="4" w:space="0" w:color="auto"/>
              <w:left w:val="single" w:sz="4" w:space="0" w:color="000000"/>
              <w:bottom w:val="single" w:sz="4" w:space="0" w:color="auto"/>
              <w:right w:val="single" w:sz="4" w:space="0" w:color="000000"/>
            </w:tcBorders>
            <w:noWrap/>
            <w:vAlign w:val="center"/>
          </w:tcPr>
          <w:p/>
        </w:tc>
        <w:tc>
          <w:tcPr>
            <w:tcW w:w="518" w:type="dxa"/>
            <w:vMerge/>
            <w:tcBorders>
              <w:top w:val="single" w:sz="4" w:space="0" w:color="auto"/>
              <w:left w:val="single" w:sz="4" w:space="0" w:color="000000"/>
              <w:bottom w:val="single" w:sz="4" w:space="0" w:color="auto"/>
              <w:right w:val="single" w:sz="4" w:space="0" w:color="000000"/>
            </w:tcBorders>
            <w:noWrap/>
            <w:vAlign w:val="center"/>
          </w:tcPr>
          <w:p/>
        </w:tc>
        <w:tc>
          <w:tcPr>
            <w:tcW w:w="954" w:type="dxa"/>
            <w:vMerge/>
            <w:tcBorders>
              <w:top w:val="single" w:sz="4" w:space="0" w:color="auto"/>
              <w:left w:val="single" w:sz="4" w:space="0" w:color="000000"/>
              <w:bottom w:val="single" w:sz="4" w:space="0" w:color="auto"/>
              <w:right w:val="single" w:sz="4" w:space="0" w:color="000000"/>
            </w:tcBorders>
            <w:noWrap/>
            <w:vAlign w:val="center"/>
          </w:tcPr>
          <w:p/>
        </w:tc>
        <w:tc>
          <w:tcPr>
            <w:tcW w:w="2004" w:type="dxa"/>
            <w:vMerge/>
            <w:tcBorders>
              <w:top w:val="single" w:sz="4" w:space="0" w:color="auto"/>
              <w:left w:val="single" w:sz="4" w:space="0" w:color="000000"/>
              <w:bottom w:val="single" w:sz="4" w:space="0" w:color="auto"/>
              <w:right w:val="single" w:sz="4" w:space="0" w:color="000000"/>
            </w:tcBorders>
            <w:noWrap/>
            <w:vAlign w:val="center"/>
          </w:tcPr>
          <w:p/>
        </w:tc>
        <w:tc>
          <w:tcPr>
            <w:tcW w:w="506" w:type="dxa"/>
            <w:vMerge/>
            <w:tcBorders>
              <w:top w:val="single" w:sz="4" w:space="0" w:color="auto"/>
              <w:left w:val="single" w:sz="4" w:space="0" w:color="000000"/>
              <w:bottom w:val="single" w:sz="4" w:space="0" w:color="auto"/>
              <w:right w:val="single" w:sz="4" w:space="0" w:color="000000"/>
            </w:tcBorders>
            <w:noWrap/>
            <w:vAlign w:val="center"/>
          </w:tcPr>
          <w:p/>
        </w:tc>
        <w:tc>
          <w:tcPr>
            <w:tcW w:w="654" w:type="dxa"/>
            <w:vMerge/>
            <w:tcBorders>
              <w:top w:val="single" w:sz="4" w:space="0" w:color="auto"/>
              <w:left w:val="single" w:sz="4" w:space="0" w:color="000000"/>
              <w:bottom w:val="single" w:sz="4" w:space="0" w:color="auto"/>
              <w:right w:val="single" w:sz="4" w:space="0" w:color="000000"/>
            </w:tcBorders>
            <w:noWrap/>
            <w:vAlign w:val="center"/>
          </w:tcPr>
          <w:p/>
        </w:tc>
        <w:tc>
          <w:tcPr>
            <w:tcW w:w="1064"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统计人员培训人次</w:t>
            </w:r>
          </w:p>
        </w:tc>
        <w:tc>
          <w:tcPr>
            <w:tcW w:w="128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反映统计人员培训的人次情况</w:t>
            </w:r>
          </w:p>
        </w:tc>
        <w:tc>
          <w:tcPr>
            <w:tcW w:w="7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&gt;300人</w:t>
            </w:r>
          </w:p>
        </w:tc>
        <w:tc>
          <w:tcPr>
            <w:tcW w:w="50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10</w:t>
            </w:r>
          </w:p>
        </w:tc>
      </w:tr>
      <w:tr>
        <w:trPr>
          <w:trHeight w:val="1151"/>
        </w:trPr>
        <w:tc>
          <w:tcPr>
            <w:tcW w:w="676" w:type="dxa"/>
            <w:vMerge/>
            <w:tcBorders>
              <w:top w:val="single" w:sz="4" w:space="0" w:color="auto"/>
              <w:left w:val="single" w:sz="4" w:space="0" w:color="000000"/>
              <w:bottom w:val="single" w:sz="4" w:space="0" w:color="auto"/>
              <w:right w:val="single" w:sz="4" w:space="0" w:color="000000"/>
            </w:tcBorders>
            <w:noWrap/>
            <w:vAlign w:val="center"/>
          </w:tcPr>
          <w:p/>
        </w:tc>
        <w:tc>
          <w:tcPr>
            <w:tcW w:w="518" w:type="dxa"/>
            <w:vMerge/>
            <w:tcBorders>
              <w:top w:val="single" w:sz="4" w:space="0" w:color="auto"/>
              <w:left w:val="single" w:sz="4" w:space="0" w:color="000000"/>
              <w:bottom w:val="single" w:sz="4" w:space="0" w:color="auto"/>
              <w:right w:val="single" w:sz="4" w:space="0" w:color="000000"/>
            </w:tcBorders>
            <w:noWrap/>
            <w:vAlign w:val="center"/>
          </w:tcPr>
          <w:p/>
        </w:tc>
        <w:tc>
          <w:tcPr>
            <w:tcW w:w="954" w:type="dxa"/>
            <w:vMerge/>
            <w:tcBorders>
              <w:top w:val="single" w:sz="4" w:space="0" w:color="auto"/>
              <w:left w:val="single" w:sz="4" w:space="0" w:color="000000"/>
              <w:bottom w:val="single" w:sz="4" w:space="0" w:color="auto"/>
              <w:right w:val="single" w:sz="4" w:space="0" w:color="000000"/>
            </w:tcBorders>
            <w:noWrap/>
            <w:vAlign w:val="center"/>
          </w:tcPr>
          <w:p/>
        </w:tc>
        <w:tc>
          <w:tcPr>
            <w:tcW w:w="2004" w:type="dxa"/>
            <w:vMerge/>
            <w:tcBorders>
              <w:top w:val="single" w:sz="4" w:space="0" w:color="auto"/>
              <w:left w:val="single" w:sz="4" w:space="0" w:color="000000"/>
              <w:bottom w:val="single" w:sz="4" w:space="0" w:color="auto"/>
              <w:right w:val="single" w:sz="4" w:space="0" w:color="000000"/>
            </w:tcBorders>
            <w:noWrap/>
            <w:vAlign w:val="center"/>
          </w:tcPr>
          <w:p/>
        </w:tc>
        <w:tc>
          <w:tcPr>
            <w:tcW w:w="506" w:type="dxa"/>
            <w:vMerge/>
            <w:tcBorders>
              <w:top w:val="single" w:sz="4" w:space="0" w:color="auto"/>
              <w:left w:val="single" w:sz="4" w:space="0" w:color="000000"/>
              <w:bottom w:val="single" w:sz="4" w:space="0" w:color="auto"/>
              <w:right w:val="single" w:sz="4" w:space="0" w:color="000000"/>
            </w:tcBorders>
            <w:noWrap/>
            <w:vAlign w:val="center"/>
          </w:tcPr>
          <w:p/>
        </w:tc>
        <w:tc>
          <w:tcPr>
            <w:tcW w:w="654" w:type="dxa"/>
            <w:vMerge/>
            <w:tcBorders>
              <w:top w:val="single" w:sz="4" w:space="0" w:color="auto"/>
              <w:left w:val="single" w:sz="4" w:space="0" w:color="000000"/>
              <w:bottom w:val="single" w:sz="4" w:space="0" w:color="auto"/>
              <w:right w:val="single" w:sz="4" w:space="0" w:color="000000"/>
            </w:tcBorders>
            <w:noWrap/>
            <w:vAlign w:val="center"/>
          </w:tcPr>
          <w:p/>
        </w:tc>
        <w:tc>
          <w:tcPr>
            <w:tcW w:w="1064"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统计分析报告篇数</w:t>
            </w:r>
          </w:p>
        </w:tc>
        <w:tc>
          <w:tcPr>
            <w:tcW w:w="128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反映统计分析报告篇数情况。</w:t>
            </w:r>
          </w:p>
        </w:tc>
        <w:tc>
          <w:tcPr>
            <w:tcW w:w="7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≥4篇</w:t>
            </w:r>
          </w:p>
        </w:tc>
        <w:tc>
          <w:tcPr>
            <w:tcW w:w="50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10</w:t>
            </w:r>
          </w:p>
        </w:tc>
      </w:tr>
      <w:tr>
        <w:trPr>
          <w:trHeight w:val="1278"/>
        </w:trPr>
        <w:tc>
          <w:tcPr>
            <w:tcW w:w="676" w:type="dxa"/>
            <w:vMerge/>
            <w:tcBorders>
              <w:top w:val="single" w:sz="4" w:space="0" w:color="auto"/>
              <w:left w:val="single" w:sz="4" w:space="0" w:color="000000"/>
              <w:bottom w:val="single" w:sz="4" w:space="0" w:color="auto"/>
              <w:right w:val="single" w:sz="4" w:space="0" w:color="000000"/>
            </w:tcBorders>
            <w:noWrap/>
            <w:vAlign w:val="center"/>
          </w:tcPr>
          <w:p/>
        </w:tc>
        <w:tc>
          <w:tcPr>
            <w:tcW w:w="518" w:type="dxa"/>
            <w:vMerge/>
            <w:tcBorders>
              <w:top w:val="single" w:sz="4" w:space="0" w:color="auto"/>
              <w:left w:val="single" w:sz="4" w:space="0" w:color="000000"/>
              <w:bottom w:val="single" w:sz="4" w:space="0" w:color="auto"/>
              <w:right w:val="single" w:sz="4" w:space="0" w:color="000000"/>
            </w:tcBorders>
            <w:noWrap/>
            <w:vAlign w:val="center"/>
          </w:tcPr>
          <w:p/>
        </w:tc>
        <w:tc>
          <w:tcPr>
            <w:tcW w:w="954" w:type="dxa"/>
            <w:vMerge/>
            <w:tcBorders>
              <w:top w:val="single" w:sz="4" w:space="0" w:color="auto"/>
              <w:left w:val="single" w:sz="4" w:space="0" w:color="000000"/>
              <w:bottom w:val="single" w:sz="4" w:space="0" w:color="auto"/>
              <w:right w:val="single" w:sz="4" w:space="0" w:color="000000"/>
            </w:tcBorders>
            <w:noWrap/>
            <w:vAlign w:val="center"/>
          </w:tcPr>
          <w:p/>
        </w:tc>
        <w:tc>
          <w:tcPr>
            <w:tcW w:w="2004" w:type="dxa"/>
            <w:vMerge/>
            <w:tcBorders>
              <w:top w:val="single" w:sz="4" w:space="0" w:color="auto"/>
              <w:left w:val="single" w:sz="4" w:space="0" w:color="000000"/>
              <w:bottom w:val="single" w:sz="4" w:space="0" w:color="auto"/>
              <w:right w:val="single" w:sz="4" w:space="0" w:color="000000"/>
            </w:tcBorders>
            <w:noWrap/>
            <w:vAlign w:val="center"/>
          </w:tcPr>
          <w:p/>
        </w:tc>
        <w:tc>
          <w:tcPr>
            <w:tcW w:w="506" w:type="dxa"/>
            <w:vMerge/>
            <w:tcBorders>
              <w:top w:val="single" w:sz="4" w:space="0" w:color="auto"/>
              <w:left w:val="single" w:sz="4" w:space="0" w:color="000000"/>
              <w:bottom w:val="single" w:sz="4" w:space="0" w:color="auto"/>
              <w:right w:val="single" w:sz="4" w:space="0" w:color="000000"/>
            </w:tcBorders>
            <w:noWrap/>
            <w:vAlign w:val="center"/>
          </w:tcPr>
          <w:p/>
        </w:tc>
        <w:tc>
          <w:tcPr>
            <w:tcW w:w="654" w:type="dxa"/>
            <w:vMerge/>
            <w:tcBorders>
              <w:top w:val="single" w:sz="4" w:space="0" w:color="auto"/>
              <w:left w:val="single" w:sz="4" w:space="0" w:color="000000"/>
              <w:bottom w:val="single" w:sz="4" w:space="0" w:color="auto"/>
              <w:right w:val="single" w:sz="4" w:space="0" w:color="000000"/>
            </w:tcBorders>
            <w:noWrap/>
            <w:vAlign w:val="center"/>
          </w:tcPr>
          <w:p/>
        </w:tc>
        <w:tc>
          <w:tcPr>
            <w:tcW w:w="1064"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调查非目录企业数</w:t>
            </w:r>
          </w:p>
        </w:tc>
        <w:tc>
          <w:tcPr>
            <w:tcW w:w="128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反映调查非目录企业数量情况。</w:t>
            </w:r>
          </w:p>
        </w:tc>
        <w:tc>
          <w:tcPr>
            <w:tcW w:w="7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≥10户</w:t>
            </w:r>
          </w:p>
        </w:tc>
        <w:tc>
          <w:tcPr>
            <w:tcW w:w="50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10</w:t>
            </w:r>
          </w:p>
        </w:tc>
      </w:tr>
      <w:tr>
        <w:trPr>
          <w:trHeight w:val="1041"/>
        </w:trPr>
        <w:tc>
          <w:tcPr>
            <w:tcW w:w="676" w:type="dxa"/>
            <w:vMerge/>
            <w:tcBorders>
              <w:top w:val="single" w:sz="4" w:space="0" w:color="auto"/>
              <w:left w:val="single" w:sz="4" w:space="0" w:color="000000"/>
              <w:bottom w:val="single" w:sz="4" w:space="0" w:color="auto"/>
              <w:right w:val="single" w:sz="4" w:space="0" w:color="000000"/>
            </w:tcBorders>
            <w:noWrap/>
            <w:vAlign w:val="center"/>
          </w:tcPr>
          <w:p/>
        </w:tc>
        <w:tc>
          <w:tcPr>
            <w:tcW w:w="518" w:type="dxa"/>
            <w:vMerge/>
            <w:tcBorders>
              <w:top w:val="single" w:sz="4" w:space="0" w:color="auto"/>
              <w:left w:val="single" w:sz="4" w:space="0" w:color="000000"/>
              <w:bottom w:val="single" w:sz="4" w:space="0" w:color="auto"/>
              <w:right w:val="single" w:sz="4" w:space="0" w:color="000000"/>
            </w:tcBorders>
            <w:noWrap/>
            <w:vAlign w:val="center"/>
          </w:tcPr>
          <w:p/>
        </w:tc>
        <w:tc>
          <w:tcPr>
            <w:tcW w:w="954" w:type="dxa"/>
            <w:vMerge/>
            <w:tcBorders>
              <w:top w:val="single" w:sz="4" w:space="0" w:color="auto"/>
              <w:left w:val="single" w:sz="4" w:space="0" w:color="000000"/>
              <w:bottom w:val="single" w:sz="4" w:space="0" w:color="auto"/>
              <w:right w:val="single" w:sz="4" w:space="0" w:color="000000"/>
            </w:tcBorders>
            <w:noWrap/>
            <w:vAlign w:val="center"/>
          </w:tcPr>
          <w:p/>
        </w:tc>
        <w:tc>
          <w:tcPr>
            <w:tcW w:w="2004" w:type="dxa"/>
            <w:vMerge/>
            <w:tcBorders>
              <w:top w:val="single" w:sz="4" w:space="0" w:color="auto"/>
              <w:left w:val="single" w:sz="4" w:space="0" w:color="000000"/>
              <w:bottom w:val="single" w:sz="4" w:space="0" w:color="auto"/>
              <w:right w:val="single" w:sz="4" w:space="0" w:color="000000"/>
            </w:tcBorders>
            <w:noWrap/>
            <w:vAlign w:val="center"/>
          </w:tcPr>
          <w:p/>
        </w:tc>
        <w:tc>
          <w:tcPr>
            <w:tcW w:w="50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效益指标</w:t>
            </w:r>
          </w:p>
        </w:tc>
        <w:tc>
          <w:tcPr>
            <w:tcW w:w="65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社会效益指标</w:t>
            </w:r>
          </w:p>
        </w:tc>
        <w:tc>
          <w:tcPr>
            <w:tcW w:w="106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向社会公众提供统计公报</w:t>
            </w:r>
          </w:p>
        </w:tc>
        <w:tc>
          <w:tcPr>
            <w:tcW w:w="1283"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向社会公众提供统计公报篇数</w:t>
            </w:r>
          </w:p>
        </w:tc>
        <w:tc>
          <w:tcPr>
            <w:tcW w:w="77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≥1篇</w:t>
            </w:r>
          </w:p>
        </w:tc>
        <w:tc>
          <w:tcPr>
            <w:tcW w:w="50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华文细黑" w:eastAsia="华文细黑" w:cs="华文细黑" w:hint="eastAsia"/>
                <w:kern w:val="0"/>
                <w:sz w:val="20"/>
                <w:szCs w:val="20"/>
                <w:vertAlign w:val="baseline"/>
              </w:rPr>
            </w:pPr>
            <w:r>
              <w:rPr>
                <w:rFonts w:ascii="华文细黑" w:eastAsia="华文细黑" w:cs="华文细黑" w:hint="eastAsia"/>
                <w:i w:val="0"/>
                <w:iCs w:val="0"/>
                <w:color w:val="000000"/>
                <w:kern w:val="0"/>
                <w:sz w:val="16"/>
                <w:szCs w:val="16"/>
                <w:u w:val="none"/>
                <w:lang w:val="en-US" w:eastAsia="zh-CN"/>
              </w:rPr>
              <w:t>40</w:t>
            </w:r>
          </w:p>
        </w:tc>
      </w:tr>
    </w:tbl>
    <w:p>
      <w:pPr>
        <w:spacing w:line="700" w:lineRule="exact"/>
        <w:rPr>
          <w:rFonts w:eastAsia="楷体"/>
          <w:kern w:val="0"/>
          <w:szCs w:val="32"/>
        </w:rPr>
      </w:pPr>
    </w:p>
    <w:p>
      <w:pPr>
        <w:spacing w:line="700" w:lineRule="exact"/>
        <w:ind w:firstLineChars="200" w:firstLine="640"/>
        <w:rPr>
          <w:rFonts w:eastAsia="楷体" w:hint="eastAsia"/>
          <w:kern w:val="0"/>
          <w:szCs w:val="32"/>
        </w:rPr>
      </w:pPr>
      <w:r>
        <w:rPr>
          <w:rFonts w:eastAsia="楷体" w:hint="eastAsia"/>
          <w:kern w:val="0"/>
          <w:szCs w:val="32"/>
        </w:rPr>
        <w:br w:type="page"/>
      </w:r>
    </w:p>
    <w:p>
      <w:pPr>
        <w:ind w:firstLineChars="200" w:firstLine="640"/>
        <w:jc w:val="center"/>
        <w:rPr>
          <w:rFonts w:eastAsia="黑体"/>
        </w:rPr>
      </w:pPr>
      <w:r>
        <w:rPr>
          <w:rFonts w:eastAsia="黑体"/>
        </w:rPr>
        <w:t>第三部分 情况说明</w:t>
      </w:r>
    </w:p>
    <w:p>
      <w:pPr>
        <w:rPr>
          <w:rFonts w:eastAsia="仿宋"/>
          <w:szCs w:val="32"/>
        </w:rPr>
      </w:pPr>
    </w:p>
    <w:p>
      <w:pPr>
        <w:ind w:firstLineChars="200" w:firstLine="640"/>
        <w:rPr>
          <w:rFonts w:eastAsia="黑体"/>
          <w:szCs w:val="32"/>
        </w:rPr>
      </w:pPr>
      <w:r>
        <w:rPr>
          <w:rFonts w:eastAsia="黑体"/>
          <w:szCs w:val="32"/>
        </w:rPr>
        <w:t>一、20</w:t>
      </w:r>
      <w:r>
        <w:rPr>
          <w:rFonts w:eastAsia="黑体" w:hint="eastAsia"/>
          <w:szCs w:val="32"/>
        </w:rPr>
        <w:t>2</w:t>
      </w:r>
      <w:r>
        <w:rPr>
          <w:rFonts w:eastAsia="黑体" w:hint="eastAsia"/>
          <w:szCs w:val="32"/>
          <w:lang w:val="en-US" w:eastAsia="zh-CN"/>
        </w:rPr>
        <w:t>5</w:t>
      </w:r>
      <w:r>
        <w:rPr>
          <w:rFonts w:eastAsia="黑体"/>
          <w:szCs w:val="32"/>
        </w:rPr>
        <w:t>年收支预算总体情况</w:t>
      </w:r>
    </w:p>
    <w:p>
      <w:pPr>
        <w:ind w:firstLineChars="200" w:firstLine="64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w:t>
      </w:r>
      <w:r>
        <w:rPr>
          <w:rFonts w:ascii="仿宋_GB2312" w:eastAsia="仿宋_GB2312" w:cs="仿宋_GB2312" w:hint="eastAsia"/>
          <w:sz w:val="32"/>
          <w:szCs w:val="32"/>
          <w:lang w:bidi="ar-SA"/>
          <w:highlight w:val="auto"/>
        </w:rPr>
        <w:t>一般公共服务支出、社会保障和就业支出、</w:t>
      </w:r>
      <w:r>
        <w:rPr>
          <w:rFonts w:ascii="仿宋_GB2312" w:eastAsia="仿宋_GB2312" w:cs="仿宋_GB2312" w:hint="eastAsia"/>
          <w:sz w:val="32"/>
          <w:szCs w:val="32"/>
          <w:lang w:val="en-US" w:eastAsia="zh-CN" w:bidi="ar-SA"/>
          <w:highlight w:val="auto"/>
        </w:rPr>
        <w:t>卫生健康支出</w:t>
      </w:r>
      <w:r>
        <w:rPr>
          <w:rFonts w:ascii="仿宋_GB2312" w:eastAsia="仿宋_GB2312" w:cs="仿宋_GB2312" w:hint="eastAsia"/>
          <w:sz w:val="32"/>
          <w:szCs w:val="32"/>
          <w:lang w:bidi="ar-SA"/>
          <w:highlight w:val="auto"/>
        </w:rPr>
        <w:t>、住房保障支出</w:t>
      </w:r>
      <w:r>
        <w:rPr>
          <w:szCs w:val="32"/>
        </w:rPr>
        <w:t>等。20</w:t>
      </w:r>
      <w:r>
        <w:rPr>
          <w:rFonts w:hint="eastAsia"/>
          <w:szCs w:val="32"/>
        </w:rPr>
        <w:t>2</w:t>
      </w:r>
      <w:r>
        <w:rPr>
          <w:rFonts w:hint="eastAsia"/>
          <w:szCs w:val="32"/>
          <w:lang w:val="en-US" w:eastAsia="zh-CN"/>
        </w:rPr>
        <w:t>5</w:t>
      </w:r>
      <w:r>
        <w:rPr>
          <w:szCs w:val="32"/>
        </w:rPr>
        <w:t>年收支总预算</w:t>
      </w:r>
      <w:r>
        <w:rPr>
          <w:rFonts w:hint="eastAsia"/>
          <w:szCs w:val="32"/>
        </w:rPr>
        <w:t>161.48</w:t>
      </w:r>
      <w:r>
        <w:rPr>
          <w:szCs w:val="32"/>
        </w:rPr>
        <w:t>万元</w:t>
      </w:r>
      <w:r>
        <w:rPr>
          <w:rFonts w:hint="eastAsia"/>
          <w:szCs w:val="32"/>
          <w:lang w:eastAsia="zh-CN"/>
        </w:rPr>
        <w:t>，其中：本年预算</w:t>
      </w:r>
      <w:r>
        <w:rPr>
          <w:rFonts w:hint="eastAsia"/>
          <w:szCs w:val="32"/>
        </w:rPr>
        <w:t>161.48</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123.65</w:t>
      </w:r>
      <w:r>
        <w:rPr>
          <w:szCs w:val="32"/>
        </w:rPr>
        <w:t>万元，主要原因是</w:t>
      </w:r>
      <w:r>
        <w:rPr>
          <w:rFonts w:hint="eastAsia"/>
          <w:szCs w:val="32"/>
          <w:lang w:val="en-US" w:eastAsia="zh-CN"/>
        </w:rPr>
        <w:t>项目经费有所减少，本年较上年减少第五次全国经济普查经费</w:t>
      </w:r>
      <w:r>
        <w:rPr>
          <w:szCs w:val="32"/>
        </w:rPr>
        <w:softHyphen/>
        <w:softHyphen/>
        <w:softHyphen/>
        <w:t>。</w:t>
      </w:r>
    </w:p>
    <w:p>
      <w:pPr>
        <w:ind w:firstLineChars="200" w:firstLine="640"/>
        <w:rPr>
          <w:rFonts w:eastAsia="黑体"/>
          <w:szCs w:val="32"/>
        </w:rPr>
      </w:pPr>
      <w:r>
        <w:rPr>
          <w:rFonts w:eastAsia="黑体"/>
          <w:szCs w:val="32"/>
        </w:rPr>
        <w:t>二、20</w:t>
      </w:r>
      <w:r>
        <w:rPr>
          <w:rFonts w:eastAsia="黑体" w:hint="eastAsia"/>
          <w:szCs w:val="32"/>
        </w:rPr>
        <w:t>2</w:t>
      </w:r>
      <w:r>
        <w:rPr>
          <w:rFonts w:eastAsia="黑体" w:hint="eastAsia"/>
          <w:szCs w:val="32"/>
          <w:lang w:val="en-US" w:eastAsia="zh-CN"/>
        </w:rPr>
        <w:t>5</w:t>
      </w:r>
      <w:r>
        <w:rPr>
          <w:rFonts w:eastAsia="黑体"/>
          <w:szCs w:val="32"/>
        </w:rPr>
        <w:t>年收入预算情况</w:t>
      </w:r>
    </w:p>
    <w:p>
      <w:pPr>
        <w:ind w:firstLineChars="200" w:firstLine="64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rPr>
        <w:t>161.48</w:t>
      </w:r>
      <w:r>
        <w:rPr>
          <w:szCs w:val="32"/>
        </w:rPr>
        <w:t>万元，其中：本年收入</w:t>
      </w:r>
      <w:r>
        <w:rPr>
          <w:rFonts w:hint="eastAsia"/>
          <w:szCs w:val="32"/>
        </w:rPr>
        <w:t>161.48</w:t>
      </w:r>
      <w:r>
        <w:rPr>
          <w:szCs w:val="32"/>
        </w:rPr>
        <w:t>万元，占</w:t>
      </w:r>
      <w:r>
        <w:rPr>
          <w:rFonts w:hint="eastAsia"/>
          <w:szCs w:val="32"/>
          <w:lang w:val="en-US" w:eastAsia="zh-CN"/>
        </w:rPr>
        <w:t>100</w:t>
      </w:r>
      <w:r>
        <w:rPr>
          <w:szCs w:val="32"/>
        </w:rPr>
        <w:t>%。本年收入中，一般公共预算拨款收入</w:t>
      </w:r>
      <w:r>
        <w:rPr>
          <w:rFonts w:hint="eastAsia"/>
          <w:szCs w:val="32"/>
        </w:rPr>
        <w:t>161.48</w:t>
      </w:r>
      <w:r>
        <w:rPr>
          <w:szCs w:val="32"/>
        </w:rPr>
        <w:t>万元，占</w:t>
      </w:r>
      <w:r>
        <w:rPr>
          <w:rFonts w:hint="eastAsia"/>
          <w:szCs w:val="32"/>
          <w:lang w:val="en-US" w:eastAsia="zh-CN"/>
        </w:rPr>
        <w:t>100</w:t>
      </w:r>
      <w:r>
        <w:rPr>
          <w:szCs w:val="32"/>
        </w:rPr>
        <w:t>%</w:t>
      </w:r>
      <w:r>
        <w:rPr>
          <w:rFonts w:hint="eastAsia"/>
          <w:szCs w:val="32"/>
        </w:rPr>
        <w:t>。</w:t>
      </w:r>
      <w:r>
        <w:rPr>
          <w:szCs w:val="32"/>
        </w:rPr>
        <w:t>上年</w:t>
      </w:r>
      <w:r>
        <w:rPr>
          <w:rFonts w:hint="eastAsia"/>
          <w:szCs w:val="32"/>
          <w:lang w:val="en-US" w:eastAsia="zh-CN"/>
        </w:rPr>
        <w:t>无</w:t>
      </w:r>
      <w:r>
        <w:rPr>
          <w:szCs w:val="32"/>
        </w:rPr>
        <w:t>结转</w:t>
      </w:r>
      <w:r>
        <w:rPr>
          <w:rFonts w:hint="eastAsia"/>
          <w:szCs w:val="32"/>
          <w:lang w:eastAsia="zh-CN"/>
        </w:rPr>
        <w:t>结余</w:t>
      </w:r>
      <w:r>
        <w:rPr>
          <w:rFonts w:hint="eastAsia"/>
          <w:szCs w:val="32"/>
        </w:rPr>
        <w:t>。</w:t>
      </w:r>
    </w:p>
    <w:p>
      <w:pPr>
        <w:ind w:firstLineChars="200" w:firstLine="640"/>
        <w:rPr>
          <w:rFonts w:eastAsia="黑体"/>
          <w:szCs w:val="32"/>
        </w:rPr>
      </w:pPr>
      <w:r>
        <w:rPr>
          <w:rFonts w:eastAsia="黑体"/>
          <w:szCs w:val="32"/>
        </w:rPr>
        <w:t>三、20</w:t>
      </w:r>
      <w:r>
        <w:rPr>
          <w:rFonts w:eastAsia="黑体" w:hint="eastAsia"/>
          <w:szCs w:val="32"/>
        </w:rPr>
        <w:t>2</w:t>
      </w:r>
      <w:r>
        <w:rPr>
          <w:rFonts w:hint="eastAsia"/>
          <w:szCs w:val="32"/>
          <w:lang w:val="en-US" w:eastAsia="zh-CN"/>
        </w:rPr>
        <w:t>5</w:t>
      </w:r>
      <w:r>
        <w:rPr>
          <w:rFonts w:eastAsia="黑体"/>
          <w:szCs w:val="32"/>
        </w:rPr>
        <w:t>年支出预算情况</w:t>
      </w:r>
    </w:p>
    <w:p>
      <w:pPr>
        <w:ind w:firstLineChars="200" w:firstLine="64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rPr>
        <w:t>161.48</w:t>
      </w:r>
      <w:r>
        <w:rPr>
          <w:szCs w:val="32"/>
        </w:rPr>
        <w:t>万元，其中：基本支出</w:t>
      </w:r>
      <w:r>
        <w:rPr>
          <w:rFonts w:hint="eastAsia"/>
          <w:szCs w:val="32"/>
        </w:rPr>
        <w:t>144.88</w:t>
      </w:r>
      <w:r>
        <w:rPr>
          <w:szCs w:val="32"/>
        </w:rPr>
        <w:t>万元，占</w:t>
      </w:r>
      <w:r>
        <w:rPr>
          <w:rFonts w:hint="eastAsia"/>
          <w:szCs w:val="32"/>
          <w:lang w:val="en-US" w:eastAsia="zh-CN"/>
        </w:rPr>
        <w:t>89.72</w:t>
      </w:r>
      <w:r>
        <w:rPr>
          <w:szCs w:val="32"/>
        </w:rPr>
        <w:t>%；项目支出</w:t>
      </w:r>
      <w:r>
        <w:rPr>
          <w:rFonts w:hint="eastAsia"/>
          <w:szCs w:val="32"/>
        </w:rPr>
        <w:t>16.6</w:t>
      </w:r>
      <w:r>
        <w:rPr>
          <w:szCs w:val="32"/>
        </w:rPr>
        <w:t>万元，占</w:t>
      </w:r>
      <w:r>
        <w:rPr>
          <w:rFonts w:hint="eastAsia"/>
          <w:szCs w:val="32"/>
          <w:lang w:val="en-US" w:eastAsia="zh-CN"/>
        </w:rPr>
        <w:t>10.28</w:t>
      </w:r>
      <w:r>
        <w:rPr>
          <w:szCs w:val="32"/>
        </w:rPr>
        <w:t>%。</w:t>
      </w:r>
    </w:p>
    <w:p>
      <w:pPr>
        <w:ind w:firstLine="600"/>
        <w:rPr>
          <w:rFonts w:eastAsia="黑体"/>
          <w:szCs w:val="32"/>
        </w:rPr>
      </w:pPr>
      <w:r>
        <w:rPr>
          <w:rFonts w:eastAsia="黑体"/>
          <w:szCs w:val="32"/>
        </w:rPr>
        <w:t>四、20</w:t>
      </w:r>
      <w:r>
        <w:rPr>
          <w:rFonts w:eastAsia="黑体" w:hint="eastAsia"/>
          <w:szCs w:val="32"/>
        </w:rPr>
        <w:t>2</w:t>
      </w:r>
      <w:r>
        <w:rPr>
          <w:rFonts w:hint="eastAsia"/>
          <w:szCs w:val="32"/>
          <w:lang w:val="en-US" w:eastAsia="zh-CN"/>
        </w:rPr>
        <w:t>5</w:t>
      </w:r>
      <w:r>
        <w:rPr>
          <w:rFonts w:eastAsia="黑体"/>
          <w:szCs w:val="32"/>
        </w:rPr>
        <w:t>年财政拨款收支预算情况</w:t>
      </w:r>
    </w:p>
    <w:p>
      <w:pPr>
        <w:ind w:firstLine="600"/>
        <w:rPr>
          <w:rFonts w:eastAsia="仿宋_GB2312" w:hint="eastAsia"/>
          <w:szCs w:val="32"/>
          <w:lang w:eastAsia="zh-CN"/>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rPr>
        <w:t>161.48</w:t>
      </w:r>
      <w:r>
        <w:rPr>
          <w:szCs w:val="32"/>
        </w:rPr>
        <w:t>万元，其中：</w:t>
      </w:r>
      <w:r>
        <w:rPr>
          <w:rFonts w:hint="eastAsia"/>
          <w:szCs w:val="32"/>
        </w:rPr>
        <w:t>本年</w:t>
      </w:r>
      <w:r>
        <w:rPr>
          <w:rFonts w:hint="eastAsia"/>
          <w:szCs w:val="32"/>
          <w:lang w:eastAsia="zh-CN"/>
        </w:rPr>
        <w:t>预算</w:t>
      </w:r>
      <w:r>
        <w:rPr>
          <w:rFonts w:hint="eastAsia"/>
          <w:szCs w:val="32"/>
        </w:rPr>
        <w:t>161.48</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112.34</w:t>
      </w:r>
      <w:r>
        <w:rPr>
          <w:szCs w:val="32"/>
        </w:rPr>
        <w:t>万元，</w:t>
      </w:r>
      <w:r>
        <w:rPr>
          <w:kern w:val="0"/>
          <w:szCs w:val="32"/>
        </w:rPr>
        <w:t>社会保障和就业支出</w:t>
      </w:r>
      <w:r>
        <w:rPr>
          <w:rFonts w:hint="eastAsia"/>
          <w:szCs w:val="32"/>
        </w:rPr>
        <w:t>30.1</w:t>
      </w:r>
      <w:r>
        <w:rPr>
          <w:szCs w:val="32"/>
        </w:rPr>
        <w:t>万元，</w:t>
      </w:r>
      <w:r>
        <w:rPr>
          <w:kern w:val="0"/>
          <w:szCs w:val="32"/>
        </w:rPr>
        <w:t>卫生</w:t>
      </w:r>
      <w:r>
        <w:rPr>
          <w:rFonts w:hint="eastAsia"/>
          <w:kern w:val="0"/>
          <w:szCs w:val="32"/>
        </w:rPr>
        <w:t>健康</w:t>
      </w:r>
      <w:r>
        <w:rPr>
          <w:kern w:val="0"/>
          <w:szCs w:val="32"/>
        </w:rPr>
        <w:t>支出</w:t>
      </w:r>
      <w:r>
        <w:rPr>
          <w:rFonts w:hint="eastAsia"/>
          <w:szCs w:val="32"/>
        </w:rPr>
        <w:t>8.72</w:t>
      </w:r>
      <w:r>
        <w:rPr>
          <w:szCs w:val="32"/>
        </w:rPr>
        <w:t>万元，</w:t>
      </w:r>
      <w:r>
        <w:rPr>
          <w:kern w:val="0"/>
          <w:szCs w:val="32"/>
        </w:rPr>
        <w:t>住房保障支出</w:t>
      </w:r>
      <w:r>
        <w:rPr>
          <w:rFonts w:hint="eastAsia"/>
          <w:szCs w:val="32"/>
        </w:rPr>
        <w:t>10.32</w:t>
      </w:r>
      <w:r>
        <w:rPr>
          <w:szCs w:val="32"/>
        </w:rPr>
        <w:t>万元</w:t>
      </w:r>
      <w:r>
        <w:rPr>
          <w:rFonts w:hint="eastAsia"/>
          <w:szCs w:val="32"/>
          <w:lang w:eastAsia="zh-CN"/>
        </w:rPr>
        <w:t>。</w:t>
      </w:r>
    </w:p>
    <w:p>
      <w:pPr>
        <w:ind w:firstLine="600"/>
        <w:rPr>
          <w:rFonts w:eastAsia="黑体"/>
          <w:szCs w:val="30"/>
        </w:rPr>
      </w:pPr>
      <w:r>
        <w:rPr>
          <w:rFonts w:eastAsia="楷体"/>
          <w:szCs w:val="32"/>
        </w:rPr>
        <w:br w:type="page"/>
      </w:r>
      <w:r>
        <w:rPr>
          <w:rFonts w:eastAsia="黑体"/>
          <w:szCs w:val="30"/>
        </w:rPr>
        <w:t>五、20</w:t>
      </w:r>
      <w:r>
        <w:rPr>
          <w:rFonts w:eastAsia="黑体" w:hint="eastAsia"/>
          <w:szCs w:val="30"/>
        </w:rPr>
        <w:t>2</w:t>
      </w:r>
      <w:r>
        <w:rPr>
          <w:rFonts w:hint="eastAsia"/>
          <w:szCs w:val="32"/>
          <w:lang w:val="en-US" w:eastAsia="zh-CN"/>
        </w:rPr>
        <w:t>5</w:t>
      </w:r>
      <w:r>
        <w:rPr>
          <w:rFonts w:eastAsia="黑体"/>
          <w:szCs w:val="30"/>
        </w:rPr>
        <w:t>年一般公共预算</w:t>
      </w:r>
      <w:r>
        <w:rPr>
          <w:rFonts w:eastAsia="黑体" w:hint="eastAsia"/>
          <w:szCs w:val="30"/>
        </w:rPr>
        <w:t>支出</w:t>
      </w:r>
      <w:r>
        <w:rPr>
          <w:rFonts w:eastAsia="黑体"/>
          <w:szCs w:val="30"/>
        </w:rPr>
        <w:t>情况</w:t>
      </w:r>
    </w:p>
    <w:p>
      <w:pPr>
        <w:spacing w:line="520" w:lineRule="exact"/>
        <w:ind w:firstLineChars="200" w:firstLine="64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rPr>
        <w:t>161.48</w:t>
      </w:r>
      <w:r>
        <w:rPr>
          <w:szCs w:val="32"/>
        </w:rPr>
        <w:t>万元，其中：基本支出</w:t>
      </w:r>
      <w:r>
        <w:rPr>
          <w:rFonts w:hint="eastAsia"/>
          <w:szCs w:val="32"/>
        </w:rPr>
        <w:t>144.88</w:t>
      </w:r>
      <w:r>
        <w:rPr>
          <w:szCs w:val="32"/>
        </w:rPr>
        <w:t>万元，占</w:t>
      </w:r>
      <w:r>
        <w:rPr>
          <w:rFonts w:hint="eastAsia"/>
          <w:szCs w:val="32"/>
          <w:lang w:val="en-US" w:eastAsia="zh-CN"/>
        </w:rPr>
        <w:t>89.72</w:t>
      </w:r>
      <w:r>
        <w:rPr>
          <w:szCs w:val="32"/>
        </w:rPr>
        <w:t>%；项目支出</w:t>
      </w:r>
      <w:r>
        <w:rPr>
          <w:rFonts w:hint="eastAsia"/>
          <w:szCs w:val="32"/>
        </w:rPr>
        <w:t>16.6</w:t>
      </w:r>
      <w:r>
        <w:rPr>
          <w:szCs w:val="32"/>
        </w:rPr>
        <w:t>万元，占</w:t>
      </w:r>
      <w:r>
        <w:rPr>
          <w:rFonts w:hint="eastAsia"/>
          <w:szCs w:val="32"/>
          <w:lang w:val="en-US" w:eastAsia="zh-CN"/>
        </w:rPr>
        <w:t>10.28</w:t>
      </w:r>
      <w:r>
        <w:rPr>
          <w:szCs w:val="32"/>
        </w:rPr>
        <w:t>%。基本支出中，人员经费</w:t>
      </w:r>
      <w:r>
        <w:rPr>
          <w:rFonts w:hint="eastAsia"/>
          <w:szCs w:val="32"/>
        </w:rPr>
        <w:t>126.05</w:t>
      </w:r>
      <w:r>
        <w:rPr>
          <w:szCs w:val="32"/>
        </w:rPr>
        <w:t>万元，占</w:t>
      </w:r>
      <w:r>
        <w:rPr>
          <w:rFonts w:hint="eastAsia"/>
          <w:szCs w:val="32"/>
          <w:lang w:val="en-US" w:eastAsia="zh-CN"/>
        </w:rPr>
        <w:t>87.00</w:t>
      </w:r>
      <w:r>
        <w:rPr>
          <w:szCs w:val="32"/>
        </w:rPr>
        <w:t>%；公用经费</w:t>
      </w:r>
      <w:r>
        <w:rPr>
          <w:rFonts w:hint="eastAsia"/>
          <w:szCs w:val="32"/>
        </w:rPr>
        <w:t>18.83</w:t>
      </w:r>
      <w:r>
        <w:rPr>
          <w:szCs w:val="32"/>
        </w:rPr>
        <w:t>万元，占</w:t>
      </w:r>
      <w:r>
        <w:rPr>
          <w:rFonts w:hint="eastAsia"/>
          <w:szCs w:val="32"/>
          <w:lang w:val="en-US" w:eastAsia="zh-CN"/>
        </w:rPr>
        <w:t>13.00</w:t>
      </w:r>
      <w:r>
        <w:rPr>
          <w:szCs w:val="32"/>
        </w:rPr>
        <w:t>%。</w:t>
      </w:r>
    </w:p>
    <w:p>
      <w:pPr>
        <w:spacing w:line="520" w:lineRule="exact"/>
        <w:ind w:firstLineChars="200" w:firstLine="640"/>
        <w:rPr>
          <w:szCs w:val="32"/>
        </w:rPr>
      </w:pPr>
      <w:r>
        <w:rPr>
          <w:szCs w:val="32"/>
        </w:rPr>
        <w:t>一般公共服务（类）支出</w:t>
      </w:r>
      <w:r>
        <w:rPr>
          <w:rFonts w:hint="eastAsia"/>
          <w:szCs w:val="32"/>
        </w:rPr>
        <w:t>112.34</w:t>
      </w:r>
      <w:r>
        <w:rPr>
          <w:szCs w:val="32"/>
        </w:rPr>
        <w:t>万元，占</w:t>
      </w:r>
      <w:r>
        <w:rPr>
          <w:rFonts w:hint="eastAsia"/>
          <w:szCs w:val="32"/>
          <w:lang w:val="en-US" w:eastAsia="zh-CN"/>
        </w:rPr>
        <w:t>69.57</w:t>
      </w:r>
      <w:r>
        <w:rPr>
          <w:szCs w:val="32"/>
        </w:rPr>
        <w:t>%，主要用于</w:t>
      </w:r>
      <w:r>
        <w:rPr>
          <w:rFonts w:hint="eastAsia"/>
          <w:szCs w:val="32"/>
          <w:lang w:val="en-US" w:eastAsia="zh-CN"/>
        </w:rPr>
        <w:t>保障职工工资，维持机关正常运转，完成年度统计工作及普查任务。</w:t>
      </w:r>
    </w:p>
    <w:p>
      <w:pPr>
        <w:spacing w:line="520" w:lineRule="exact"/>
        <w:ind w:firstLineChars="200" w:firstLine="640"/>
        <w:rPr>
          <w:rFonts w:hint="eastAsia"/>
          <w:szCs w:val="32"/>
          <w:lang w:val="en-US" w:eastAsia="zh-CN"/>
        </w:rPr>
      </w:pPr>
      <w:r>
        <w:rPr>
          <w:szCs w:val="32"/>
        </w:rPr>
        <w:t>社会保障和就业（类）支出</w:t>
      </w:r>
      <w:r>
        <w:rPr>
          <w:rFonts w:hint="eastAsia"/>
          <w:szCs w:val="32"/>
        </w:rPr>
        <w:t>30.1</w:t>
      </w:r>
      <w:r>
        <w:rPr>
          <w:szCs w:val="32"/>
        </w:rPr>
        <w:t>万元，占</w:t>
      </w:r>
      <w:r>
        <w:rPr>
          <w:rFonts w:hint="eastAsia"/>
          <w:szCs w:val="32"/>
          <w:lang w:val="en-US" w:eastAsia="zh-CN"/>
        </w:rPr>
        <w:t>18.64</w:t>
      </w:r>
      <w:r>
        <w:rPr>
          <w:szCs w:val="32"/>
        </w:rPr>
        <w:t>%，主要用于</w:t>
      </w:r>
      <w:r>
        <w:rPr>
          <w:rFonts w:hint="eastAsia"/>
          <w:szCs w:val="32"/>
        </w:rPr>
        <w:t>保障</w:t>
      </w:r>
      <w:r>
        <w:rPr>
          <w:rFonts w:hint="eastAsia"/>
          <w:szCs w:val="32"/>
          <w:lang w:val="en-US" w:eastAsia="zh-CN"/>
        </w:rPr>
        <w:t>退休职工津贴及机关事业单位基本养老保险缴费支出。</w:t>
      </w:r>
    </w:p>
    <w:p>
      <w:pPr>
        <w:spacing w:line="520" w:lineRule="exact"/>
        <w:ind w:firstLineChars="200" w:firstLine="640"/>
        <w:rPr>
          <w:rFonts w:hint="eastAsia"/>
          <w:szCs w:val="32"/>
          <w:lang w:val="en-US" w:eastAsia="zh-CN"/>
        </w:rPr>
      </w:pPr>
      <w:r>
        <w:rPr>
          <w:rFonts w:hint="eastAsia"/>
          <w:szCs w:val="32"/>
          <w:lang w:val="en-US" w:eastAsia="zh-CN"/>
        </w:rPr>
        <w:t>卫生健康（类）支出8.72万元，占5.40%，主要用于缴纳职工医疗保险。</w:t>
      </w:r>
    </w:p>
    <w:p>
      <w:pPr>
        <w:spacing w:line="520" w:lineRule="exact"/>
        <w:ind w:firstLineChars="200" w:firstLine="640"/>
        <w:rPr>
          <w:rFonts w:hint="eastAsia"/>
          <w:szCs w:val="32"/>
          <w:lang w:val="en-US" w:eastAsia="zh-CN"/>
        </w:rPr>
      </w:pPr>
      <w:r>
        <w:rPr>
          <w:rFonts w:hint="eastAsia"/>
          <w:szCs w:val="32"/>
        </w:rPr>
        <w:t>住房保障（类）支出</w:t>
      </w:r>
      <w:r>
        <w:rPr>
          <w:rFonts w:hint="eastAsia"/>
          <w:szCs w:val="32"/>
          <w:lang w:val="en-US" w:eastAsia="zh-CN"/>
        </w:rPr>
        <w:t>10.32</w:t>
      </w:r>
      <w:r>
        <w:rPr>
          <w:rFonts w:hint="eastAsia"/>
          <w:szCs w:val="32"/>
        </w:rPr>
        <w:t>万元，占</w:t>
      </w:r>
      <w:r>
        <w:rPr>
          <w:rFonts w:hint="eastAsia"/>
          <w:szCs w:val="32"/>
          <w:lang w:val="en-US" w:eastAsia="zh-CN"/>
        </w:rPr>
        <w:t>6.39</w:t>
      </w:r>
      <w:r>
        <w:rPr>
          <w:rFonts w:hint="eastAsia"/>
          <w:szCs w:val="32"/>
        </w:rPr>
        <w:t>%，</w:t>
      </w:r>
      <w:r>
        <w:rPr>
          <w:rFonts w:hint="eastAsia"/>
          <w:szCs w:val="32"/>
          <w:lang w:val="en-US" w:eastAsia="zh-CN"/>
        </w:rPr>
        <w:t>主要用于缴纳职工住房公积金。</w:t>
      </w:r>
    </w:p>
    <w:p>
      <w:pPr>
        <w:spacing w:line="520" w:lineRule="exact"/>
        <w:ind w:firstLineChars="200" w:firstLine="640"/>
        <w:rPr>
          <w:rFonts w:eastAsia="黑体"/>
          <w:szCs w:val="32"/>
        </w:rPr>
      </w:pPr>
      <w:r>
        <w:rPr>
          <w:rFonts w:eastAsia="黑体"/>
          <w:szCs w:val="32"/>
        </w:rPr>
        <w:t>六、20</w:t>
      </w:r>
      <w:r>
        <w:rPr>
          <w:rFonts w:eastAsia="黑体" w:hint="eastAsia"/>
          <w:szCs w:val="32"/>
        </w:rPr>
        <w:t>2</w:t>
      </w:r>
      <w:r>
        <w:rPr>
          <w:rFonts w:hint="eastAsia"/>
          <w:szCs w:val="32"/>
          <w:lang w:val="en-US" w:eastAsia="zh-CN"/>
        </w:rPr>
        <w:t>5</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rPr>
        <w:t>144.88</w:t>
      </w:r>
      <w:r>
        <w:rPr>
          <w:szCs w:val="32"/>
        </w:rPr>
        <w:t>万元，其中：</w:t>
      </w:r>
    </w:p>
    <w:p>
      <w:pPr>
        <w:ind w:firstLineChars="200" w:firstLine="640"/>
        <w:rPr>
          <w:kern w:val="0"/>
          <w:szCs w:val="32"/>
        </w:rPr>
      </w:pPr>
      <w:r>
        <w:rPr>
          <w:szCs w:val="32"/>
        </w:rPr>
        <w:t>人员经费</w:t>
      </w:r>
      <w:r>
        <w:rPr>
          <w:rFonts w:hint="eastAsia"/>
          <w:szCs w:val="32"/>
        </w:rPr>
        <w:t>126.05</w:t>
      </w:r>
      <w:r>
        <w:rPr>
          <w:szCs w:val="32"/>
        </w:rPr>
        <w:t>万元，主要包括：</w:t>
      </w:r>
      <w:r>
        <w:rPr>
          <w:rFonts w:hint="eastAsia"/>
          <w:szCs w:val="32"/>
        </w:rPr>
        <w:t>基本工资</w:t>
      </w:r>
      <w:r>
        <w:rPr>
          <w:rFonts w:hint="eastAsia"/>
          <w:szCs w:val="32"/>
          <w:lang w:eastAsia="zh-CN"/>
        </w:rPr>
        <w:t>、</w:t>
      </w:r>
      <w:r>
        <w:rPr>
          <w:rFonts w:hint="eastAsia"/>
          <w:szCs w:val="32"/>
        </w:rPr>
        <w:t>津贴补贴</w:t>
      </w:r>
      <w:r>
        <w:rPr>
          <w:rFonts w:hint="eastAsia"/>
          <w:szCs w:val="32"/>
          <w:lang w:eastAsia="zh-CN"/>
        </w:rPr>
        <w:t>、</w:t>
      </w:r>
      <w:r>
        <w:rPr>
          <w:rFonts w:hint="eastAsia"/>
          <w:szCs w:val="32"/>
        </w:rPr>
        <w:t>奖金</w:t>
      </w:r>
      <w:r>
        <w:rPr>
          <w:rFonts w:hint="eastAsia"/>
          <w:szCs w:val="32"/>
          <w:lang w:eastAsia="zh-CN"/>
        </w:rPr>
        <w:t>、</w:t>
      </w:r>
      <w:r>
        <w:rPr>
          <w:rFonts w:hint="eastAsia"/>
          <w:szCs w:val="32"/>
        </w:rPr>
        <w:t>机关事业单位基本养老保险缴费</w:t>
      </w:r>
      <w:r>
        <w:rPr>
          <w:rFonts w:hint="eastAsia"/>
          <w:szCs w:val="32"/>
          <w:lang w:eastAsia="zh-CN"/>
        </w:rPr>
        <w:t>、</w:t>
      </w:r>
      <w:r>
        <w:rPr>
          <w:rFonts w:hint="eastAsia"/>
          <w:szCs w:val="32"/>
        </w:rPr>
        <w:t>职工基本医疗保险缴费</w:t>
      </w:r>
      <w:r>
        <w:rPr>
          <w:rFonts w:hint="eastAsia"/>
          <w:szCs w:val="32"/>
          <w:lang w:eastAsia="zh-CN"/>
        </w:rPr>
        <w:t>、</w:t>
      </w:r>
      <w:r>
        <w:rPr>
          <w:rFonts w:hint="eastAsia"/>
          <w:szCs w:val="32"/>
        </w:rPr>
        <w:t>公务员医疗补助缴费</w:t>
      </w:r>
      <w:r>
        <w:rPr>
          <w:rFonts w:hint="eastAsia"/>
          <w:szCs w:val="32"/>
          <w:lang w:eastAsia="zh-CN"/>
        </w:rPr>
        <w:t>、</w:t>
      </w:r>
      <w:r>
        <w:rPr>
          <w:rFonts w:hint="eastAsia"/>
          <w:szCs w:val="32"/>
        </w:rPr>
        <w:t>其他社会保障缴费</w:t>
      </w:r>
      <w:r>
        <w:rPr>
          <w:rFonts w:hint="eastAsia"/>
          <w:szCs w:val="32"/>
          <w:lang w:eastAsia="zh-CN"/>
        </w:rPr>
        <w:t>、</w:t>
      </w:r>
      <w:r>
        <w:rPr>
          <w:rFonts w:hint="eastAsia"/>
          <w:szCs w:val="32"/>
        </w:rPr>
        <w:t>住房公积金</w:t>
      </w:r>
      <w:r>
        <w:rPr>
          <w:rFonts w:hint="eastAsia"/>
          <w:szCs w:val="32"/>
          <w:lang w:eastAsia="zh-CN"/>
        </w:rPr>
        <w:t>、</w:t>
      </w:r>
      <w:r>
        <w:rPr>
          <w:rFonts w:hint="eastAsia"/>
          <w:szCs w:val="32"/>
        </w:rPr>
        <w:t>医疗费</w:t>
      </w:r>
      <w:r>
        <w:rPr>
          <w:rFonts w:hint="eastAsia"/>
          <w:szCs w:val="32"/>
          <w:lang w:eastAsia="zh-CN"/>
        </w:rPr>
        <w:t>、</w:t>
      </w:r>
      <w:r>
        <w:rPr>
          <w:rFonts w:hint="eastAsia"/>
          <w:szCs w:val="32"/>
        </w:rPr>
        <w:t>其他工资福利支出</w:t>
      </w:r>
      <w:r>
        <w:rPr>
          <w:rFonts w:hint="eastAsia"/>
          <w:szCs w:val="32"/>
          <w:lang w:eastAsia="zh-CN"/>
        </w:rPr>
        <w:t>、</w:t>
      </w:r>
      <w:r>
        <w:rPr>
          <w:rFonts w:hint="eastAsia"/>
          <w:szCs w:val="32"/>
          <w:lang w:val="en-US" w:eastAsia="zh-CN"/>
        </w:rPr>
        <w:t>退休费、</w:t>
      </w:r>
      <w:r>
        <w:rPr>
          <w:kern w:val="0"/>
          <w:szCs w:val="32"/>
        </w:rPr>
        <w:t>其他对个人和家庭的补助。</w:t>
      </w:r>
    </w:p>
    <w:p>
      <w:pPr>
        <w:ind w:firstLineChars="200" w:firstLine="640"/>
        <w:rPr>
          <w:rFonts w:eastAsia="楷体"/>
          <w:szCs w:val="32"/>
        </w:rPr>
      </w:pPr>
      <w:r>
        <w:rPr>
          <w:kern w:val="0"/>
          <w:szCs w:val="32"/>
        </w:rPr>
        <w:t>公用经费</w:t>
      </w:r>
      <w:r>
        <w:rPr>
          <w:rFonts w:hint="eastAsia"/>
          <w:szCs w:val="32"/>
        </w:rPr>
        <w:t>18.83</w:t>
      </w:r>
      <w:r>
        <w:rPr>
          <w:szCs w:val="32"/>
        </w:rPr>
        <w:t>万元，主要包括：</w:t>
      </w:r>
      <w:r>
        <w:rPr>
          <w:rFonts w:hint="eastAsia"/>
          <w:szCs w:val="32"/>
        </w:rPr>
        <w:t>办公费</w:t>
      </w:r>
      <w:r>
        <w:rPr>
          <w:rFonts w:hint="eastAsia"/>
          <w:szCs w:val="32"/>
          <w:lang w:eastAsia="zh-CN"/>
        </w:rPr>
        <w:t>、</w:t>
      </w:r>
      <w:r>
        <w:rPr>
          <w:rFonts w:hint="eastAsia"/>
          <w:szCs w:val="32"/>
        </w:rPr>
        <w:t>差旅费</w:t>
      </w:r>
      <w:r>
        <w:rPr>
          <w:rFonts w:hint="eastAsia"/>
          <w:szCs w:val="32"/>
          <w:lang w:eastAsia="zh-CN"/>
        </w:rPr>
        <w:t>、</w:t>
      </w:r>
      <w:r>
        <w:rPr>
          <w:rFonts w:hint="eastAsia"/>
          <w:szCs w:val="32"/>
        </w:rPr>
        <w:t>会议费</w:t>
      </w:r>
      <w:r>
        <w:rPr>
          <w:rFonts w:hint="eastAsia"/>
          <w:szCs w:val="32"/>
          <w:lang w:eastAsia="zh-CN"/>
        </w:rPr>
        <w:t>、</w:t>
      </w:r>
      <w:r>
        <w:rPr>
          <w:rFonts w:hint="eastAsia"/>
          <w:szCs w:val="32"/>
        </w:rPr>
        <w:t>培训费</w:t>
      </w:r>
      <w:r>
        <w:rPr>
          <w:rFonts w:hint="eastAsia"/>
          <w:szCs w:val="32"/>
          <w:lang w:eastAsia="zh-CN"/>
        </w:rPr>
        <w:t>、</w:t>
      </w:r>
      <w:r>
        <w:rPr>
          <w:rFonts w:hint="eastAsia"/>
          <w:szCs w:val="32"/>
        </w:rPr>
        <w:t>工会经费</w:t>
      </w:r>
      <w:r>
        <w:rPr>
          <w:rFonts w:hint="eastAsia"/>
          <w:szCs w:val="32"/>
          <w:lang w:eastAsia="zh-CN"/>
        </w:rPr>
        <w:t>、</w:t>
      </w:r>
      <w:r>
        <w:rPr>
          <w:rFonts w:hint="eastAsia"/>
          <w:szCs w:val="32"/>
        </w:rPr>
        <w:t>福利费</w:t>
      </w:r>
      <w:r>
        <w:rPr>
          <w:rFonts w:hint="eastAsia"/>
          <w:szCs w:val="32"/>
          <w:lang w:eastAsia="zh-CN"/>
        </w:rPr>
        <w:t>、</w:t>
      </w:r>
      <w:r>
        <w:rPr>
          <w:rFonts w:hint="eastAsia"/>
          <w:szCs w:val="32"/>
        </w:rPr>
        <w:t>其他交通费用</w:t>
      </w:r>
      <w:r>
        <w:rPr>
          <w:rFonts w:hint="eastAsia"/>
          <w:szCs w:val="32"/>
          <w:lang w:eastAsia="zh-CN"/>
        </w:rPr>
        <w:t>、</w:t>
      </w:r>
      <w:r>
        <w:rPr>
          <w:rFonts w:hint="eastAsia"/>
          <w:szCs w:val="32"/>
        </w:rPr>
        <w:t>其他商品和服务支出</w:t>
      </w:r>
      <w:r>
        <w:rPr>
          <w:rFonts w:hint="eastAsia"/>
          <w:szCs w:val="32"/>
          <w:lang w:eastAsia="zh-CN"/>
        </w:rPr>
        <w:t>、办公设备购置。</w:t>
      </w:r>
    </w:p>
    <w:p>
      <w:pPr>
        <w:ind w:firstLineChars="200" w:firstLine="640"/>
        <w:rPr>
          <w:rFonts w:eastAsia="黑体"/>
          <w:szCs w:val="30"/>
        </w:rPr>
      </w:pPr>
      <w:r>
        <w:rPr>
          <w:rFonts w:eastAsia="黑体"/>
          <w:szCs w:val="30"/>
        </w:rPr>
        <w:t>七、20</w:t>
      </w:r>
      <w:r>
        <w:rPr>
          <w:rFonts w:eastAsia="黑体" w:hint="eastAsia"/>
          <w:szCs w:val="30"/>
        </w:rPr>
        <w:t>2</w:t>
      </w:r>
      <w:r>
        <w:rPr>
          <w:rFonts w:hint="eastAsia"/>
          <w:szCs w:val="32"/>
          <w:lang w:val="en-US" w:eastAsia="zh-CN"/>
        </w:rPr>
        <w:t>5</w:t>
      </w:r>
      <w:r>
        <w:rPr>
          <w:rFonts w:eastAsia="黑体"/>
          <w:szCs w:val="30"/>
        </w:rPr>
        <w:t>年一般公共预算</w:t>
      </w:r>
      <w:r>
        <w:rPr>
          <w:rFonts w:eastAsia="黑体" w:hint="eastAsia"/>
          <w:szCs w:val="30"/>
        </w:rPr>
        <w:t>财政拨款</w:t>
      </w:r>
      <w:r>
        <w:rPr>
          <w:rFonts w:eastAsia="黑体"/>
          <w:szCs w:val="30"/>
        </w:rPr>
        <w:t>“三公”经费情况</w:t>
      </w:r>
    </w:p>
    <w:p>
      <w:pPr>
        <w:ind w:firstLineChars="200" w:firstLine="640"/>
        <w:rPr>
          <w:rFonts w:eastAsia="仿宋_GB2312"/>
          <w:szCs w:val="32"/>
          <w:lang w:val="en-US" w:eastAsia="zh-CN"/>
        </w:rPr>
      </w:pPr>
      <w:r>
        <w:rPr>
          <w:rFonts w:hint="eastAsia"/>
          <w:szCs w:val="32"/>
          <w:lang w:val="en-US" w:eastAsia="zh-CN"/>
        </w:rPr>
        <w:t>本单位无一般公共预算拨款。</w:t>
      </w:r>
    </w:p>
    <w:p>
      <w:pPr>
        <w:ind w:firstLineChars="200" w:firstLine="640"/>
        <w:rPr>
          <w:rFonts w:eastAsia="黑体"/>
          <w:szCs w:val="32"/>
        </w:rPr>
      </w:pPr>
      <w:r>
        <w:rPr>
          <w:rFonts w:eastAsia="黑体"/>
          <w:szCs w:val="32"/>
        </w:rPr>
        <w:t>八、20</w:t>
      </w:r>
      <w:r>
        <w:rPr>
          <w:rFonts w:eastAsia="黑体" w:hint="eastAsia"/>
          <w:szCs w:val="32"/>
        </w:rPr>
        <w:t>2</w:t>
      </w:r>
      <w:r>
        <w:rPr>
          <w:rFonts w:eastAsia="黑体" w:hint="eastAsia"/>
          <w:szCs w:val="32"/>
          <w:lang w:val="en-US" w:eastAsia="zh-CN"/>
        </w:rPr>
        <w:t>5</w:t>
      </w:r>
      <w:r>
        <w:rPr>
          <w:rFonts w:eastAsia="黑体"/>
          <w:szCs w:val="32"/>
        </w:rPr>
        <w:t>年政府性基金预算支出情况</w:t>
      </w:r>
    </w:p>
    <w:p>
      <w:pPr>
        <w:ind w:firstLineChars="200" w:firstLine="640"/>
        <w:rPr>
          <w:rFonts w:eastAsia="楷体"/>
          <w:szCs w:val="32"/>
        </w:rPr>
      </w:pPr>
      <w:r>
        <w:rPr>
          <w:rFonts w:hint="eastAsia"/>
          <w:szCs w:val="32"/>
          <w:lang w:val="en-US" w:eastAsia="zh-CN"/>
        </w:rPr>
        <w:t>本单位无政府性基金预算拨款。</w:t>
      </w:r>
    </w:p>
    <w:p>
      <w:pPr>
        <w:ind w:firstLineChars="200" w:firstLine="640"/>
        <w:rPr>
          <w:rFonts w:eastAsia="黑体"/>
          <w:szCs w:val="32"/>
        </w:rPr>
      </w:pPr>
      <w:r>
        <w:rPr>
          <w:rFonts w:eastAsia="黑体" w:hint="eastAsia"/>
          <w:szCs w:val="32"/>
        </w:rPr>
        <w:t>九</w:t>
      </w:r>
      <w:r>
        <w:rPr>
          <w:rFonts w:eastAsia="黑体"/>
          <w:szCs w:val="32"/>
        </w:rPr>
        <w:t>、20</w:t>
      </w:r>
      <w:r>
        <w:rPr>
          <w:rFonts w:eastAsia="黑体" w:hint="eastAsia"/>
          <w:szCs w:val="32"/>
        </w:rPr>
        <w:t>2</w:t>
      </w:r>
      <w:r>
        <w:rPr>
          <w:rFonts w:eastAsia="黑体" w:hint="eastAsia"/>
          <w:szCs w:val="32"/>
          <w:lang w:val="en-US" w:eastAsia="zh-CN"/>
        </w:rPr>
        <w:t>5</w:t>
      </w:r>
      <w:r>
        <w:rPr>
          <w:rFonts w:eastAsia="黑体"/>
          <w:szCs w:val="32"/>
        </w:rPr>
        <w:t>年</w:t>
      </w:r>
      <w:r>
        <w:rPr>
          <w:rFonts w:eastAsia="黑体" w:hint="eastAsia"/>
          <w:szCs w:val="32"/>
        </w:rPr>
        <w:t>国有资本经营</w:t>
      </w:r>
      <w:r>
        <w:rPr>
          <w:rFonts w:eastAsia="黑体"/>
          <w:szCs w:val="32"/>
        </w:rPr>
        <w:t>预算支出情况</w:t>
      </w:r>
    </w:p>
    <w:p>
      <w:pPr>
        <w:ind w:firstLineChars="200" w:firstLine="640"/>
        <w:rPr>
          <w:rFonts w:eastAsia="楷体"/>
          <w:szCs w:val="32"/>
        </w:rPr>
      </w:pPr>
      <w:r>
        <w:rPr>
          <w:rFonts w:hint="eastAsia"/>
          <w:szCs w:val="32"/>
          <w:lang w:val="en-US" w:eastAsia="zh-CN"/>
        </w:rPr>
        <w:t>本单位无国有资本经营预算拨款。</w:t>
      </w:r>
    </w:p>
    <w:p>
      <w:pPr>
        <w:ind w:firstLine="640"/>
        <w:rPr>
          <w:rFonts w:eastAsia="黑体"/>
          <w:szCs w:val="32"/>
        </w:rPr>
      </w:pPr>
      <w:r>
        <w:rPr>
          <w:rFonts w:eastAsia="黑体" w:hint="eastAsia"/>
          <w:szCs w:val="32"/>
        </w:rPr>
        <w:t>十</w:t>
      </w:r>
      <w:r>
        <w:rPr>
          <w:rFonts w:eastAsia="黑体"/>
          <w:szCs w:val="32"/>
        </w:rPr>
        <w:t>、其他重要事项的说明情况</w:t>
      </w:r>
    </w:p>
    <w:p>
      <w:pPr>
        <w:spacing w:line="540" w:lineRule="exact"/>
        <w:ind w:firstLineChars="200" w:firstLine="640"/>
        <w:rPr>
          <w:rFonts w:eastAsia="楷体"/>
          <w:szCs w:val="32"/>
        </w:rPr>
      </w:pPr>
      <w:r>
        <w:rPr>
          <w:rFonts w:eastAsia="楷体"/>
          <w:szCs w:val="32"/>
        </w:rPr>
        <w:t>（一）机关运行经费</w:t>
      </w:r>
    </w:p>
    <w:p>
      <w:pPr>
        <w:spacing w:line="540" w:lineRule="exact"/>
        <w:ind w:firstLineChars="200" w:firstLine="640"/>
        <w:rPr>
          <w:szCs w:val="32"/>
        </w:rPr>
      </w:pPr>
      <w:r>
        <w:rPr>
          <w:szCs w:val="32"/>
        </w:rPr>
        <w:t>20</w:t>
      </w:r>
      <w:r>
        <w:rPr>
          <w:rFonts w:hint="eastAsia"/>
          <w:szCs w:val="32"/>
        </w:rPr>
        <w:t>2</w:t>
      </w:r>
      <w:r>
        <w:rPr>
          <w:rFonts w:hint="eastAsia"/>
          <w:szCs w:val="32"/>
          <w:lang w:val="en-US" w:eastAsia="zh-CN"/>
        </w:rPr>
        <w:t>5本</w:t>
      </w:r>
      <w:r>
        <w:rPr>
          <w:szCs w:val="32"/>
        </w:rPr>
        <w:t>单位</w:t>
      </w:r>
      <w:r>
        <w:rPr>
          <w:rFonts w:hint="eastAsia"/>
          <w:szCs w:val="32"/>
          <w:lang w:val="en-US" w:eastAsia="zh-CN"/>
        </w:rPr>
        <w:t>1家行政单位</w:t>
      </w:r>
      <w:r>
        <w:rPr>
          <w:szCs w:val="32"/>
        </w:rPr>
        <w:t>的机关运行经费财政拨款预算</w:t>
      </w:r>
      <w:r>
        <w:rPr>
          <w:rFonts w:hint="eastAsia"/>
          <w:szCs w:val="32"/>
          <w:lang w:val="en-US" w:eastAsia="zh-CN"/>
        </w:rPr>
        <w:t>18.83</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5.45</w:t>
      </w:r>
      <w:r>
        <w:rPr>
          <w:szCs w:val="32"/>
        </w:rPr>
        <w:t>万元，下降</w:t>
      </w:r>
      <w:r>
        <w:rPr>
          <w:rFonts w:hint="eastAsia"/>
          <w:szCs w:val="32"/>
          <w:lang w:val="en-US" w:eastAsia="zh-CN"/>
        </w:rPr>
        <w:t>22.45</w:t>
      </w:r>
      <w:r>
        <w:rPr>
          <w:szCs w:val="32"/>
        </w:rPr>
        <w:t>%</w:t>
      </w:r>
      <w:r>
        <w:rPr>
          <w:rFonts w:hint="eastAsia"/>
          <w:szCs w:val="32"/>
        </w:rPr>
        <w:t>，主要原因是</w:t>
      </w:r>
      <w:r>
        <w:rPr>
          <w:rFonts w:hint="eastAsia"/>
          <w:szCs w:val="32"/>
          <w:lang w:val="en-US" w:eastAsia="zh-CN"/>
        </w:rPr>
        <w:t>本单位坚持“过紧日子”思想，厉行勤俭节约，压减机关运行经费</w:t>
      </w:r>
      <w:r>
        <w:rPr>
          <w:szCs w:val="32"/>
        </w:rPr>
        <w:t>。</w:t>
      </w:r>
    </w:p>
    <w:p>
      <w:pPr>
        <w:spacing w:line="540" w:lineRule="exact"/>
        <w:ind w:firstLineChars="200" w:firstLine="640"/>
        <w:rPr>
          <w:rFonts w:eastAsia="楷体"/>
          <w:szCs w:val="32"/>
        </w:rPr>
      </w:pPr>
      <w:r>
        <w:rPr>
          <w:rFonts w:eastAsia="楷体"/>
          <w:szCs w:val="32"/>
        </w:rPr>
        <w:t>（二）政府采购情况</w:t>
      </w:r>
    </w:p>
    <w:p>
      <w:pPr>
        <w:ind w:firstLineChars="200" w:firstLine="640"/>
        <w:rPr>
          <w:rFonts w:ascii="仿宋_GB2312" w:eastAsia="仿宋_GB2312" w:cs="仿宋_GB2312" w:hint="eastAsia"/>
          <w:sz w:val="32"/>
          <w:szCs w:val="32"/>
          <w:lang w:val="en-US" w:eastAsia="zh-CN" w:bidi="ar-SA"/>
        </w:rPr>
      </w:pPr>
      <w:r>
        <w:rPr>
          <w:rFonts w:ascii="仿宋_GB2312" w:eastAsia="仿宋_GB2312" w:cs="仿宋_GB2312" w:hint="eastAsia"/>
          <w:sz w:val="32"/>
          <w:szCs w:val="32"/>
          <w:lang w:val="en-US" w:eastAsia="zh-CN" w:bidi="ar-SA"/>
        </w:rPr>
        <w:t>本单位无政府采购预算。</w:t>
      </w:r>
    </w:p>
    <w:p>
      <w:pPr>
        <w:spacing w:line="540" w:lineRule="exact"/>
        <w:ind w:firstLineChars="200" w:firstLine="640"/>
        <w:rPr>
          <w:rFonts w:eastAsia="楷体"/>
          <w:szCs w:val="32"/>
        </w:rPr>
      </w:pPr>
      <w:r>
        <w:rPr>
          <w:rFonts w:eastAsia="楷体"/>
          <w:szCs w:val="32"/>
        </w:rPr>
        <w:t>（三）国有资产占有使用情况</w:t>
      </w:r>
    </w:p>
    <w:p>
      <w:pPr>
        <w:spacing w:line="540" w:lineRule="exact"/>
        <w:ind w:firstLineChars="200" w:firstLine="640"/>
        <w:rPr>
          <w:rFonts w:hint="eastAsia"/>
          <w:szCs w:val="32"/>
        </w:rPr>
      </w:pPr>
      <w:r>
        <w:rPr>
          <w:rFonts w:hint="eastAsia"/>
          <w:szCs w:val="32"/>
          <w:lang w:val="en-US" w:eastAsia="zh-CN"/>
        </w:rPr>
        <w:t>本单位无国有资产占有使用情况。</w:t>
      </w:r>
    </w:p>
    <w:p>
      <w:pPr>
        <w:numPr>
          <w:ilvl w:val="0"/>
          <w:numId w:val="1"/>
        </w:numPr>
        <w:spacing w:line="540" w:lineRule="exact"/>
        <w:ind w:left="0" w:firstLineChars="200" w:firstLine="640"/>
        <w:rPr>
          <w:rFonts w:eastAsia="楷体" w:hint="eastAsia"/>
          <w:szCs w:val="32"/>
        </w:rPr>
      </w:pPr>
      <w:r>
        <w:rPr>
          <w:rFonts w:eastAsia="楷体" w:hint="eastAsia"/>
          <w:szCs w:val="32"/>
        </w:rPr>
        <w:t>项目支出情况说明</w:t>
      </w:r>
    </w:p>
    <w:p>
      <w:pPr>
        <w:spacing w:line="540" w:lineRule="exact"/>
        <w:ind w:firstLineChars="200" w:firstLine="640"/>
      </w:pPr>
      <w:r>
        <w:t>202</w:t>
      </w:r>
      <w:r>
        <w:rPr>
          <w:rFonts w:hint="eastAsia"/>
          <w:lang w:val="en-US" w:eastAsia="zh-CN"/>
        </w:rPr>
        <w:t>5</w:t>
      </w:r>
      <w:r>
        <w:t>年</w:t>
      </w:r>
      <w:r>
        <w:rPr>
          <w:rFonts w:hint="eastAsia"/>
          <w:lang w:eastAsia="zh-CN"/>
        </w:rPr>
        <w:t>单位</w:t>
      </w:r>
      <w:r>
        <w:t>项目支出</w:t>
      </w:r>
      <w:r>
        <w:rPr>
          <w:rFonts w:hint="eastAsia"/>
          <w:szCs w:val="32"/>
        </w:rPr>
        <w:t>16.6</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本年拨款16.6</w:t>
      </w:r>
      <w:r>
        <w:rPr>
          <w:szCs w:val="32"/>
        </w:rPr>
        <w:t>万元，</w:t>
      </w:r>
      <w:r>
        <w:rPr>
          <w:rFonts w:hint="eastAsia"/>
          <w:szCs w:val="32"/>
        </w:rPr>
        <w:t>财政拨款结转</w:t>
      </w:r>
      <w:r>
        <w:rPr>
          <w:rFonts w:hint="eastAsia"/>
          <w:szCs w:val="32"/>
          <w:lang w:val="en-US" w:eastAsia="zh-CN"/>
        </w:rPr>
        <w:t>0</w:t>
      </w:r>
      <w:r>
        <w:rPr>
          <w:szCs w:val="32"/>
        </w:rPr>
        <w:t>万元。</w:t>
      </w:r>
    </w:p>
    <w:p>
      <w:pPr>
        <w:spacing w:line="540" w:lineRule="exact"/>
        <w:ind w:firstLineChars="200" w:firstLine="640"/>
        <w:rPr>
          <w:rFonts w:eastAsia="楷体"/>
          <w:szCs w:val="32"/>
        </w:rPr>
      </w:pPr>
      <w:r>
        <w:rPr>
          <w:rFonts w:eastAsia="楷体" w:hint="eastAsia"/>
          <w:szCs w:val="32"/>
        </w:rPr>
        <w:t>（五）项目支出绩效目标情况说明</w:t>
      </w:r>
    </w:p>
    <w:p>
      <w:pPr>
        <w:ind w:firstLine="645"/>
        <w:rPr>
          <w:rFonts w:eastAsia="楷体"/>
          <w:szCs w:val="32"/>
        </w:rPr>
      </w:pPr>
      <w:r>
        <w:rPr>
          <w:rFonts w:ascii="宋体" w:hAnsi="宋体" w:hint="eastAsia"/>
        </w:rPr>
        <w:t>按照全面实施预算绩效管理的要求，结合本</w:t>
      </w:r>
      <w:r>
        <w:rPr>
          <w:rFonts w:ascii="宋体" w:hAnsi="宋体" w:hint="eastAsia"/>
          <w:lang w:eastAsia="zh-CN"/>
        </w:rPr>
        <w:t>单位</w:t>
      </w:r>
      <w:r>
        <w:rPr>
          <w:rFonts w:ascii="宋体" w:hAnsi="宋体" w:hint="eastAsia"/>
        </w:rPr>
        <w:t>职能和重点工作，202</w:t>
      </w:r>
      <w:r>
        <w:rPr>
          <w:rFonts w:ascii="宋体" w:hAnsi="宋体" w:hint="eastAsia"/>
          <w:lang w:val="en-US" w:eastAsia="zh-CN"/>
        </w:rPr>
        <w:t>5</w:t>
      </w:r>
      <w:r>
        <w:rPr>
          <w:rFonts w:ascii="宋体" w:hAnsi="宋体" w:hint="eastAsia"/>
        </w:rPr>
        <w:t>年</w:t>
      </w:r>
      <w:r>
        <w:rPr>
          <w:rFonts w:ascii="宋体" w:hAnsi="宋体" w:hint="eastAsia"/>
          <w:lang w:eastAsia="zh-CN"/>
        </w:rPr>
        <w:t>将</w:t>
      </w:r>
      <w:r>
        <w:rPr>
          <w:rFonts w:hint="eastAsia"/>
          <w:szCs w:val="32"/>
          <w:lang w:val="en-US" w:eastAsia="zh-CN"/>
        </w:rPr>
        <w:t>1</w:t>
      </w:r>
      <w:r>
        <w:rPr>
          <w:rFonts w:ascii="宋体" w:hAnsi="宋体" w:hint="eastAsia"/>
        </w:rPr>
        <w:t>个项目支出的绩效目标和指标向社会公开，涉及金额</w:t>
      </w:r>
      <w:r>
        <w:rPr>
          <w:rFonts w:hint="eastAsia"/>
          <w:szCs w:val="32"/>
          <w:lang w:val="en-US" w:eastAsia="zh-CN"/>
        </w:rPr>
        <w:t>16.6</w:t>
      </w:r>
      <w:r>
        <w:rPr>
          <w:rFonts w:ascii="宋体" w:hAnsi="宋体" w:hint="eastAsia"/>
        </w:rPr>
        <w:t>万元。</w:t>
      </w: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ascii="宋体" w:eastAsia="仿宋_GB2312" w:cs="Times New Roman" w:hAnsi="宋体" w:hint="eastAsia"/>
          <w:sz w:val="32"/>
          <w:szCs w:val="32"/>
          <w:lang w:val="en-US" w:eastAsia="zh-CN"/>
        </w:rPr>
      </w:pPr>
      <w:r>
        <w:rPr>
          <w:rFonts w:eastAsia="楷体" w:hint="eastAsia"/>
          <w:szCs w:val="32"/>
        </w:rPr>
        <w:t>（五）</w:t>
      </w:r>
      <w:r>
        <w:rPr>
          <w:rFonts w:eastAsia="楷体"/>
          <w:szCs w:val="32"/>
        </w:rPr>
        <w:t>事业收入：</w:t>
      </w:r>
      <w:r>
        <w:rPr>
          <w:rFonts w:ascii="宋体" w:cs="Times New Roman" w:hAnsi="宋体" w:hint="eastAsia"/>
          <w:sz w:val="32"/>
          <w:szCs w:val="32"/>
          <w:lang w:val="en-US" w:eastAsia="zh-CN"/>
        </w:rPr>
        <w:t>是指</w:t>
      </w:r>
      <w:r>
        <w:rPr>
          <w:rFonts w:ascii="宋体" w:eastAsia="仿宋_GB2312" w:cs="Times New Roman" w:hAnsi="宋体" w:hint="eastAsia"/>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pPr>
        <w:ind w:firstLineChars="200" w:firstLine="640"/>
        <w:jc w:val="both"/>
        <w:rPr>
          <w:rFonts w:ascii="宋体" w:eastAsia="仿宋_GB2312" w:cs="Times New Roman" w:hAnsi="宋体" w:hint="eastAsia"/>
          <w:sz w:val="32"/>
          <w:szCs w:val="32"/>
          <w:lang w:val="en-US" w:eastAsia="zh-CN"/>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cs="Times New Roman" w:hAnsi="宋体" w:hint="eastAsia"/>
          <w:sz w:val="32"/>
          <w:szCs w:val="32"/>
          <w:lang w:val="en-US" w:eastAsia="zh-CN"/>
        </w:rPr>
        <w:t>是指本单位所属下级单位上缴给本单位的全部收入。包括下级事业单位上缴的事业收入、其他收入和下级企业单位上缴的利润等。</w:t>
      </w:r>
    </w:p>
    <w:p>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_GB2312" w:hint="eastAsia"/>
          <w:szCs w:val="32"/>
          <w:lang w:eastAsia="zh-CN"/>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eastAsia="楷体" w:hint="eastAsia"/>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640"/>
        <w:rPr>
          <w:szCs w:val="32"/>
        </w:rPr>
      </w:pPr>
      <w:r>
        <w:rPr>
          <w:rFonts w:eastAsia="楷体"/>
          <w:szCs w:val="32"/>
        </w:rPr>
        <w:t>（</w:t>
      </w:r>
      <w:r>
        <w:rPr>
          <w:rFonts w:eastAsia="楷体" w:hint="eastAsia"/>
          <w:szCs w:val="32"/>
          <w:lang w:eastAsia="zh-CN"/>
        </w:rPr>
        <w:t>十九</w:t>
      </w:r>
      <w:r>
        <w:rPr>
          <w:rFonts w:eastAsia="楷体"/>
          <w:szCs w:val="32"/>
        </w:rPr>
        <w:t>）</w:t>
      </w:r>
      <w:r>
        <w:rPr>
          <w:rFonts w:eastAsia="楷体" w:hint="eastAsia"/>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细黑">
    <w:panose1 w:val="02010600040101010101"/>
    <w:charset w:val="86"/>
    <w:family w:val="auto"/>
    <w:pitch w:val="variable"/>
    <w:sig w:usb0="00000287" w:usb1="080F0000" w:usb2="00000000" w:usb3="00000000" w:csb0="0004009F" w:csb1="DFD7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Times New Roman">
    <w:panose1 w:val="02020603050405020304"/>
    <w:charset w:val="86"/>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200247B" w:usb2="00000009" w:usb3="00000000" w:csb0="200001FF" w:csb1="00000000"/>
  </w:font>
  <w:font w:name="仿宋">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 xml:space="preserve">PAGE  </w:instrText>
    </w:r>
    <w:r>
      <w:fldChar w:fldCharType="separate"/>
    </w:r>
    <w:r>
      <w:rPr>
        <w:rStyle w:val="22"/>
      </w:rPr>
      <w:t>0</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r>
      <w:rPr>
        <w:sz w:val="18"/>
      </w:rP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533400" cy="230251"/>
              <wp:effectExtent l="0" t="0" r="0" b="0"/>
              <wp:wrapNone/>
              <wp:docPr id="1" name="文本框 21"/>
              <wp:cNvGraphicFramePr>
                <a:graphicFrameLocks noChangeAspect="0"/>
              </wp:cNvGraphicFramePr>
              <a:graphic>
                <a:graphicData uri="http://schemas.microsoft.com/office/word/2010/wordprocessingShape">
                  <wps:wsp>
                    <wps:cNvSpPr/>
                    <wps:spPr>
                      <a:xfrm rot="0">
                        <a:off x="0" y="0"/>
                        <a:ext cx="533400" cy="230251"/>
                      </a:xfrm>
                      <a:prstGeom prst="rect"/>
                      <a:noFill/>
                      <a:ln w="9525" cmpd="sng" cap="flat">
                        <a:noFill/>
                        <a:prstDash val="solid"/>
                        <a:round/>
                      </a:ln>
                    </wps:spPr>
                    <wps:txbx id="2">
                      <w:txbxContent>
                        <w:p>
                          <w:pPr>
                            <w:snapToGrid w:val="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- 3 -</w:t>
                          </w:r>
                          <w:r>
                            <w:rPr>
                              <w:rFonts w:ascii="宋体" w:eastAsia="宋体" w:cs="宋体"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21 3" o:spid="_x0000_s3" filled="f" stroked="f" style="position:absolute;margin-left:0.0pt;margin-top:0.0pt;width:42.0pt;height:18.130003pt;z-index:15;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- 3 -</w:t>
                    </w:r>
                    <w:r>
                      <w:rPr>
                        <w:rFonts w:ascii="宋体" w:eastAsia="宋体" w:cs="宋体" w:hint="eastAsia"/>
                        <w:sz w:val="28"/>
                        <w:szCs w:val="28"/>
                        <w:lang w:eastAsia="zh-CN"/>
                      </w:rPr>
                      <w:fldChar w:fldCharType="end"/>
                    </w:r>
                  </w:p>
                </w:txbxContent>
              </v:textbox>
            </v:shape>
          </w:pict>
        </mc:Fallback>
      </mc:AlternateContent>
    </w:r>
  </w:p>
  <w:p>
    <w:pPr>
      <w:pStyle w:val="19"/>
      <w:tabs>
        <w:tab w:val="clear" w:pos="4153"/>
        <w:tab w:val="clear" w:pos="8306"/>
        <w:tab w:val="left" w:pos="5124"/>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3" behindDoc="0" locked="0" layoutInCell="1" hidden="0" allowOverlap="1">
              <wp:simplePos x="0" y="0"/>
              <wp:positionH relativeFrom="margin">
                <wp:align>center</wp:align>
              </wp:positionH>
              <wp:positionV relativeFrom="paragraph">
                <wp:posOffset>0</wp:posOffset>
              </wp:positionV>
              <wp:extent cx="247573" cy="131559"/>
              <wp:effectExtent l="0" t="0" r="0" b="0"/>
              <wp:wrapNone/>
              <wp:docPr id="4" name="文本框 8"/>
              <wp:cNvGraphicFramePr>
                <a:graphicFrameLocks noChangeAspect="0"/>
              </wp:cNvGraphicFramePr>
              <a:graphic>
                <a:graphicData uri="http://schemas.microsoft.com/office/word/2010/wordprocessingShape">
                  <wps:wsp>
                    <wps:cNvSpPr/>
                    <wps:spPr>
                      <a:xfrm rot="0">
                        <a:off x="0" y="0"/>
                        <a:ext cx="247573" cy="131559"/>
                      </a:xfrm>
                      <a:prstGeom prst="rect"/>
                      <a:noFill/>
                      <a:ln w="9525" cmpd="sng" cap="flat">
                        <a:noFill/>
                        <a:prstDash val="solid"/>
                        <a:round/>
                      </a:ln>
                    </wps:spPr>
                    <wps:txbx id="5">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8 6" o:spid="_x0000_s6" filled="f" stroked="f" style="position:absolute;margin-left:0.0pt;margin-top:0.0pt;width:19.494003pt;height:10.358989pt;z-index:13;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109"/>
  <w:drawingGridHorizontalSpacing w:val="156"/>
  <w:drawingGridVerticalSpacing w:val="287"/>
  <w:displayHorizontalDrawingGridEvery w:val="1"/>
  <w:displayVerticalDrawingGridEvery w:val="1"/>
  <w:noPunctuationKerning/>
  <w:characterSpacingControl w:val="compressPunctuation"/>
  <w:compat>
    <w:spaceForUL/>
    <w:balanceSingleByteDoubleByteWidth/>
    <w:doNotExpandShiftReturn/>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tabs>
        <w:tab w:val="left" w:pos="8372"/>
      </w:tabs>
      <w:spacing w:line="540" w:lineRule="exact"/>
      <w:ind w:firstLine="630"/>
    </w:pPr>
    <w:rPr>
      <w:rFonts w:eastAsia="黑体"/>
    </w:rPr>
  </w:style>
  <w:style w:type="paragraph" w:styleId="16">
    <w:name w:val="Date"/>
    <w:basedOn w:val="0"/>
    <w:next w:val="0"/>
  </w:style>
  <w:style w:type="paragraph" w:styleId="17">
    <w:name w:val="Body Text Indent 2"/>
    <w:basedOn w:val="0"/>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szCs w:val="24"/>
    </w:rPr>
  </w:style>
  <w:style w:type="character" w:styleId="22">
    <w:name w:val="page number"/>
    <w:basedOn w:val="10"/>
  </w:style>
  <w:style w:type="character" w:customStyle="1" w:styleId="23">
    <w:name w:val="font21"/>
    <w:rPr>
      <w:rFonts w:ascii="Arial" w:cs="Arial" w:hAnsi="Arial"/>
      <w:color w:val="000000"/>
      <w:sz w:val="20"/>
      <w:szCs w:val="20"/>
      <w:u w:val="none"/>
    </w:rPr>
  </w:style>
  <w:style w:type="character" w:customStyle="1" w:styleId="24">
    <w:name w:val="font61"/>
    <w:rPr>
      <w:rFonts w:ascii="宋体" w:eastAsia="宋体" w:cs="宋体"/>
      <w:color w:val="000000"/>
      <w:sz w:val="24"/>
      <w:szCs w:val="24"/>
      <w:u w:val="none"/>
    </w:rPr>
  </w:style>
  <w:style w:type="character" w:customStyle="1" w:styleId="25">
    <w:name w:val="font01"/>
    <w:rPr>
      <w:rFonts w:ascii="Times New Roman" w:cs="Times New Roman" w:hAnsi="Times New Roman"/>
      <w:color w:val="000000"/>
      <w:sz w:val="24"/>
      <w:szCs w:val="24"/>
      <w:u w:val="none"/>
    </w:rPr>
  </w:style>
  <w:style w:type="character" w:customStyle="1" w:styleId="26">
    <w:name w:val="font41"/>
    <w:rPr>
      <w:rFonts w:ascii="华文细黑" w:eastAsia="华文细黑" w:cs="华文细黑"/>
      <w:color w:val="000000"/>
      <w:sz w:val="20"/>
      <w:szCs w:val="20"/>
      <w:u w:val="none"/>
    </w:rPr>
  </w:style>
  <w:style w:type="character" w:customStyle="1" w:styleId="27">
    <w:name w:val="font11"/>
    <w:rPr>
      <w:rFonts w:ascii="Arial" w:cs="Arial" w:hAnsi="Arial"/>
      <w:color w:val="000000"/>
      <w:sz w:val="24"/>
      <w:szCs w:val="24"/>
      <w:u w:val="none"/>
    </w:rPr>
  </w:style>
  <w:style w:type="paragraph" w:customStyle="1" w:styleId="28">
    <w:name w:val="页眉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29">
    <w:name w:val="页眉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0">
    <w:name w:val="页脚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1">
    <w:name w:val="p0"/>
    <w:basedOn w:val="0"/>
    <w:pPr>
      <w:widowControl/>
    </w:pPr>
    <w:rPr>
      <w:rFonts w:eastAsia="宋体"/>
      <w:kern w:val="0"/>
      <w:szCs w:val="32"/>
    </w:rPr>
  </w:style>
  <w:style w:type="paragraph" w:customStyle="1" w:styleId="32">
    <w:name w:val="页眉 New New New New"/>
    <w:basedOn w:val="0"/>
    <w:pPr>
      <w:pBdr>
        <w:bottom w:val="single" w:sz="6" w:space="1" w:color="auto"/>
      </w:pBdr>
      <w:tabs>
        <w:tab w:val="center" w:pos="4153"/>
        <w:tab w:val="right" w:pos="8306"/>
      </w:tabs>
      <w:snapToGrid w:val="0"/>
      <w:jc w:val="center"/>
    </w:pPr>
    <w:rPr>
      <w:sz w:val="18"/>
      <w:szCs w:val="18"/>
    </w:rPr>
  </w:style>
  <w:style w:type="paragraph" w:customStyle="1" w:styleId="33">
    <w:name w:val="页脚 New New New New New New New New New New New"/>
    <w:basedOn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7">
    <w:name w:val="页眉 New"/>
    <w:basedOn w:val="0"/>
    <w:pPr>
      <w:pBdr>
        <w:bottom w:val="single" w:sz="6" w:space="1" w:color="auto"/>
      </w:pBdr>
      <w:tabs>
        <w:tab w:val="center" w:pos="4153"/>
        <w:tab w:val="right" w:pos="8306"/>
      </w:tabs>
      <w:snapToGrid w:val="0"/>
      <w:jc w:val="center"/>
    </w:pPr>
    <w:rPr>
      <w:sz w:val="18"/>
      <w:szCs w:val="18"/>
    </w:rPr>
  </w:style>
  <w:style w:type="paragraph" w:customStyle="1" w:styleId="38">
    <w:name w:val="页脚 New New New New"/>
    <w:basedOn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0">
    <w:name w:val="页脚 New New New New New New New New"/>
    <w:basedOn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3">
    <w:name w:val="页眉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4">
    <w:name w:val="Char"/>
    <w:basedOn w:val="0"/>
    <w:rPr>
      <w:rFonts w:eastAsia="宋体"/>
      <w:sz w:val="21"/>
      <w:szCs w:val="21"/>
    </w:rPr>
  </w:style>
  <w:style w:type="paragraph" w:customStyle="1" w:styleId="45">
    <w:name w:val="页眉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7">
    <w:name w:val="页脚 New"/>
    <w:basedOn w:val="0"/>
    <w:pPr>
      <w:tabs>
        <w:tab w:val="center" w:pos="4153"/>
        <w:tab w:val="right" w:pos="8306"/>
      </w:tabs>
      <w:snapToGrid w:val="0"/>
      <w:jc w:val="left"/>
    </w:pPr>
    <w:rPr>
      <w:rFonts w:eastAsia="仿宋_GB2312"/>
      <w:kern w:val="2"/>
      <w:sz w:val="18"/>
    </w:rPr>
  </w:style>
  <w:style w:type="paragraph" w:customStyle="1" w:styleId="48">
    <w:name w:val="页脚 New New New New New"/>
    <w:basedOn w:val="0"/>
    <w:pPr>
      <w:tabs>
        <w:tab w:val="center" w:pos="4153"/>
        <w:tab w:val="right" w:pos="8306"/>
      </w:tabs>
      <w:snapToGrid w:val="0"/>
      <w:jc w:val="left"/>
    </w:pPr>
    <w:rPr>
      <w:rFonts w:eastAsia="仿宋_GB2312"/>
      <w:kern w:val="2"/>
      <w:sz w:val="18"/>
    </w:rPr>
  </w:style>
  <w:style w:type="paragraph" w:customStyle="1" w:styleId="49">
    <w:name w:val="页眉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0">
    <w:name w:val="页脚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3">
    <w:name w:val="页眉 New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4">
    <w:name w:val="页脚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6">
    <w:name w:val="页眉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7">
    <w:name w:val="页眉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8">
    <w:name w:val="页脚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0">
    <w:name w:val="正文文本 21"/>
    <w:basedOn w:val="0"/>
    <w:pPr>
      <w:adjustRightInd w:val="0"/>
      <w:ind w:firstLine="630"/>
      <w:jc w:val="left"/>
      <w:textAlignment w:val="baseline"/>
    </w:pPr>
    <w:rPr>
      <w:rFonts w:eastAsia="黑体"/>
    </w:rPr>
  </w:style>
  <w:style w:type="paragraph" w:customStyle="1" w:styleId="61">
    <w:name w:val="页脚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4">
    <w:name w:val="页眉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5">
    <w:name w:val="页眉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w:basedOn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8">
    <w:name w:val="页眉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9">
    <w:name w:val="页眉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1">
    <w:name w:val="页眉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3">
    <w:name w:val="页脚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4">
    <w:name w:val="页脚 New New New"/>
    <w:basedOn w:val="0"/>
    <w:pPr>
      <w:tabs>
        <w:tab w:val="center" w:pos="4153"/>
        <w:tab w:val="right" w:pos="8306"/>
      </w:tabs>
      <w:snapToGrid w:val="0"/>
      <w:jc w:val="left"/>
    </w:pPr>
    <w:rPr>
      <w:rFonts w:eastAsia="仿宋_GB2312"/>
      <w:kern w:val="2"/>
      <w:sz w:val="18"/>
    </w:rPr>
  </w:style>
  <w:style w:type="paragraph" w:customStyle="1" w:styleId="75">
    <w:name w:val="页眉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7">
    <w:name w:val="页眉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8">
    <w:name w:val="页眉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9">
    <w:name w:val="页脚 New New New New New New New New New New"/>
    <w:basedOn w:val="0"/>
    <w:pPr>
      <w:tabs>
        <w:tab w:val="center" w:pos="4153"/>
        <w:tab w:val="right" w:pos="8306"/>
      </w:tabs>
      <w:snapToGrid w:val="0"/>
      <w:jc w:val="left"/>
    </w:pPr>
    <w:rPr>
      <w:rFonts w:eastAsia="仿宋_GB2312"/>
      <w:kern w:val="2"/>
      <w:sz w:val="18"/>
    </w:rPr>
  </w:style>
  <w:style w:type="paragraph" w:customStyle="1" w:styleId="80">
    <w:name w:val="页脚 New New New New New New New"/>
    <w:basedOn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2">
    <w:name w:val="页脚 New New"/>
    <w:basedOn w:val="0"/>
    <w:pPr>
      <w:tabs>
        <w:tab w:val="center" w:pos="4153"/>
        <w:tab w:val="right" w:pos="8306"/>
      </w:tabs>
      <w:snapToGrid w:val="0"/>
      <w:jc w:val="left"/>
    </w:pPr>
    <w:rPr>
      <w:rFonts w:eastAsia="仿宋_GB2312"/>
      <w:kern w:val="2"/>
      <w:sz w:val="18"/>
    </w:rPr>
  </w:style>
  <w:style w:type="paragraph" w:customStyle="1" w:styleId="83">
    <w:name w:val="页脚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4">
    <w:name w:val="页脚 New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5">
    <w:name w:val="页脚 New New New New New New"/>
    <w:basedOn w:val="0"/>
    <w:pPr>
      <w:tabs>
        <w:tab w:val="center" w:pos="4153"/>
        <w:tab w:val="right" w:pos="8306"/>
      </w:tabs>
      <w:snapToGrid w:val="0"/>
      <w:jc w:val="left"/>
    </w:pPr>
    <w:rPr>
      <w:rFonts w:eastAsia="仿宋_GB2312"/>
      <w:kern w:val="2"/>
      <w:sz w:val="18"/>
    </w:rPr>
  </w:style>
  <w:style w:type="paragraph" w:customStyle="1" w:styleId="86">
    <w:name w:val="页眉 New New New"/>
    <w:basedOn w:val="0"/>
    <w:pPr>
      <w:pBdr>
        <w:bottom w:val="single" w:sz="6" w:space="1" w:color="auto"/>
      </w:pBdr>
      <w:tabs>
        <w:tab w:val="center" w:pos="4153"/>
        <w:tab w:val="right" w:pos="8306"/>
      </w:tabs>
      <w:snapToGrid w:val="0"/>
      <w:jc w:val="center"/>
    </w:pPr>
    <w:rPr>
      <w:sz w:val="18"/>
      <w:szCs w:val="18"/>
    </w:rPr>
  </w:style>
  <w:style w:type="paragraph" w:customStyle="1" w:styleId="87">
    <w:name w:val="页眉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8">
    <w:name w:val="页脚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9">
    <w:name w:val="页眉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90">
    <w:name w:val="页眉 New New"/>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18</TotalTime>
  <Application>Yozo_Office27021597764231179</Application>
  <Pages>23</Pages>
  <Words>5411</Words>
  <Characters>6451</Characters>
  <Lines>1501</Lines>
  <Paragraphs>579</Paragraphs>
  <CharactersWithSpaces>7152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2</cp:revision>
  <cp:lastPrinted>2025-02-11T03:07:00Z</cp:lastPrinted>
  <dcterms:created xsi:type="dcterms:W3CDTF">2022-02-20T09:24:00Z</dcterms:created>
  <dcterms:modified xsi:type="dcterms:W3CDTF">2026-03-10T04:19:21Z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0E59A20DDF86414A88C58D7F53F5F2F8_13</vt:lpwstr>
  </property>
  <property fmtid="{D5CDD505-2E9C-101B-9397-08002B2CF9AE}" pid="4" name="KSOTemplateDocerSaveRecord">
    <vt:lpwstr>eyJoZGlkIjoiZTllNDg3NjZkNDNhODkyMTMyMDg3NjI2ZTkwNDllZjkiLCJ1c2VySWQiOiI1ODg2ODM2MjMifQ==</vt:lpwstr>
  </property>
</Properties>
</file>