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rPr>
      </w:pPr>
      <w:bookmarkStart w:id="0" w:name="_GoBack"/>
      <w:bookmarkEnd w:id="0"/>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rPr>
        <w:t>辉南县</w:t>
      </w:r>
      <w:r>
        <w:rPr>
          <w:rFonts w:hint="eastAsia" w:eastAsia="方正小标宋简体"/>
          <w:sz w:val="44"/>
          <w:szCs w:val="44"/>
          <w:lang w:eastAsia="zh-CN"/>
        </w:rPr>
        <w:t>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spacing w:line="240" w:lineRule="auto"/>
        <w:ind w:firstLine="707" w:firstLineChars="22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（一）贯彻执行国家统计方针、政策以及法律、法规，制定全县统计规划及统计调查计划；监督检查统计法律、法规的实施。组织领导全县统计工作，承担确保统计数据真实、准确、及时的责任。</w:t>
      </w:r>
    </w:p>
    <w:p>
      <w:pPr>
        <w:spacing w:line="240" w:lineRule="auto"/>
        <w:ind w:firstLine="707" w:firstLineChars="22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（二）根据国家统一的基本统计制度，建立健全全县国民经济核算体系和统计指标体系，贯彻执行全省统一的基本统计报表制度和统计标准；汇编提供全县国民经济核算资料。</w:t>
      </w:r>
    </w:p>
    <w:p>
      <w:pPr>
        <w:spacing w:line="240" w:lineRule="auto"/>
        <w:ind w:firstLine="707" w:firstLineChars="22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三）组织实施重大省情省力普查计划；统一组织协调全县社会经济统计调查；汇总、整理全县基本统计资料；对国民经济、科技进步和社会发展等情况进行统计分析、统计预测预警和统计监督，向县委、县政府及有关部门提供统计信息和咨询建议。</w:t>
      </w:r>
    </w:p>
    <w:p>
      <w:pPr>
        <w:spacing w:line="240" w:lineRule="auto"/>
        <w:ind w:firstLine="707" w:firstLineChars="22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（四）统一核定、管理、公布全县基本统计资料，定期向社会公众发布全县国民经济和社会发展情况统计信息。</w:t>
      </w:r>
    </w:p>
    <w:p>
      <w:pPr>
        <w:spacing w:line="240" w:lineRule="auto"/>
        <w:ind w:firstLine="707" w:firstLineChars="22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（五）建立、完善和管理全县统计信息化自动化系统和统计数据库体系。</w:t>
      </w:r>
    </w:p>
    <w:p>
      <w:pPr>
        <w:spacing w:line="240" w:lineRule="auto"/>
        <w:ind w:firstLine="707" w:firstLineChars="22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（六）负责全县统计系统的干部人事、劳动工资、机构编制和财务经费、审计监督及资产设施管理。</w:t>
      </w:r>
    </w:p>
    <w:p>
      <w:pPr>
        <w:spacing w:line="240" w:lineRule="auto"/>
        <w:ind w:firstLine="707" w:firstLineChars="22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（七）领导局属事业单位。</w:t>
      </w:r>
    </w:p>
    <w:p>
      <w:pPr>
        <w:spacing w:line="240" w:lineRule="auto"/>
        <w:ind w:firstLine="707" w:firstLineChars="22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（八）承办通化市统计局和辉南县政府交办的其他事项。</w:t>
      </w:r>
    </w:p>
    <w:p>
      <w:pPr>
        <w:ind w:firstLine="420" w:firstLineChars="200"/>
        <w:rPr>
          <w:color w:val="000000"/>
          <w:sz w:val="21"/>
          <w:szCs w:val="21"/>
        </w:rPr>
      </w:pPr>
    </w:p>
    <w:p>
      <w:pPr>
        <w:ind w:firstLine="640" w:firstLineChars="200"/>
      </w:pPr>
      <w:r>
        <w:rPr>
          <w:rFonts w:eastAsia="楷体_GB2312"/>
        </w:rPr>
        <w:t>二、机构设置</w:t>
      </w:r>
    </w:p>
    <w:p>
      <w:pPr>
        <w:pStyle w:val="48"/>
        <w:spacing w:line="240" w:lineRule="auto"/>
        <w:ind w:firstLine="640" w:firstLineChars="200"/>
        <w:rPr>
          <w:rFonts w:hint="eastAsia" w:ascii="楷体_GB2312" w:hAnsi="楷体_GB2312" w:eastAsia="楷体_GB2312" w:cs="楷体_GB2312"/>
        </w:rPr>
      </w:pPr>
      <w:r>
        <w:rPr>
          <w:rFonts w:hint="eastAsia" w:ascii="楷体_GB2312" w:hAnsi="楷体_GB2312" w:eastAsia="楷体_GB2312" w:cs="楷体_GB2312"/>
        </w:rPr>
        <w:t>根据上述职责，</w:t>
      </w:r>
      <w:r>
        <w:rPr>
          <w:rFonts w:hint="eastAsia" w:ascii="楷体_GB2312" w:hAnsi="楷体_GB2312" w:eastAsia="楷体_GB2312" w:cs="楷体_GB2312"/>
          <w:lang w:eastAsia="zh-CN"/>
        </w:rPr>
        <w:t>辉南县</w:t>
      </w:r>
      <w:r>
        <w:rPr>
          <w:rFonts w:hint="eastAsia" w:ascii="楷体_GB2312" w:hAnsi="楷体_GB2312" w:eastAsia="楷体_GB2312" w:cs="楷体_GB2312"/>
        </w:rPr>
        <w:t>统计局内设三个机构，分别为办公室、综合统计科、社会经济统计科。</w:t>
      </w:r>
    </w:p>
    <w:p>
      <w:pPr>
        <w:pStyle w:val="48"/>
        <w:spacing w:line="240" w:lineRule="auto"/>
        <w:ind w:firstLine="640" w:firstLineChars="200"/>
        <w:rPr>
          <w:rFonts w:hint="eastAsia" w:ascii="楷体_GB2312" w:hAnsi="楷体_GB2312" w:eastAsia="楷体_GB2312" w:cs="楷体_GB2312"/>
        </w:rPr>
      </w:pPr>
      <w:r>
        <w:rPr>
          <w:rFonts w:hint="eastAsia" w:ascii="楷体_GB2312" w:hAnsi="楷体_GB2312" w:eastAsia="楷体_GB2312" w:cs="楷体_GB2312"/>
        </w:rPr>
        <w:t>（一）办公室</w:t>
      </w:r>
    </w:p>
    <w:p>
      <w:pPr>
        <w:pStyle w:val="48"/>
        <w:spacing w:line="240" w:lineRule="auto"/>
        <w:ind w:firstLine="640" w:firstLineChars="200"/>
        <w:rPr>
          <w:rFonts w:hint="eastAsia" w:ascii="楷体_GB2312" w:hAnsi="楷体_GB2312" w:eastAsia="楷体_GB2312" w:cs="楷体_GB2312"/>
        </w:rPr>
      </w:pPr>
      <w:r>
        <w:rPr>
          <w:rFonts w:hint="eastAsia" w:ascii="楷体_GB2312" w:hAnsi="楷体_GB2312" w:eastAsia="楷体_GB2312" w:cs="楷体_GB2312"/>
        </w:rPr>
        <w:t>负责局机关日常政务、行政事务、财务经费和国有资产管理工作；负责局机关干部人事、劳动工资、机构编制管理工作；负责局机关党建工作。</w:t>
      </w:r>
    </w:p>
    <w:p>
      <w:pPr>
        <w:pStyle w:val="48"/>
        <w:spacing w:line="240" w:lineRule="auto"/>
        <w:ind w:firstLine="640" w:firstLineChars="200"/>
        <w:rPr>
          <w:rFonts w:hint="eastAsia" w:ascii="楷体_GB2312" w:hAnsi="楷体_GB2312" w:eastAsia="楷体_GB2312" w:cs="楷体_GB2312"/>
        </w:rPr>
      </w:pPr>
      <w:r>
        <w:rPr>
          <w:rFonts w:hint="eastAsia" w:ascii="楷体_GB2312" w:hAnsi="楷体_GB2312" w:eastAsia="楷体_GB2312" w:cs="楷体_GB2312"/>
        </w:rPr>
        <w:t>（二）综合统计科</w:t>
      </w:r>
    </w:p>
    <w:p>
      <w:pPr>
        <w:pStyle w:val="48"/>
        <w:spacing w:line="240" w:lineRule="auto"/>
        <w:ind w:firstLine="640" w:firstLineChars="200"/>
        <w:rPr>
          <w:rFonts w:hint="eastAsia" w:ascii="楷体_GB2312" w:hAnsi="楷体_GB2312" w:eastAsia="楷体_GB2312" w:cs="楷体_GB2312"/>
        </w:rPr>
      </w:pPr>
      <w:r>
        <w:rPr>
          <w:rFonts w:hint="eastAsia" w:ascii="楷体_GB2312" w:hAnsi="楷体_GB2312" w:eastAsia="楷体_GB2312" w:cs="楷体_GB2312"/>
        </w:rPr>
        <w:t>监测预警全</w:t>
      </w:r>
      <w:r>
        <w:rPr>
          <w:rFonts w:hint="eastAsia" w:ascii="楷体_GB2312" w:hAnsi="楷体_GB2312" w:eastAsia="楷体_GB2312" w:cs="楷体_GB2312"/>
          <w:lang w:eastAsia="zh-CN"/>
        </w:rPr>
        <w:t>县</w:t>
      </w:r>
      <w:r>
        <w:rPr>
          <w:rFonts w:hint="eastAsia" w:ascii="楷体_GB2312" w:hAnsi="楷体_GB2312" w:eastAsia="楷体_GB2312" w:cs="楷体_GB2312"/>
        </w:rPr>
        <w:t>国民经济运行并进行综合分析；统一整理、核定、管理、使用全</w:t>
      </w:r>
      <w:r>
        <w:rPr>
          <w:rFonts w:hint="eastAsia" w:ascii="楷体_GB2312" w:hAnsi="楷体_GB2312" w:eastAsia="楷体_GB2312" w:cs="楷体_GB2312"/>
          <w:lang w:eastAsia="zh-CN"/>
        </w:rPr>
        <w:t>县</w:t>
      </w:r>
      <w:r>
        <w:rPr>
          <w:rFonts w:hint="eastAsia" w:ascii="楷体_GB2312" w:hAnsi="楷体_GB2312" w:eastAsia="楷体_GB2312" w:cs="楷体_GB2312"/>
        </w:rPr>
        <w:t>综合性统计资料；负责全</w:t>
      </w:r>
      <w:r>
        <w:rPr>
          <w:rFonts w:hint="eastAsia" w:ascii="楷体_GB2312" w:hAnsi="楷体_GB2312" w:eastAsia="楷体_GB2312" w:cs="楷体_GB2312"/>
          <w:lang w:eastAsia="zh-CN"/>
        </w:rPr>
        <w:t>县</w:t>
      </w:r>
      <w:r>
        <w:rPr>
          <w:rFonts w:hint="eastAsia" w:ascii="楷体_GB2312" w:hAnsi="楷体_GB2312" w:eastAsia="楷体_GB2312" w:cs="楷体_GB2312"/>
        </w:rPr>
        <w:t>国内生产总值、资金流量、资产负债核算工作，组织开展投入产出调查；负责全</w:t>
      </w:r>
      <w:r>
        <w:rPr>
          <w:rFonts w:hint="eastAsia" w:ascii="楷体_GB2312" w:hAnsi="楷体_GB2312" w:eastAsia="楷体_GB2312" w:cs="楷体_GB2312"/>
          <w:lang w:eastAsia="zh-CN"/>
        </w:rPr>
        <w:t>县</w:t>
      </w:r>
      <w:r>
        <w:rPr>
          <w:rFonts w:hint="eastAsia" w:ascii="楷体_GB2312" w:hAnsi="楷体_GB2312" w:eastAsia="楷体_GB2312" w:cs="楷体_GB2312"/>
        </w:rPr>
        <w:t>工业、能源、贸易与服务业、固定资产投资、建筑业、人口与就业、社会科技等统计调查工作；对有关统计数据质量进行核查和评估；负责全</w:t>
      </w:r>
      <w:r>
        <w:rPr>
          <w:rFonts w:hint="eastAsia" w:ascii="楷体_GB2312" w:hAnsi="楷体_GB2312" w:eastAsia="楷体_GB2312" w:cs="楷体_GB2312"/>
          <w:lang w:eastAsia="zh-CN"/>
        </w:rPr>
        <w:t>县</w:t>
      </w:r>
      <w:r>
        <w:rPr>
          <w:rFonts w:hint="eastAsia" w:ascii="楷体_GB2312" w:hAnsi="楷体_GB2312" w:eastAsia="楷体_GB2312" w:cs="楷体_GB2312"/>
        </w:rPr>
        <w:t>统计人员业务培训工作。负责统计工作有关行政审批事项的受理和审批。</w:t>
      </w:r>
    </w:p>
    <w:p>
      <w:pPr>
        <w:pStyle w:val="48"/>
        <w:spacing w:line="240" w:lineRule="auto"/>
        <w:ind w:firstLine="640" w:firstLineChars="200"/>
        <w:rPr>
          <w:rFonts w:hint="eastAsia" w:ascii="楷体_GB2312" w:hAnsi="楷体_GB2312" w:eastAsia="楷体_GB2312" w:cs="楷体_GB2312"/>
        </w:rPr>
      </w:pPr>
      <w:r>
        <w:rPr>
          <w:rFonts w:hint="eastAsia" w:ascii="楷体_GB2312" w:hAnsi="楷体_GB2312" w:eastAsia="楷体_GB2312" w:cs="楷体_GB2312"/>
        </w:rPr>
        <w:t>（三）社会经济统计科</w:t>
      </w:r>
    </w:p>
    <w:p>
      <w:pPr>
        <w:pStyle w:val="48"/>
        <w:spacing w:line="240" w:lineRule="auto"/>
        <w:ind w:firstLine="640" w:firstLineChars="200"/>
        <w:rPr>
          <w:rFonts w:hint="eastAsia" w:ascii="楷体_GB2312" w:hAnsi="楷体_GB2312" w:eastAsia="楷体_GB2312" w:cs="楷体_GB2312"/>
        </w:rPr>
      </w:pPr>
      <w:r>
        <w:rPr>
          <w:rFonts w:hint="eastAsia" w:ascii="楷体_GB2312" w:hAnsi="楷体_GB2312" w:eastAsia="楷体_GB2312" w:cs="楷体_GB2312"/>
        </w:rPr>
        <w:t>负责组织实施全</w:t>
      </w:r>
      <w:r>
        <w:rPr>
          <w:rFonts w:hint="eastAsia" w:ascii="楷体_GB2312" w:hAnsi="楷体_GB2312" w:eastAsia="楷体_GB2312" w:cs="楷体_GB2312"/>
          <w:lang w:eastAsia="zh-CN"/>
        </w:rPr>
        <w:t>县</w:t>
      </w:r>
      <w:r>
        <w:rPr>
          <w:rFonts w:hint="eastAsia" w:ascii="楷体_GB2312" w:hAnsi="楷体_GB2312" w:eastAsia="楷体_GB2312" w:cs="楷体_GB2312"/>
        </w:rPr>
        <w:t>农业（包括林、牧、渔业等）工作，收集和整理提供农业统计调查数据，对有关统计数据质量进行检查和评估；负责组织实施全</w:t>
      </w:r>
      <w:r>
        <w:rPr>
          <w:rFonts w:hint="eastAsia" w:ascii="楷体_GB2312" w:hAnsi="楷体_GB2312" w:eastAsia="楷体_GB2312" w:cs="楷体_GB2312"/>
          <w:lang w:eastAsia="zh-CN"/>
        </w:rPr>
        <w:t>县</w:t>
      </w:r>
      <w:r>
        <w:rPr>
          <w:rFonts w:hint="eastAsia" w:ascii="楷体_GB2312" w:hAnsi="楷体_GB2312" w:eastAsia="楷体_GB2312" w:cs="楷体_GB2312"/>
        </w:rPr>
        <w:t>统计法律、法规的宣传贯彻和监督检查，依法查处重大的统计违法案件。</w:t>
      </w:r>
    </w:p>
    <w:p>
      <w:pPr>
        <w:pStyle w:val="48"/>
        <w:spacing w:line="240" w:lineRule="auto"/>
        <w:ind w:firstLine="640" w:firstLineChars="200"/>
        <w:rPr>
          <w:rFonts w:hint="eastAsia" w:eastAsia="仿宋_GB2312"/>
          <w:lang w:eastAsia="zh-CN"/>
        </w:rPr>
      </w:pPr>
      <w:r>
        <w:rPr>
          <w:rFonts w:hint="eastAsia" w:ascii="楷体_GB2312" w:hAnsi="楷体_GB2312" w:eastAsia="楷体_GB2312" w:cs="楷体_GB2312"/>
          <w:lang w:eastAsia="zh-CN"/>
        </w:rPr>
        <w:t>本单位无下设预算单位。</w:t>
      </w:r>
    </w:p>
    <w:p>
      <w:pPr>
        <w:pStyle w:val="48"/>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一、财政拨款收入</w:t>
            </w:r>
          </w:p>
        </w:tc>
        <w:tc>
          <w:tcPr>
            <w:tcW w:w="1020"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240.72</w:t>
            </w:r>
          </w:p>
        </w:tc>
        <w:tc>
          <w:tcPr>
            <w:tcW w:w="984" w:type="dxa"/>
            <w:gridSpan w:val="2"/>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236.91</w:t>
            </w:r>
          </w:p>
        </w:tc>
        <w:tc>
          <w:tcPr>
            <w:tcW w:w="1134" w:type="dxa"/>
            <w:tcBorders>
              <w:top w:val="nil"/>
              <w:left w:val="single" w:color="auto" w:sz="4" w:space="0"/>
              <w:bottom w:val="single" w:color="auto" w:sz="4" w:space="0"/>
              <w:right w:val="nil"/>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3.81</w:t>
            </w: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197.47</w:t>
            </w:r>
          </w:p>
        </w:tc>
        <w:tc>
          <w:tcPr>
            <w:tcW w:w="1182" w:type="dxa"/>
            <w:gridSpan w:val="2"/>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193.66</w:t>
            </w:r>
          </w:p>
        </w:tc>
        <w:tc>
          <w:tcPr>
            <w:tcW w:w="1158"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3.81</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一般公共预算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240.72</w:t>
            </w:r>
          </w:p>
        </w:tc>
        <w:tc>
          <w:tcPr>
            <w:tcW w:w="984" w:type="dxa"/>
            <w:gridSpan w:val="2"/>
            <w:tcBorders>
              <w:top w:val="nil"/>
              <w:left w:val="nil"/>
              <w:bottom w:val="single" w:color="auto" w:sz="4" w:space="0"/>
              <w:right w:val="single" w:color="auto" w:sz="4" w:space="0"/>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236.91</w:t>
            </w:r>
          </w:p>
        </w:tc>
        <w:tc>
          <w:tcPr>
            <w:tcW w:w="1134" w:type="dxa"/>
            <w:tcBorders>
              <w:top w:val="nil"/>
              <w:left w:val="single" w:color="auto" w:sz="4" w:space="0"/>
              <w:bottom w:val="single" w:color="auto" w:sz="4" w:space="0"/>
              <w:right w:val="nil"/>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3.81</w:t>
            </w: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sz w:val="20"/>
              </w:rPr>
              <w:t>二、</w:t>
            </w:r>
            <w:r>
              <w:rPr>
                <w:rFonts w:hint="eastAsia" w:ascii="宋体" w:hAnsi="宋体" w:eastAsia="宋体" w:cs="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24.10</w:t>
            </w:r>
          </w:p>
        </w:tc>
        <w:tc>
          <w:tcPr>
            <w:tcW w:w="1182" w:type="dxa"/>
            <w:gridSpan w:val="2"/>
            <w:tcBorders>
              <w:top w:val="nil"/>
              <w:left w:val="nil"/>
              <w:bottom w:val="single" w:color="auto" w:sz="4" w:space="0"/>
              <w:right w:val="single" w:color="auto" w:sz="4" w:space="0"/>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24.10</w:t>
            </w: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政府性基金预算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sz w:val="20"/>
              </w:rPr>
              <w:t>三、</w:t>
            </w:r>
            <w:r>
              <w:rPr>
                <w:rFonts w:hint="eastAsia" w:ascii="宋体" w:hAnsi="宋体" w:eastAsia="宋体" w:cs="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5.21</w:t>
            </w:r>
          </w:p>
        </w:tc>
        <w:tc>
          <w:tcPr>
            <w:tcW w:w="1182" w:type="dxa"/>
            <w:gridSpan w:val="2"/>
            <w:tcBorders>
              <w:top w:val="nil"/>
              <w:left w:val="nil"/>
              <w:bottom w:val="single" w:color="auto" w:sz="4" w:space="0"/>
              <w:right w:val="single" w:color="auto" w:sz="4" w:space="0"/>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5.21</w:t>
            </w: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ind w:left="400" w:hanging="400" w:hangingChars="200"/>
              <w:jc w:val="both"/>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13.94</w:t>
            </w:r>
          </w:p>
        </w:tc>
        <w:tc>
          <w:tcPr>
            <w:tcW w:w="1182" w:type="dxa"/>
            <w:gridSpan w:val="2"/>
            <w:tcBorders>
              <w:top w:val="nil"/>
              <w:left w:val="nil"/>
              <w:bottom w:val="single" w:color="auto" w:sz="4" w:space="0"/>
              <w:right w:val="single" w:color="auto" w:sz="4" w:space="0"/>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13.94</w:t>
            </w: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ascii="宋体" w:hAnsi="宋体" w:eastAsia="宋体" w:cs="宋体"/>
                <w:sz w:val="20"/>
              </w:rPr>
            </w:pPr>
            <w:r>
              <w:rPr>
                <w:rFonts w:hint="eastAsia" w:ascii="宋体" w:hAnsi="宋体" w:eastAsia="宋体" w:cs="宋体"/>
                <w:sz w:val="20"/>
              </w:rPr>
              <w:t>二、财政专户管理</w:t>
            </w:r>
            <w:r>
              <w:rPr>
                <w:rFonts w:hint="eastAsia" w:ascii="宋体" w:hAnsi="宋体" w:eastAsia="宋体" w:cs="宋体"/>
                <w:sz w:val="20"/>
                <w:lang w:val="en-US" w:eastAsia="zh-CN"/>
              </w:rPr>
              <w:t xml:space="preserve">  </w:t>
            </w:r>
            <w:r>
              <w:rPr>
                <w:rFonts w:hint="eastAsia" w:ascii="宋体" w:hAnsi="宋体" w:eastAsia="宋体" w:cs="宋体"/>
                <w:sz w:val="20"/>
              </w:rPr>
              <w:t>资金收入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sz w:val="20"/>
              </w:rPr>
            </w:pPr>
            <w:r>
              <w:rPr>
                <w:rFonts w:hint="eastAsia" w:ascii="宋体" w:hAnsi="宋体" w:eastAsia="宋体" w:cs="宋体"/>
                <w:sz w:val="20"/>
              </w:rPr>
              <w:t>三、单位资金收入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事业收入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ascii="宋体" w:hAnsi="宋体" w:eastAsia="宋体" w:cs="宋体"/>
                <w:sz w:val="20"/>
              </w:rPr>
            </w:pPr>
            <w:r>
              <w:rPr>
                <w:rFonts w:hint="eastAsia" w:ascii="宋体" w:hAnsi="宋体" w:eastAsia="宋体" w:cs="宋体"/>
                <w:sz w:val="20"/>
              </w:rPr>
              <w:t>事业单位经营收入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上级补助收入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附属单位上缴收入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其他收入</w:t>
            </w:r>
          </w:p>
        </w:tc>
        <w:tc>
          <w:tcPr>
            <w:tcW w:w="1020" w:type="dxa"/>
            <w:tcBorders>
              <w:top w:val="nil"/>
              <w:left w:val="nil"/>
              <w:bottom w:val="single" w:color="auto" w:sz="4" w:space="0"/>
              <w:right w:val="single" w:color="auto" w:sz="4" w:space="0"/>
            </w:tcBorders>
            <w:noWrap w:val="0"/>
            <w:vAlign w:val="center"/>
          </w:tcPr>
          <w:p>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pPr>
              <w:jc w:val="right"/>
              <w:rPr>
                <w:rFonts w:hint="eastAsia"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本年收入</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020"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240.72</w:t>
            </w:r>
          </w:p>
        </w:tc>
        <w:tc>
          <w:tcPr>
            <w:tcW w:w="984" w:type="dxa"/>
            <w:gridSpan w:val="2"/>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236.91</w:t>
            </w:r>
          </w:p>
        </w:tc>
        <w:tc>
          <w:tcPr>
            <w:tcW w:w="1134" w:type="dxa"/>
            <w:tcBorders>
              <w:top w:val="nil"/>
              <w:left w:val="single" w:color="auto" w:sz="4" w:space="0"/>
              <w:bottom w:val="single" w:color="auto" w:sz="4" w:space="0"/>
              <w:right w:val="nil"/>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3.81</w:t>
            </w: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本年支出</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hint="default" w:eastAsia="宋体"/>
                <w:b/>
                <w:bCs/>
                <w:kern w:val="0"/>
                <w:sz w:val="20"/>
                <w:lang w:val="en-US" w:eastAsia="zh-CN"/>
              </w:rPr>
            </w:pPr>
            <w:r>
              <w:rPr>
                <w:rFonts w:hint="eastAsia" w:eastAsia="宋体"/>
                <w:b w:val="0"/>
                <w:bCs w:val="0"/>
                <w:kern w:val="0"/>
                <w:sz w:val="20"/>
                <w:lang w:val="en-US" w:eastAsia="zh-CN"/>
              </w:rPr>
              <w:t>240.72</w:t>
            </w:r>
          </w:p>
        </w:tc>
        <w:tc>
          <w:tcPr>
            <w:tcW w:w="1182" w:type="dxa"/>
            <w:gridSpan w:val="2"/>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236.91</w:t>
            </w:r>
          </w:p>
        </w:tc>
        <w:tc>
          <w:tcPr>
            <w:tcW w:w="1158"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3.81</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财政拨款结转</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结转下年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lang w:eastAsia="zh-CN"/>
              </w:rPr>
              <w:t>非财政拨款</w:t>
            </w:r>
            <w:r>
              <w:rPr>
                <w:rFonts w:hint="eastAsia" w:ascii="宋体" w:hAnsi="宋体" w:eastAsia="宋体" w:cs="宋体"/>
                <w:sz w:val="20"/>
                <w:lang w:val="en-US" w:eastAsia="zh-CN"/>
              </w:rPr>
              <w:t xml:space="preserve">      </w:t>
            </w:r>
            <w:r>
              <w:rPr>
                <w:rFonts w:hint="eastAsia" w:ascii="宋体" w:hAnsi="宋体" w:eastAsia="宋体" w:cs="宋体"/>
                <w:sz w:val="20"/>
              </w:rPr>
              <w:t>结转结余</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240.72</w:t>
            </w:r>
          </w:p>
        </w:tc>
        <w:tc>
          <w:tcPr>
            <w:tcW w:w="984" w:type="dxa"/>
            <w:gridSpan w:val="2"/>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236.91</w:t>
            </w:r>
          </w:p>
        </w:tc>
        <w:tc>
          <w:tcPr>
            <w:tcW w:w="1134" w:type="dxa"/>
            <w:tcBorders>
              <w:top w:val="nil"/>
              <w:left w:val="single" w:color="auto" w:sz="4" w:space="0"/>
              <w:bottom w:val="single" w:color="auto" w:sz="4" w:space="0"/>
              <w:right w:val="nil"/>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3.81</w:t>
            </w: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240.72</w:t>
            </w:r>
          </w:p>
        </w:tc>
        <w:tc>
          <w:tcPr>
            <w:tcW w:w="1182" w:type="dxa"/>
            <w:gridSpan w:val="2"/>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236.91</w:t>
            </w:r>
          </w:p>
        </w:tc>
        <w:tc>
          <w:tcPr>
            <w:tcW w:w="1158"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3.81</w:t>
            </w: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649" w:type="dxa"/>
        <w:jc w:val="center"/>
        <w:tblLayout w:type="fixed"/>
        <w:tblCellMar>
          <w:top w:w="0" w:type="dxa"/>
          <w:left w:w="108" w:type="dxa"/>
          <w:bottom w:w="0" w:type="dxa"/>
          <w:right w:w="108" w:type="dxa"/>
        </w:tblCellMar>
      </w:tblPr>
      <w:tblGrid>
        <w:gridCol w:w="956"/>
        <w:gridCol w:w="817"/>
        <w:gridCol w:w="856"/>
        <w:gridCol w:w="1045"/>
        <w:gridCol w:w="384"/>
        <w:gridCol w:w="433"/>
        <w:gridCol w:w="300"/>
        <w:gridCol w:w="300"/>
        <w:gridCol w:w="162"/>
        <w:gridCol w:w="155"/>
        <w:gridCol w:w="383"/>
        <w:gridCol w:w="367"/>
        <w:gridCol w:w="89"/>
        <w:gridCol w:w="277"/>
        <w:gridCol w:w="221"/>
        <w:gridCol w:w="363"/>
        <w:gridCol w:w="633"/>
        <w:gridCol w:w="236"/>
        <w:gridCol w:w="129"/>
        <w:gridCol w:w="400"/>
        <w:gridCol w:w="484"/>
        <w:gridCol w:w="422"/>
        <w:gridCol w:w="237"/>
      </w:tblGrid>
      <w:tr>
        <w:tblPrEx>
          <w:tblCellMar>
            <w:top w:w="0" w:type="dxa"/>
            <w:left w:w="108" w:type="dxa"/>
            <w:bottom w:w="0" w:type="dxa"/>
            <w:right w:w="108" w:type="dxa"/>
          </w:tblCellMar>
        </w:tblPrEx>
        <w:trPr>
          <w:trHeight w:val="335" w:hRule="atLeast"/>
          <w:jc w:val="center"/>
        </w:trPr>
        <w:tc>
          <w:tcPr>
            <w:tcW w:w="956" w:type="dxa"/>
            <w:tcBorders>
              <w:bottom w:val="single" w:color="000000" w:sz="4" w:space="0"/>
            </w:tcBorders>
            <w:noWrap w:val="0"/>
            <w:vAlign w:val="top"/>
          </w:tcPr>
          <w:p>
            <w:pPr>
              <w:autoSpaceDN w:val="0"/>
              <w:jc w:val="left"/>
              <w:textAlignment w:val="center"/>
              <w:rPr>
                <w:rFonts w:eastAsia="华文细黑"/>
                <w:color w:val="000000"/>
                <w:sz w:val="20"/>
              </w:rPr>
            </w:pPr>
          </w:p>
        </w:tc>
        <w:tc>
          <w:tcPr>
            <w:tcW w:w="4297" w:type="dxa"/>
            <w:gridSpan w:val="8"/>
            <w:tcBorders>
              <w:bottom w:val="single" w:color="000000" w:sz="4" w:space="0"/>
            </w:tcBorders>
            <w:noWrap w:val="0"/>
            <w:vAlign w:val="center"/>
          </w:tcPr>
          <w:p>
            <w:pPr>
              <w:autoSpaceDN w:val="0"/>
              <w:jc w:val="left"/>
              <w:textAlignment w:val="center"/>
              <w:rPr>
                <w:rFonts w:eastAsia="华文细黑"/>
                <w:color w:val="000000"/>
                <w:sz w:val="20"/>
              </w:rPr>
            </w:pPr>
          </w:p>
        </w:tc>
        <w:tc>
          <w:tcPr>
            <w:tcW w:w="994" w:type="dxa"/>
            <w:gridSpan w:val="4"/>
            <w:noWrap w:val="0"/>
            <w:vAlign w:val="center"/>
          </w:tcPr>
          <w:p>
            <w:pPr>
              <w:autoSpaceDN w:val="0"/>
              <w:jc w:val="left"/>
              <w:textAlignment w:val="center"/>
              <w:rPr>
                <w:rFonts w:eastAsia="华文细黑"/>
                <w:color w:val="000000"/>
                <w:sz w:val="20"/>
              </w:rPr>
            </w:pPr>
          </w:p>
        </w:tc>
        <w:tc>
          <w:tcPr>
            <w:tcW w:w="498" w:type="dxa"/>
            <w:gridSpan w:val="2"/>
            <w:noWrap w:val="0"/>
            <w:vAlign w:val="center"/>
          </w:tcPr>
          <w:p>
            <w:pPr>
              <w:autoSpaceDN w:val="0"/>
              <w:jc w:val="left"/>
              <w:textAlignment w:val="center"/>
              <w:rPr>
                <w:rFonts w:eastAsia="华文细黑"/>
                <w:color w:val="000000"/>
                <w:sz w:val="20"/>
              </w:rPr>
            </w:pPr>
          </w:p>
        </w:tc>
        <w:tc>
          <w:tcPr>
            <w:tcW w:w="996" w:type="dxa"/>
            <w:gridSpan w:val="2"/>
            <w:noWrap w:val="0"/>
            <w:vAlign w:val="center"/>
          </w:tcPr>
          <w:p>
            <w:pPr>
              <w:autoSpaceDN w:val="0"/>
              <w:jc w:val="left"/>
              <w:textAlignment w:val="center"/>
              <w:rPr>
                <w:rFonts w:eastAsia="华文细黑"/>
                <w:color w:val="000000"/>
                <w:sz w:val="20"/>
              </w:rPr>
            </w:pPr>
          </w:p>
        </w:tc>
        <w:tc>
          <w:tcPr>
            <w:tcW w:w="236" w:type="dxa"/>
            <w:noWrap w:val="0"/>
            <w:vAlign w:val="bottom"/>
          </w:tcPr>
          <w:p>
            <w:pPr>
              <w:autoSpaceDN w:val="0"/>
              <w:jc w:val="right"/>
              <w:textAlignment w:val="bottom"/>
              <w:rPr>
                <w:rFonts w:eastAsia="宋体"/>
                <w:color w:val="000000"/>
                <w:sz w:val="20"/>
              </w:rPr>
            </w:pPr>
          </w:p>
        </w:tc>
        <w:tc>
          <w:tcPr>
            <w:tcW w:w="1672" w:type="dxa"/>
            <w:gridSpan w:val="5"/>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gridAfter w:val="1"/>
          <w:wAfter w:w="237" w:type="dxa"/>
          <w:trHeight w:val="517" w:hRule="atLeast"/>
          <w:jc w:val="center"/>
        </w:trPr>
        <w:tc>
          <w:tcPr>
            <w:tcW w:w="956" w:type="dxa"/>
            <w:vMerge w:val="restart"/>
            <w:tcBorders>
              <w:left w:val="single" w:color="000000" w:sz="4" w:space="0"/>
              <w:right w:val="single" w:color="000000" w:sz="4" w:space="0"/>
            </w:tcBorders>
            <w:noWrap w:val="0"/>
            <w:vAlign w:val="center"/>
          </w:tcPr>
          <w:p>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17" w:type="dxa"/>
            <w:vMerge w:val="restart"/>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751" w:type="dxa"/>
            <w:gridSpan w:val="12"/>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2888" w:type="dxa"/>
            <w:gridSpan w:val="8"/>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tblPrEx>
          <w:tblCellMar>
            <w:top w:w="0" w:type="dxa"/>
            <w:left w:w="108" w:type="dxa"/>
            <w:bottom w:w="0" w:type="dxa"/>
            <w:right w:w="108" w:type="dxa"/>
          </w:tblCellMar>
        </w:tblPrEx>
        <w:trPr>
          <w:gridAfter w:val="1"/>
          <w:wAfter w:w="237" w:type="dxa"/>
          <w:trHeight w:val="517" w:hRule="atLeast"/>
          <w:jc w:val="center"/>
        </w:trPr>
        <w:tc>
          <w:tcPr>
            <w:tcW w:w="956"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000000"/>
                <w:sz w:val="20"/>
                <w:lang w:eastAsia="zh-CN"/>
              </w:rPr>
            </w:pPr>
          </w:p>
        </w:tc>
        <w:tc>
          <w:tcPr>
            <w:tcW w:w="817" w:type="dxa"/>
            <w:vMerge w:val="continue"/>
            <w:tcBorders>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p>
        </w:tc>
        <w:tc>
          <w:tcPr>
            <w:tcW w:w="856" w:type="dxa"/>
            <w:vMerge w:val="restart"/>
            <w:tcBorders>
              <w:top w:val="single" w:color="000000" w:sz="4" w:space="0"/>
              <w:left w:val="single" w:color="000000" w:sz="4" w:space="0"/>
              <w:right w:val="single" w:color="auto" w:sz="4" w:space="0"/>
            </w:tcBorders>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862" w:type="dxa"/>
            <w:gridSpan w:val="3"/>
            <w:tcBorders>
              <w:top w:val="single" w:color="000000" w:sz="4" w:space="0"/>
              <w:left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00" w:type="dxa"/>
            <w:vMerge w:val="restart"/>
            <w:tcBorders>
              <w:top w:val="single" w:color="000000" w:sz="4" w:space="0"/>
              <w:left w:val="single" w:color="auto" w:sz="4" w:space="0"/>
              <w:right w:val="single" w:color="auto" w:sz="4" w:space="0"/>
            </w:tcBorders>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733" w:type="dxa"/>
            <w:gridSpan w:val="7"/>
            <w:tcBorders>
              <w:top w:val="single" w:color="000000" w:sz="4" w:space="0"/>
              <w:left w:val="single" w:color="auto"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584" w:type="dxa"/>
            <w:gridSpan w:val="2"/>
            <w:vMerge w:val="restart"/>
            <w:tcBorders>
              <w:top w:val="single" w:color="000000" w:sz="4" w:space="0"/>
              <w:left w:val="single" w:color="000000" w:sz="4" w:space="0"/>
              <w:right w:val="single" w:color="auto" w:sz="4" w:space="0"/>
            </w:tcBorders>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398" w:type="dxa"/>
            <w:gridSpan w:val="4"/>
            <w:tcBorders>
              <w:top w:val="single" w:color="000000" w:sz="4" w:space="0"/>
              <w:left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906" w:type="dxa"/>
            <w:gridSpan w:val="2"/>
            <w:tcBorders>
              <w:top w:val="single" w:color="000000" w:sz="4" w:space="0"/>
              <w:left w:val="single" w:color="auto"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tblPrEx>
          <w:tblCellMar>
            <w:top w:w="0" w:type="dxa"/>
            <w:left w:w="108" w:type="dxa"/>
            <w:bottom w:w="0" w:type="dxa"/>
            <w:right w:w="108" w:type="dxa"/>
          </w:tblCellMar>
        </w:tblPrEx>
        <w:trPr>
          <w:gridAfter w:val="1"/>
          <w:wAfter w:w="237" w:type="dxa"/>
          <w:trHeight w:val="2818" w:hRule="atLeast"/>
          <w:jc w:val="center"/>
        </w:trPr>
        <w:tc>
          <w:tcPr>
            <w:tcW w:w="956" w:type="dxa"/>
            <w:vMerge w:val="continue"/>
            <w:tcBorders>
              <w:left w:val="single" w:color="000000" w:sz="4" w:space="0"/>
              <w:bottom w:val="single" w:color="000000" w:sz="4" w:space="0"/>
              <w:right w:val="single" w:color="000000" w:sz="4" w:space="0"/>
            </w:tcBorders>
            <w:shd w:val="solid" w:color="FFFFFF" w:fill="auto"/>
            <w:noWrap w:val="0"/>
            <w:vAlign w:val="center"/>
          </w:tcPr>
          <w:p>
            <w:pPr>
              <w:widowControl/>
              <w:jc w:val="left"/>
              <w:rPr>
                <w:rFonts w:hint="eastAsia" w:ascii="宋体" w:hAnsi="宋体" w:eastAsia="宋体" w:cs="宋体"/>
                <w:color w:val="000000"/>
                <w:sz w:val="20"/>
                <w:shd w:val="clear" w:color="auto" w:fill="FFFFFF"/>
              </w:rPr>
            </w:pPr>
          </w:p>
        </w:tc>
        <w:tc>
          <w:tcPr>
            <w:tcW w:w="817" w:type="dxa"/>
            <w:vMerge w:val="continue"/>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5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104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84" w:type="dxa"/>
            <w:tcBorders>
              <w:top w:val="single" w:color="000000" w:sz="4" w:space="0"/>
              <w:left w:val="single" w:color="000000" w:sz="4" w:space="0"/>
              <w:bottom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00"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17"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66"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584"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36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0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8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tblPrEx>
          <w:tblCellMar>
            <w:top w:w="0" w:type="dxa"/>
            <w:left w:w="108" w:type="dxa"/>
            <w:bottom w:w="0" w:type="dxa"/>
            <w:right w:w="108" w:type="dxa"/>
          </w:tblCellMar>
        </w:tblPrEx>
        <w:trPr>
          <w:gridAfter w:val="1"/>
          <w:wAfter w:w="237" w:type="dxa"/>
          <w:trHeight w:val="517" w:hRule="atLeast"/>
          <w:jc w:val="center"/>
        </w:trPr>
        <w:tc>
          <w:tcPr>
            <w:tcW w:w="956"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eastAsia="zh-CN"/>
              </w:rPr>
              <w:t>辉南县统计局</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240.72</w:t>
            </w:r>
          </w:p>
        </w:tc>
        <w:tc>
          <w:tcPr>
            <w:tcW w:w="8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236.91</w:t>
            </w:r>
          </w:p>
        </w:tc>
        <w:tc>
          <w:tcPr>
            <w:tcW w:w="10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236.91</w:t>
            </w:r>
          </w:p>
        </w:tc>
        <w:tc>
          <w:tcPr>
            <w:tcW w:w="384"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1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3.81</w:t>
            </w: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3.81</w:t>
            </w:r>
          </w:p>
        </w:tc>
        <w:tc>
          <w:tcPr>
            <w:tcW w:w="3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gridAfter w:val="1"/>
          <w:wAfter w:w="237" w:type="dxa"/>
          <w:trHeight w:val="517" w:hRule="atLeast"/>
          <w:jc w:val="center"/>
        </w:trPr>
        <w:tc>
          <w:tcPr>
            <w:tcW w:w="956" w:type="dxa"/>
            <w:tcBorders>
              <w:top w:val="single" w:color="000000" w:sz="4" w:space="0"/>
              <w:left w:val="single" w:color="000000" w:sz="4" w:space="0"/>
              <w:bottom w:val="single" w:color="000000" w:sz="4" w:space="0"/>
            </w:tcBorders>
            <w:shd w:val="solid" w:color="FFFFFF" w:fill="auto"/>
            <w:noWrap w:val="0"/>
            <w:vAlign w:val="center"/>
          </w:tcPr>
          <w:p>
            <w:pPr>
              <w:widowControl/>
              <w:ind w:firstLine="400" w:firstLineChars="200"/>
              <w:jc w:val="left"/>
              <w:rPr>
                <w:rFonts w:hint="eastAsia" w:ascii="宋体" w:hAnsi="宋体" w:eastAsia="宋体" w:cs="宋体"/>
                <w:color w:val="000000"/>
                <w:sz w:val="20"/>
                <w:shd w:val="clear" w:color="auto" w:fill="FFFFFF"/>
                <w:lang w:eastAsia="zh-CN"/>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10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1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gridAfter w:val="1"/>
          <w:wAfter w:w="237" w:type="dxa"/>
          <w:trHeight w:val="517" w:hRule="atLeast"/>
          <w:jc w:val="center"/>
        </w:trPr>
        <w:tc>
          <w:tcPr>
            <w:tcW w:w="956"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eastAsia" w:ascii="宋体" w:hAnsi="宋体" w:eastAsia="宋体" w:cs="宋体"/>
                <w:color w:val="000000"/>
                <w:sz w:val="20"/>
                <w:shd w:val="clear" w:color="auto" w:fill="FFFFFF"/>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10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1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gridAfter w:val="1"/>
          <w:wAfter w:w="237" w:type="dxa"/>
          <w:trHeight w:val="517" w:hRule="atLeast"/>
          <w:jc w:val="center"/>
        </w:trPr>
        <w:tc>
          <w:tcPr>
            <w:tcW w:w="956"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eastAsia" w:ascii="宋体" w:hAnsi="宋体" w:eastAsia="宋体" w:cs="宋体"/>
                <w:color w:val="000000"/>
                <w:sz w:val="20"/>
                <w:shd w:val="clear" w:color="auto" w:fill="FFFFFF"/>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10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1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gridAfter w:val="1"/>
          <w:wAfter w:w="237" w:type="dxa"/>
          <w:trHeight w:val="530" w:hRule="atLeast"/>
          <w:jc w:val="center"/>
        </w:trPr>
        <w:tc>
          <w:tcPr>
            <w:tcW w:w="956"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kern w:val="0"/>
                <w:sz w:val="20"/>
              </w:rPr>
              <w:t>合计</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240.72</w:t>
            </w:r>
          </w:p>
        </w:tc>
        <w:tc>
          <w:tcPr>
            <w:tcW w:w="8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236.91</w:t>
            </w:r>
          </w:p>
        </w:tc>
        <w:tc>
          <w:tcPr>
            <w:tcW w:w="10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236.91</w:t>
            </w:r>
          </w:p>
        </w:tc>
        <w:tc>
          <w:tcPr>
            <w:tcW w:w="384"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0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1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6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5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3.81</w:t>
            </w: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3.81</w:t>
            </w:r>
          </w:p>
        </w:tc>
        <w:tc>
          <w:tcPr>
            <w:tcW w:w="3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r>
    </w:tbl>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9974" w:hRule="atLeast"/>
          <w:jc w:val="center"/>
        </w:trPr>
        <w:tc>
          <w:tcPr>
            <w:tcW w:w="10405" w:type="dxa"/>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tblPrEx>
                <w:tblCellMar>
                  <w:top w:w="15" w:type="dxa"/>
                  <w:left w:w="15" w:type="dxa"/>
                  <w:bottom w:w="15" w:type="dxa"/>
                  <w:right w:w="15" w:type="dxa"/>
                </w:tblCellMar>
              </w:tblPrEx>
              <w:trPr>
                <w:gridAfter w:val="1"/>
                <w:wAfter w:w="138" w:type="dxa"/>
                <w:trHeight w:val="376" w:hRule="atLeast"/>
              </w:trPr>
              <w:tc>
                <w:tcPr>
                  <w:tcW w:w="5812" w:type="dxa"/>
                  <w:gridSpan w:val="4"/>
                  <w:tcBorders>
                    <w:bottom w:val="single" w:color="000000" w:sz="4" w:space="0"/>
                  </w:tcBorders>
                  <w:noWrap w:val="0"/>
                  <w:vAlign w:val="center"/>
                </w:tcPr>
                <w:p>
                  <w:pPr>
                    <w:widowControl/>
                    <w:jc w:val="left"/>
                    <w:rPr>
                      <w:rFonts w:eastAsia="华文细黑"/>
                      <w:color w:val="000000"/>
                      <w:kern w:val="0"/>
                      <w:sz w:val="20"/>
                    </w:rPr>
                  </w:pPr>
                </w:p>
              </w:tc>
              <w:tc>
                <w:tcPr>
                  <w:tcW w:w="1297" w:type="dxa"/>
                  <w:tcBorders>
                    <w:bottom w:val="single" w:color="000000" w:sz="4" w:space="0"/>
                  </w:tcBorders>
                  <w:noWrap w:val="0"/>
                  <w:vAlign w:val="center"/>
                </w:tcPr>
                <w:p>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pPr>
                    <w:widowControl/>
                    <w:jc w:val="right"/>
                    <w:rPr>
                      <w:rFonts w:eastAsia="华文细黑"/>
                      <w:color w:val="000000"/>
                      <w:kern w:val="0"/>
                      <w:sz w:val="20"/>
                    </w:rPr>
                  </w:pPr>
                </w:p>
              </w:tc>
              <w:tc>
                <w:tcPr>
                  <w:tcW w:w="1297" w:type="dxa"/>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097" w:hRule="atLeast"/>
              </w:trPr>
              <w:tc>
                <w:tcPr>
                  <w:tcW w:w="2149"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35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197.46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138.21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0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197.46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138.21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138.21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138.21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6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15.04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6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机关服务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11.78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6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32.43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200" w:firstLineChars="1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二</w:t>
                  </w:r>
                  <w:r>
                    <w:rPr>
                      <w:rFonts w:hint="eastAsia" w:ascii="宋体" w:hAnsi="宋体" w:eastAsia="宋体" w:cs="宋体"/>
                      <w:color w:val="000000"/>
                      <w:kern w:val="0"/>
                      <w:sz w:val="20"/>
                      <w:lang w:eastAsia="zh-CN"/>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8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6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1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6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1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8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240.72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181.46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ind w:firstLine="640" w:firstLineChars="200"/>
      </w:pPr>
    </w:p>
    <w:p>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240.72</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236.91</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3.81</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240.72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236.91</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3.81</w:t>
                  </w: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240.72</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236.91</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3.81</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197.47</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193.66</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3.81</w:t>
                  </w: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lang w:eastAsia="zh-CN"/>
                    </w:rPr>
                    <w:t>（二）</w:t>
                  </w:r>
                  <w:r>
                    <w:rPr>
                      <w:rFonts w:hint="eastAsia" w:ascii="宋体" w:hAnsi="宋体" w:eastAsia="宋体" w:cs="宋体"/>
                      <w:color w:val="000000"/>
                      <w:sz w:val="20"/>
                      <w:szCs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hint="eastAsia" w:eastAsia="宋体"/>
                      <w:kern w:val="0"/>
                      <w:sz w:val="20"/>
                      <w:lang w:val="en-US" w:eastAsia="zh-CN"/>
                    </w:rPr>
                    <w:t>24.10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24.10</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lang w:val="en-US" w:eastAsia="zh-CN" w:bidi="ar-SA"/>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lang w:eastAsia="zh-CN"/>
                    </w:rPr>
                    <w:t>（三）</w:t>
                  </w:r>
                  <w:r>
                    <w:rPr>
                      <w:rFonts w:hint="eastAsia" w:ascii="宋体" w:hAnsi="宋体" w:eastAsia="宋体" w:cs="宋体"/>
                      <w:color w:val="000000"/>
                      <w:sz w:val="20"/>
                      <w:szCs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5.21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5.21</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lang w:val="en-US" w:eastAsia="zh-CN" w:bidi="ar-SA"/>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lang w:eastAsia="zh-CN"/>
                    </w:rPr>
                    <w:t>（四）</w:t>
                  </w:r>
                  <w:r>
                    <w:rPr>
                      <w:rFonts w:hint="eastAsia" w:ascii="宋体" w:hAnsi="宋体" w:eastAsia="宋体" w:cs="宋体"/>
                      <w:color w:val="000000"/>
                      <w:sz w:val="20"/>
                      <w:szCs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13.94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13.94</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Times New Roman" w:hAnsi="Times New Roman" w:eastAsia="宋体" w:cs="Times New Roman"/>
                      <w:kern w:val="0"/>
                      <w:sz w:val="20"/>
                      <w:lang w:val="en-US" w:eastAsia="zh-CN" w:bidi="ar-SA"/>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Times New Roman" w:hAnsi="Times New Roman" w:eastAsia="宋体" w:cs="Times New Roman"/>
                      <w:kern w:val="0"/>
                      <w:sz w:val="20"/>
                      <w:lang w:val="en-US" w:eastAsia="zh-CN" w:bidi="ar-SA"/>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Times New Roman" w:hAnsi="Times New Roman" w:eastAsia="宋体" w:cs="Times New Roman"/>
                      <w:kern w:val="0"/>
                      <w:sz w:val="20"/>
                      <w:lang w:val="en-US" w:eastAsia="zh-CN" w:bidi="ar-SA"/>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lang w:val="en-US" w:eastAsia="zh-CN" w:bidi="ar-SA"/>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lang w:val="en-US" w:eastAsia="zh-CN" w:bidi="ar-SA"/>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lang w:val="en-US" w:eastAsia="zh-CN" w:bidi="ar-SA"/>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lang w:val="en-US" w:eastAsia="zh-CN" w:bidi="ar-SA"/>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lang w:val="en-US" w:eastAsia="zh-CN" w:bidi="ar-SA"/>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0"/>
                    </w:rPr>
                  </w:pPr>
                  <w:r>
                    <w:rPr>
                      <w:rFonts w:hint="eastAsia" w:ascii="宋体" w:hAnsi="宋体" w:eastAsia="宋体" w:cs="宋体"/>
                      <w:kern w:val="0"/>
                      <w:sz w:val="20"/>
                      <w:lang w:eastAsia="zh-CN"/>
                    </w:rPr>
                    <w:t>二、</w:t>
                  </w:r>
                  <w:r>
                    <w:rPr>
                      <w:rFonts w:hint="eastAsia" w:ascii="宋体" w:hAnsi="宋体" w:eastAsia="宋体" w:cs="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ascii="Times New Roman" w:hAnsi="Times New Roman" w:eastAsia="宋体" w:cs="Times New Roman"/>
                      <w:kern w:val="2"/>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ascii="Times New Roman" w:hAnsi="Times New Roman" w:eastAsia="宋体" w:cs="Times New Roman"/>
                      <w:kern w:val="2"/>
                      <w:sz w:val="20"/>
                      <w:lang w:val="en-US" w:eastAsia="zh-CN" w:bidi="ar-SA"/>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r>
                    <w:rPr>
                      <w:rFonts w:hint="eastAsia" w:eastAsia="黑体"/>
                      <w:kern w:val="0"/>
                      <w:sz w:val="20"/>
                      <w:lang w:val="en-US" w:eastAsia="zh-CN"/>
                    </w:rPr>
                    <w:t>240.72</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黑体"/>
                      <w:kern w:val="0"/>
                      <w:sz w:val="20"/>
                      <w:lang w:val="en-US" w:eastAsia="zh-CN"/>
                    </w:rPr>
                  </w:pPr>
                  <w:r>
                    <w:rPr>
                      <w:rFonts w:hint="eastAsia" w:eastAsia="黑体"/>
                      <w:kern w:val="0"/>
                      <w:sz w:val="20"/>
                      <w:lang w:val="en-US" w:eastAsia="zh-CN"/>
                    </w:rPr>
                    <w:t>236.91</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黑体"/>
                      <w:kern w:val="0"/>
                      <w:sz w:val="20"/>
                      <w:lang w:val="en-US" w:eastAsia="zh-CN"/>
                    </w:rPr>
                  </w:pPr>
                  <w:r>
                    <w:rPr>
                      <w:rFonts w:hint="eastAsia" w:eastAsia="黑体"/>
                      <w:kern w:val="0"/>
                      <w:sz w:val="20"/>
                      <w:lang w:val="en-US" w:eastAsia="zh-CN"/>
                    </w:rPr>
                    <w:t>3.81</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240.72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黑体" w:cs="Times New Roman"/>
                      <w:kern w:val="0"/>
                      <w:sz w:val="20"/>
                      <w:lang w:val="en-US" w:eastAsia="zh-CN" w:bidi="ar-SA"/>
                    </w:rPr>
                  </w:pPr>
                  <w:r>
                    <w:rPr>
                      <w:rFonts w:hint="eastAsia" w:eastAsia="黑体"/>
                      <w:kern w:val="0"/>
                      <w:sz w:val="20"/>
                      <w:lang w:val="en-US" w:eastAsia="zh-CN"/>
                    </w:rPr>
                    <w:t>236.91</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黑体" w:cs="Times New Roman"/>
                      <w:kern w:val="0"/>
                      <w:sz w:val="20"/>
                      <w:lang w:val="en-US" w:eastAsia="zh-CN" w:bidi="ar-SA"/>
                    </w:rPr>
                  </w:pPr>
                  <w:r>
                    <w:rPr>
                      <w:rFonts w:hint="eastAsia" w:eastAsia="黑体"/>
                      <w:kern w:val="0"/>
                      <w:sz w:val="20"/>
                      <w:lang w:val="en-US" w:eastAsia="zh-CN"/>
                    </w:rPr>
                    <w:t>3.81</w:t>
                  </w:r>
                </w:p>
              </w:tc>
            </w:tr>
          </w:tbl>
          <w:p>
            <w:pPr>
              <w:widowControl/>
              <w:rPr>
                <w:rFonts w:eastAsia="方正小标宋简体"/>
                <w:kern w:val="0"/>
                <w:sz w:val="44"/>
                <w:szCs w:val="44"/>
              </w:rPr>
            </w:pPr>
          </w:p>
        </w:tc>
      </w:tr>
    </w:tbl>
    <w:p>
      <w:pPr>
        <w:ind w:firstLine="640" w:firstLineChars="200"/>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197.46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108.85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29.37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59.25</w:t>
                  </w: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197.46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108.85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29.37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59.25</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108.85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29.37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15.04</w:t>
                  </w: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机关服务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11.78</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32.43</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200" w:firstLineChars="1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二</w:t>
                  </w:r>
                  <w:r>
                    <w:rPr>
                      <w:rFonts w:hint="eastAsia" w:ascii="宋体" w:hAnsi="宋体" w:eastAsia="宋体" w:cs="宋体"/>
                      <w:color w:val="000000"/>
                      <w:kern w:val="0"/>
                      <w:sz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240.72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152.10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29.37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59.25</w:t>
                  </w:r>
                </w:p>
              </w:tc>
            </w:tr>
          </w:tbl>
          <w:p>
            <w:pPr>
              <w:widowControl/>
              <w:jc w:val="center"/>
              <w:rPr>
                <w:rFonts w:eastAsia="方正小标宋简体"/>
                <w:kern w:val="0"/>
                <w:sz w:val="44"/>
                <w:szCs w:val="44"/>
              </w:rPr>
            </w:pPr>
          </w:p>
        </w:tc>
      </w:tr>
    </w:tbl>
    <w:p>
      <w:pPr>
        <w:rPr>
          <w:rFonts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143.12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143.12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48.46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48.46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29.53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29.53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25.64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25.64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lang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16.12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16.12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5.05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5.05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eastAsia="zh-CN"/>
              </w:rPr>
              <w:t>其他社会保险缴费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1.42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13.94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13.94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1.44</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1.44</w:t>
            </w:r>
          </w:p>
        </w:tc>
        <w:tc>
          <w:tcPr>
            <w:tcW w:w="1831" w:type="dxa"/>
            <w:tcBorders>
              <w:top w:val="single" w:color="auto" w:sz="4" w:space="0"/>
              <w:left w:val="single" w:color="auto" w:sz="4" w:space="0"/>
              <w:bottom w:val="single" w:color="auto" w:sz="4" w:space="0"/>
              <w:right w:val="single" w:color="auto" w:sz="4" w:space="0"/>
            </w:tcBorders>
            <w:noWrap w:val="0"/>
            <w:vAlign w:val="top"/>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宋体"/>
                <w:kern w:val="0"/>
                <w:sz w:val="20"/>
                <w:lang w:val="en-US" w:eastAsia="zh-CN"/>
              </w:rPr>
            </w:pPr>
            <w:r>
              <w:rPr>
                <w:rFonts w:hint="eastAsia" w:eastAsia="宋体"/>
                <w:kern w:val="0"/>
                <w:sz w:val="20"/>
                <w:lang w:val="en-US" w:eastAsia="zh-CN"/>
              </w:rPr>
              <w:t>1.52</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1.52</w:t>
            </w:r>
          </w:p>
        </w:tc>
        <w:tc>
          <w:tcPr>
            <w:tcW w:w="0" w:type="auto"/>
            <w:tcBorders>
              <w:top w:val="single" w:color="auto" w:sz="4" w:space="0"/>
              <w:left w:val="single" w:color="auto" w:sz="4" w:space="0"/>
              <w:bottom w:val="single" w:color="auto" w:sz="4" w:space="0"/>
              <w:right w:val="single" w:color="auto" w:sz="4" w:space="0"/>
            </w:tcBorders>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宋体"/>
                <w:kern w:val="0"/>
                <w:sz w:val="20"/>
                <w:lang w:val="en-US" w:eastAsia="zh-CN"/>
              </w:rPr>
            </w:pPr>
            <w:r>
              <w:rPr>
                <w:rFonts w:hint="eastAsia" w:eastAsia="华文细黑"/>
                <w:color w:val="000000"/>
                <w:kern w:val="0"/>
                <w:sz w:val="20"/>
                <w:lang w:val="en-US" w:eastAsia="zh-CN"/>
              </w:rPr>
              <w:t>26.37</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Times New Roman" w:hAnsi="Times New Roman" w:eastAsia="宋体" w:cs="Times New Roman"/>
                <w:kern w:val="0"/>
                <w:sz w:val="20"/>
                <w:lang w:val="en-US" w:eastAsia="zh-CN" w:bidi="ar-SA"/>
              </w:rPr>
            </w:pPr>
            <w:r>
              <w:rPr>
                <w:rFonts w:hint="eastAsia" w:eastAsia="华文细黑"/>
                <w:color w:val="000000"/>
                <w:kern w:val="0"/>
                <w:sz w:val="20"/>
                <w:lang w:val="en-US" w:eastAsia="zh-CN"/>
              </w:rPr>
              <w:t>26.37</w:t>
            </w: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宋体"/>
                <w:kern w:val="0"/>
                <w:sz w:val="20"/>
                <w:lang w:val="en-US" w:eastAsia="zh-CN"/>
              </w:rPr>
            </w:pPr>
            <w:r>
              <w:rPr>
                <w:rFonts w:hint="eastAsia" w:eastAsia="宋体"/>
                <w:kern w:val="0"/>
                <w:sz w:val="20"/>
                <w:lang w:val="en-US" w:eastAsia="zh-CN"/>
              </w:rPr>
              <w:t>3.28</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3.28</w:t>
            </w: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hint="eastAsia" w:ascii="Times New Roman" w:hAnsi="Times New Roman" w:eastAsia="宋体" w:cs="Times New Roman"/>
                <w:kern w:val="0"/>
                <w:sz w:val="20"/>
                <w:lang w:val="en-US" w:eastAsia="zh-CN" w:bidi="ar-SA"/>
              </w:rPr>
            </w:pPr>
            <w:r>
              <w:rPr>
                <w:rFonts w:hint="eastAsia" w:eastAsia="宋体"/>
                <w:kern w:val="0"/>
                <w:sz w:val="20"/>
                <w:lang w:eastAsia="zh-CN"/>
              </w:rPr>
              <w:t>印刷费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宋体"/>
                <w:kern w:val="0"/>
                <w:sz w:val="20"/>
                <w:lang w:val="en-US" w:eastAsia="zh-CN"/>
              </w:rPr>
            </w:pPr>
            <w:r>
              <w:rPr>
                <w:rFonts w:hint="eastAsia" w:eastAsia="宋体"/>
                <w:kern w:val="0"/>
                <w:sz w:val="20"/>
                <w:lang w:val="en-US" w:eastAsia="zh-CN"/>
              </w:rPr>
              <w:t>1.80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1.80</w:t>
            </w: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hint="eastAsia" w:ascii="Times New Roman" w:hAnsi="Times New Roman" w:eastAsia="宋体" w:cs="Times New Roman"/>
                <w:kern w:val="0"/>
                <w:sz w:val="20"/>
                <w:lang w:val="en-US" w:eastAsia="zh-CN" w:bidi="ar-SA"/>
              </w:rPr>
            </w:pPr>
            <w:r>
              <w:rPr>
                <w:rFonts w:hint="eastAsia" w:eastAsia="宋体"/>
                <w:kern w:val="0"/>
                <w:sz w:val="20"/>
                <w:lang w:eastAsia="zh-CN"/>
              </w:rPr>
              <w:t>邮电费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宋体"/>
                <w:kern w:val="0"/>
                <w:sz w:val="20"/>
                <w:lang w:val="en-US" w:eastAsia="zh-CN"/>
              </w:rPr>
            </w:pPr>
            <w:r>
              <w:rPr>
                <w:rFonts w:hint="eastAsia" w:eastAsia="宋体"/>
                <w:kern w:val="0"/>
                <w:sz w:val="20"/>
                <w:lang w:val="en-US" w:eastAsia="zh-CN"/>
              </w:rPr>
              <w:t>2.80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2.80</w:t>
            </w: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hint="eastAsia" w:ascii="Times New Roman" w:hAnsi="Times New Roman" w:eastAsia="宋体" w:cs="Times New Roman"/>
                <w:kern w:val="0"/>
                <w:sz w:val="20"/>
                <w:lang w:val="en-US" w:eastAsia="zh-CN" w:bidi="ar-SA"/>
              </w:rPr>
            </w:pPr>
            <w:r>
              <w:rPr>
                <w:rFonts w:hint="eastAsia" w:eastAsia="宋体"/>
                <w:kern w:val="0"/>
                <w:sz w:val="20"/>
                <w:lang w:eastAsia="zh-CN"/>
              </w:rPr>
              <w:t>差旅费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1.00</w:t>
            </w:r>
          </w:p>
        </w:tc>
      </w:tr>
    </w:tbl>
    <w:p>
      <w:pPr>
        <w:rPr>
          <w:sz w:val="16"/>
          <w:szCs w:val="16"/>
        </w:rPr>
      </w:pPr>
    </w:p>
    <w:p>
      <w:pPr>
        <w:rPr>
          <w:sz w:val="16"/>
          <w:szCs w:val="16"/>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tblPrEx>
          <w:tblCellMar>
            <w:top w:w="0" w:type="dxa"/>
            <w:left w:w="108" w:type="dxa"/>
            <w:bottom w:w="0" w:type="dxa"/>
            <w:right w:w="108" w:type="dxa"/>
          </w:tblCellMar>
        </w:tblPrEx>
        <w:trPr>
          <w:trHeight w:val="600"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hint="default" w:ascii="Times New Roman" w:hAnsi="Times New Roman" w:eastAsia="宋体" w:cs="Times New Roman"/>
                <w:kern w:val="0"/>
                <w:sz w:val="20"/>
                <w:szCs w:val="20"/>
                <w:lang w:val="en-US" w:eastAsia="zh-CN" w:bidi="ar-SA"/>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预算续</w:t>
            </w:r>
            <w:r>
              <w:rPr>
                <w:rFonts w:eastAsia="方正小标宋简体"/>
                <w:kern w:val="0"/>
                <w:sz w:val="44"/>
                <w:szCs w:val="44"/>
              </w:rPr>
              <w:t>表</w:t>
            </w:r>
          </w:p>
        </w:tc>
      </w:tr>
      <w:tr>
        <w:tblPrEx>
          <w:tblCellMar>
            <w:top w:w="0" w:type="dxa"/>
            <w:left w:w="108" w:type="dxa"/>
            <w:bottom w:w="0" w:type="dxa"/>
            <w:right w:w="108" w:type="dxa"/>
          </w:tblCellMar>
        </w:tblPrEx>
        <w:trPr>
          <w:trHeight w:val="600" w:hRule="atLeast"/>
          <w:jc w:val="center"/>
        </w:trPr>
        <w:tc>
          <w:tcPr>
            <w:tcW w:w="8931" w:type="dxa"/>
            <w:gridSpan w:val="4"/>
            <w:tcBorders>
              <w:top w:val="nil"/>
              <w:left w:val="nil"/>
              <w:bottom w:val="single" w:color="auto" w:sz="4" w:space="0"/>
              <w:right w:val="nil"/>
            </w:tcBorders>
            <w:noWrap w:val="0"/>
            <w:vAlign w:val="center"/>
          </w:tcPr>
          <w:p>
            <w:pPr>
              <w:widowControl/>
              <w:jc w:val="left"/>
              <w:rPr>
                <w:rFonts w:hint="eastAsia" w:eastAsia="宋体"/>
                <w:kern w:val="0"/>
                <w:sz w:val="20"/>
                <w:lang w:val="en-US" w:eastAsia="zh-CN" w:bidi="ar-SA"/>
              </w:rPr>
            </w:pPr>
            <w:r>
              <w:rPr>
                <w:rFonts w:eastAsia="宋体"/>
                <w:kern w:val="0"/>
                <w:sz w:val="20"/>
              </w:rPr>
              <w:t>　</w:t>
            </w:r>
          </w:p>
          <w:p>
            <w:pPr>
              <w:widowControl/>
              <w:jc w:val="right"/>
              <w:rPr>
                <w:rFonts w:hint="default" w:eastAsia="宋体"/>
                <w:kern w:val="0"/>
                <w:sz w:val="20"/>
                <w:lang w:val="en-US" w:eastAsia="zh-CN" w:bidi="ar-SA"/>
              </w:rPr>
            </w:pPr>
            <w:r>
              <w:rPr>
                <w:rFonts w:eastAsia="宋体"/>
                <w:kern w:val="0"/>
                <w:sz w:val="20"/>
              </w:rPr>
              <w:t>　</w:t>
            </w:r>
          </w:p>
          <w:p>
            <w:pPr>
              <w:widowControl/>
              <w:jc w:val="right"/>
              <w:rPr>
                <w:rFonts w:hint="default" w:ascii="Times New Roman" w:hAnsi="Times New Roman" w:eastAsia="宋体" w:cs="Times New Roman"/>
                <w:kern w:val="0"/>
                <w:sz w:val="20"/>
                <w:szCs w:val="20"/>
                <w:lang w:val="en-US" w:eastAsia="zh-CN" w:bidi="ar-SA"/>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华文细黑" w:eastAsia="华文细黑"/>
                <w:kern w:val="0"/>
                <w:sz w:val="20"/>
                <w:lang w:val="en-US" w:eastAsia="zh-CN" w:bidi="ar-SA"/>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华文细黑"/>
                <w:kern w:val="0"/>
                <w:sz w:val="20"/>
                <w:lang w:val="en-US" w:eastAsia="zh-CN" w:bidi="ar-SA"/>
              </w:rPr>
            </w:pPr>
            <w:r>
              <w:rPr>
                <w:rFonts w:eastAsia="华文细黑"/>
                <w:color w:val="000000"/>
                <w:kern w:val="0"/>
                <w:sz w:val="20"/>
              </w:rPr>
              <w:t>合计</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kern w:val="2"/>
                <w:sz w:val="32"/>
                <w:lang w:val="en-US" w:eastAsia="zh-CN" w:bidi="ar-SA"/>
              </w:rP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kern w:val="2"/>
                <w:sz w:val="32"/>
                <w:lang w:val="en-US" w:eastAsia="zh-CN" w:bidi="ar-SA"/>
              </w:rPr>
            </w:pPr>
            <w:r>
              <w:rPr>
                <w:rFonts w:eastAsia="华文细黑"/>
                <w:color w:val="000000"/>
                <w:kern w:val="0"/>
                <w:sz w:val="20"/>
              </w:rPr>
              <w:t>公用经费</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both"/>
              <w:rPr>
                <w:rFonts w:hint="eastAsia" w:ascii="宋体" w:hAnsi="宋体" w:eastAsia="宋体" w:cs="宋体"/>
                <w:kern w:val="0"/>
                <w:sz w:val="20"/>
                <w:lang w:eastAsia="zh-CN"/>
              </w:rPr>
            </w:pPr>
            <w:r>
              <w:rPr>
                <w:rFonts w:hint="eastAsia" w:ascii="宋体" w:hAnsi="宋体" w:eastAsia="宋体" w:cs="宋体"/>
                <w:kern w:val="0"/>
                <w:sz w:val="20"/>
                <w:lang w:eastAsia="zh-CN"/>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华文细黑"/>
                <w:color w:val="000000"/>
                <w:kern w:val="0"/>
                <w:sz w:val="20"/>
                <w:lang w:val="en-US" w:eastAsia="zh-CN"/>
              </w:rPr>
            </w:pPr>
            <w:r>
              <w:rPr>
                <w:rFonts w:hint="eastAsia" w:eastAsia="华文细黑"/>
                <w:color w:val="000000"/>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华文细黑"/>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华文细黑" w:cs="Times New Roman"/>
                <w:color w:val="000000"/>
                <w:kern w:val="0"/>
                <w:sz w:val="20"/>
                <w:lang w:val="en-US" w:eastAsia="zh-CN" w:bidi="ar-SA"/>
              </w:rPr>
            </w:pPr>
            <w:r>
              <w:rPr>
                <w:rFonts w:hint="eastAsia" w:eastAsia="华文细黑"/>
                <w:color w:val="000000"/>
                <w:kern w:val="0"/>
                <w:sz w:val="20"/>
                <w:lang w:val="en-US" w:eastAsia="zh-CN"/>
              </w:rPr>
              <w:t>0.20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1.00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1.00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1.58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1.58</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5.47</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5.47</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7.68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7.68</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eastAsia="zh-CN"/>
              </w:rPr>
              <w:t>其他商品和服务支出</w:t>
            </w:r>
            <w:r>
              <w:rPr>
                <w:rFonts w:hint="eastAsia" w:ascii="宋体" w:hAnsi="宋体" w:eastAsia="宋体" w:cs="宋体"/>
                <w:kern w:val="0"/>
                <w:sz w:val="20"/>
                <w:lang w:val="en-US" w:eastAsia="zh-CN"/>
              </w:rPr>
              <w:t xml:space="preserve"> </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1.56</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1.56</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rPr>
            </w:pPr>
            <w:r>
              <w:rPr>
                <w:rFonts w:hint="eastAsia" w:eastAsia="宋体"/>
                <w:kern w:val="0"/>
                <w:sz w:val="20"/>
                <w:lang w:val="en-US" w:eastAsia="zh-CN"/>
              </w:rPr>
              <w:t>8.98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lang w:val="en-US" w:eastAsia="zh-CN"/>
              </w:rPr>
              <w:t>8.98</w:t>
            </w:r>
          </w:p>
        </w:tc>
        <w:tc>
          <w:tcPr>
            <w:tcW w:w="1831"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7.98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7.98</w:t>
            </w:r>
          </w:p>
        </w:tc>
        <w:tc>
          <w:tcPr>
            <w:tcW w:w="1831"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lang w:val="en-US" w:eastAsia="zh-CN"/>
              </w:rPr>
              <w:t>1.00</w:t>
            </w:r>
          </w:p>
        </w:tc>
        <w:tc>
          <w:tcPr>
            <w:tcW w:w="1831"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cs="Times New Roman"/>
                <w:kern w:val="0"/>
                <w:sz w:val="20"/>
                <w:szCs w:val="20"/>
                <w:lang w:val="en-US" w:eastAsia="zh-CN"/>
              </w:rPr>
            </w:pPr>
            <w:r>
              <w:rPr>
                <w:rFonts w:hint="eastAsia" w:eastAsia="宋体"/>
                <w:kern w:val="0"/>
                <w:sz w:val="20"/>
                <w:lang w:val="en-US" w:eastAsia="zh-CN"/>
              </w:rPr>
              <w:t>3.00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lang w:val="en-US" w:eastAsia="zh-CN"/>
              </w:rPr>
              <w:t>3.00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cs="Times New Roman"/>
                <w:kern w:val="0"/>
                <w:sz w:val="20"/>
                <w:szCs w:val="20"/>
                <w:lang w:val="en-US" w:eastAsia="zh-CN"/>
              </w:rPr>
            </w:pPr>
            <w:r>
              <w:rPr>
                <w:rFonts w:hint="eastAsia" w:eastAsia="宋体"/>
                <w:kern w:val="0"/>
                <w:sz w:val="20"/>
                <w:lang w:val="en-US" w:eastAsia="zh-CN"/>
              </w:rPr>
              <w:t>3.00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lang w:val="en-US" w:eastAsia="zh-CN"/>
              </w:rPr>
              <w:t>3.00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rPr>
            </w:pPr>
            <w:r>
              <w:rPr>
                <w:rFonts w:hint="eastAsia" w:eastAsia="宋体"/>
                <w:kern w:val="0"/>
                <w:sz w:val="20"/>
                <w:lang w:val="en-US" w:eastAsia="zh-CN"/>
              </w:rPr>
              <w:t>181.47</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lang w:val="en-US" w:eastAsia="zh-CN"/>
              </w:rPr>
            </w:pPr>
            <w:r>
              <w:rPr>
                <w:rFonts w:hint="eastAsia" w:eastAsia="宋体" w:cs="Times New Roman"/>
                <w:sz w:val="20"/>
                <w:szCs w:val="20"/>
                <w:lang w:val="en-US" w:eastAsia="zh-CN"/>
              </w:rPr>
              <w:t>152.10</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lang w:val="en-US" w:eastAsia="zh-CN"/>
              </w:rPr>
            </w:pPr>
            <w:r>
              <w:rPr>
                <w:rFonts w:hint="eastAsia" w:eastAsia="宋体"/>
                <w:kern w:val="0"/>
                <w:sz w:val="20"/>
                <w:lang w:val="en-US" w:eastAsia="zh-CN"/>
              </w:rPr>
              <w:t>29.37</w:t>
            </w:r>
          </w:p>
        </w:tc>
      </w:tr>
    </w:tbl>
    <w:p>
      <w:pPr>
        <w:rPr>
          <w:sz w:val="16"/>
          <w:szCs w:val="16"/>
        </w:rPr>
      </w:pPr>
    </w:p>
    <w:p>
      <w:pPr>
        <w:ind w:firstLine="636"/>
        <w:rPr>
          <w:rFonts w:hAnsi="楷体" w:eastAsia="楷体"/>
        </w:rPr>
      </w:pPr>
    </w:p>
    <w:p>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eastAsia"/>
                <w:color w:val="000000"/>
                <w:kern w:val="0"/>
                <w:sz w:val="28"/>
                <w:szCs w:val="28"/>
                <w:lang w:val="en-US" w:eastAsia="zh-CN"/>
              </w:rPr>
            </w:pPr>
            <w:r>
              <w:rPr>
                <w:rFonts w:hint="eastAsia"/>
                <w:color w:val="000000"/>
                <w:kern w:val="0"/>
                <w:sz w:val="28"/>
                <w:szCs w:val="28"/>
                <w:lang w:val="en-US" w:eastAsia="zh-CN"/>
              </w:rPr>
              <w:t>说明：</w:t>
            </w:r>
          </w:p>
          <w:p>
            <w:pPr>
              <w:widowControl/>
              <w:ind w:firstLine="560"/>
              <w:jc w:val="both"/>
              <w:rPr>
                <w:rFonts w:hint="eastAsia"/>
                <w:color w:val="000000"/>
                <w:kern w:val="0"/>
                <w:sz w:val="28"/>
                <w:szCs w:val="28"/>
                <w:lang w:val="en-US" w:eastAsia="zh-CN"/>
              </w:rPr>
            </w:pPr>
            <w:r>
              <w:rPr>
                <w:rFonts w:hint="eastAsia"/>
                <w:color w:val="000000"/>
                <w:kern w:val="0"/>
                <w:sz w:val="28"/>
                <w:szCs w:val="28"/>
                <w:lang w:val="en-US" w:eastAsia="zh-CN"/>
              </w:rPr>
              <w:t>1.“2024年预算数”的单位范围包括本单位1个预算单位。</w:t>
            </w:r>
          </w:p>
          <w:p>
            <w:pPr>
              <w:widowControl/>
              <w:ind w:firstLine="560" w:firstLineChars="200"/>
              <w:jc w:val="both"/>
              <w:rPr>
                <w:rFonts w:hint="eastAsia" w:eastAsia="仿宋_GB2312"/>
                <w:color w:val="000000"/>
                <w:kern w:val="0"/>
                <w:sz w:val="28"/>
                <w:szCs w:val="28"/>
                <w:lang w:val="en-US" w:eastAsia="zh-CN"/>
              </w:rPr>
            </w:pPr>
            <w:r>
              <w:rPr>
                <w:rFonts w:hint="eastAsia"/>
                <w:color w:val="000000"/>
                <w:kern w:val="0"/>
                <w:sz w:val="28"/>
                <w:szCs w:val="28"/>
                <w:lang w:val="en-US" w:eastAsia="zh-CN"/>
              </w:rPr>
              <w:t>2.“2024年预算数”的实有人员18人，其中：在职人员11人，离退休人员7人。</w:t>
            </w: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p>
      <w:pPr>
        <w:spacing w:line="700" w:lineRule="exact"/>
        <w:rPr>
          <w:rFonts w:eastAsia="楷体_GB2312"/>
          <w:kern w:val="0"/>
          <w:szCs w:val="32"/>
        </w:rPr>
      </w:pPr>
      <w:r>
        <w:rPr>
          <w:rFonts w:eastAsia="楷体_GB2312"/>
          <w:kern w:val="0"/>
          <w:szCs w:val="32"/>
        </w:rPr>
        <w:t xml:space="preserve">    </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spacing w:line="700" w:lineRule="exact"/>
        <w:jc w:val="center"/>
        <w:rPr>
          <w:rFonts w:eastAsia="楷体"/>
          <w:kern w:val="0"/>
          <w:szCs w:val="32"/>
        </w:rPr>
      </w:pPr>
    </w:p>
    <w:p>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67"/>
        <w:gridCol w:w="1320"/>
        <w:gridCol w:w="240"/>
        <w:gridCol w:w="707"/>
        <w:gridCol w:w="833"/>
        <w:gridCol w:w="919"/>
        <w:gridCol w:w="400"/>
        <w:gridCol w:w="467"/>
        <w:gridCol w:w="367"/>
        <w:gridCol w:w="350"/>
        <w:gridCol w:w="633"/>
        <w:gridCol w:w="550"/>
        <w:gridCol w:w="633"/>
        <w:gridCol w:w="384"/>
        <w:gridCol w:w="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5" w:type="dxa"/>
            <w:gridSpan w:val="16"/>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41"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487" w:type="dxa"/>
            <w:gridSpan w:val="2"/>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707"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833"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503"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554"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41" w:type="dxa"/>
            <w:vMerge w:val="restart"/>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2727" w:type="dxa"/>
            <w:gridSpan w:val="3"/>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707" w:type="dxa"/>
            <w:vMerge w:val="restart"/>
            <w:noWrap w:val="0"/>
            <w:textDirection w:val="tbRlV"/>
            <w:vAlign w:val="center"/>
          </w:tcPr>
          <w:p>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833" w:type="dxa"/>
            <w:vMerge w:val="restart"/>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503" w:type="dxa"/>
            <w:gridSpan w:val="5"/>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554" w:type="dxa"/>
            <w:gridSpan w:val="5"/>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41" w:type="dxa"/>
            <w:vMerge w:val="continue"/>
            <w:noWrap w:val="0"/>
            <w:vAlign w:val="center"/>
          </w:tcPr>
          <w:p>
            <w:pPr>
              <w:autoSpaceDN w:val="0"/>
              <w:jc w:val="center"/>
              <w:textAlignment w:val="center"/>
              <w:rPr>
                <w:rFonts w:hint="eastAsia" w:ascii="Calibri" w:hAnsi="Calibri" w:eastAsia="华文细黑"/>
                <w:color w:val="000000"/>
                <w:sz w:val="20"/>
                <w:szCs w:val="22"/>
              </w:rPr>
            </w:pPr>
          </w:p>
        </w:tc>
        <w:tc>
          <w:tcPr>
            <w:tcW w:w="1167" w:type="dxa"/>
            <w:vMerge w:val="restart"/>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560" w:type="dxa"/>
            <w:gridSpan w:val="2"/>
            <w:vMerge w:val="restart"/>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二级项目</w:t>
            </w:r>
          </w:p>
        </w:tc>
        <w:tc>
          <w:tcPr>
            <w:tcW w:w="707" w:type="dxa"/>
            <w:vMerge w:val="continue"/>
            <w:noWrap w:val="0"/>
            <w:textDirection w:val="tbLrV"/>
            <w:vAlign w:val="center"/>
          </w:tcPr>
          <w:p>
            <w:pPr>
              <w:autoSpaceDN w:val="0"/>
              <w:ind w:left="113" w:right="113"/>
              <w:jc w:val="center"/>
              <w:textAlignment w:val="center"/>
              <w:rPr>
                <w:rFonts w:hint="eastAsia" w:ascii="Calibri" w:hAnsi="Calibri" w:eastAsia="华文细黑"/>
                <w:color w:val="000000"/>
                <w:sz w:val="20"/>
                <w:szCs w:val="22"/>
                <w:lang w:eastAsia="zh-CN"/>
              </w:rPr>
            </w:pPr>
          </w:p>
        </w:tc>
        <w:tc>
          <w:tcPr>
            <w:tcW w:w="833" w:type="dxa"/>
            <w:vMerge w:val="continue"/>
            <w:noWrap w:val="0"/>
            <w:vAlign w:val="center"/>
          </w:tcPr>
          <w:p>
            <w:pPr>
              <w:autoSpaceDN w:val="0"/>
              <w:jc w:val="center"/>
              <w:textAlignment w:val="center"/>
              <w:rPr>
                <w:rFonts w:hint="eastAsia" w:ascii="Calibri" w:hAnsi="Calibri" w:eastAsia="华文细黑"/>
                <w:color w:val="000000"/>
                <w:sz w:val="20"/>
                <w:szCs w:val="22"/>
              </w:rPr>
            </w:pPr>
          </w:p>
        </w:tc>
        <w:tc>
          <w:tcPr>
            <w:tcW w:w="1786" w:type="dxa"/>
            <w:gridSpan w:val="3"/>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367" w:type="dxa"/>
            <w:vMerge w:val="restart"/>
            <w:noWrap w:val="0"/>
            <w:textDirection w:val="tbLrV"/>
            <w:vAlign w:val="center"/>
          </w:tcPr>
          <w:p>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50" w:type="dxa"/>
            <w:vMerge w:val="restart"/>
            <w:noWrap w:val="0"/>
            <w:textDirection w:val="tbLrV"/>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816" w:type="dxa"/>
            <w:gridSpan w:val="3"/>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738" w:type="dxa"/>
            <w:gridSpan w:val="2"/>
            <w:noWrap w:val="0"/>
            <w:vAlign w:val="center"/>
          </w:tcPr>
          <w:p>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641" w:type="dxa"/>
            <w:vMerge w:val="continue"/>
            <w:noWrap w:val="0"/>
            <w:vAlign w:val="center"/>
          </w:tcPr>
          <w:p>
            <w:pPr>
              <w:autoSpaceDN w:val="0"/>
              <w:jc w:val="center"/>
              <w:textAlignment w:val="center"/>
              <w:rPr>
                <w:rFonts w:ascii="Calibri" w:hAnsi="Calibri" w:eastAsia="华文细黑"/>
                <w:color w:val="000000"/>
                <w:sz w:val="20"/>
                <w:szCs w:val="22"/>
              </w:rPr>
            </w:pPr>
          </w:p>
        </w:tc>
        <w:tc>
          <w:tcPr>
            <w:tcW w:w="1167" w:type="dxa"/>
            <w:vMerge w:val="continue"/>
            <w:noWrap w:val="0"/>
            <w:vAlign w:val="center"/>
          </w:tcPr>
          <w:p>
            <w:pPr>
              <w:autoSpaceDN w:val="0"/>
              <w:jc w:val="center"/>
              <w:textAlignment w:val="center"/>
              <w:rPr>
                <w:rFonts w:ascii="Calibri" w:hAnsi="Calibri" w:eastAsia="华文细黑"/>
                <w:color w:val="000000"/>
                <w:sz w:val="20"/>
                <w:szCs w:val="22"/>
              </w:rPr>
            </w:pPr>
          </w:p>
        </w:tc>
        <w:tc>
          <w:tcPr>
            <w:tcW w:w="1560" w:type="dxa"/>
            <w:gridSpan w:val="2"/>
            <w:vMerge w:val="continue"/>
            <w:noWrap w:val="0"/>
            <w:vAlign w:val="center"/>
          </w:tcPr>
          <w:p>
            <w:pPr>
              <w:autoSpaceDN w:val="0"/>
              <w:jc w:val="center"/>
              <w:textAlignment w:val="center"/>
              <w:rPr>
                <w:rFonts w:hint="eastAsia" w:ascii="Calibri" w:hAnsi="Calibri" w:eastAsia="华文细黑"/>
                <w:color w:val="000000"/>
                <w:sz w:val="20"/>
                <w:szCs w:val="22"/>
              </w:rPr>
            </w:pPr>
          </w:p>
        </w:tc>
        <w:tc>
          <w:tcPr>
            <w:tcW w:w="707" w:type="dxa"/>
            <w:vMerge w:val="continue"/>
            <w:noWrap w:val="0"/>
            <w:vAlign w:val="center"/>
          </w:tcPr>
          <w:p>
            <w:pPr>
              <w:autoSpaceDN w:val="0"/>
              <w:jc w:val="center"/>
              <w:textAlignment w:val="center"/>
              <w:rPr>
                <w:rFonts w:ascii="Calibri" w:hAnsi="Calibri" w:eastAsia="华文细黑"/>
                <w:color w:val="000000"/>
                <w:sz w:val="20"/>
                <w:szCs w:val="22"/>
              </w:rPr>
            </w:pPr>
          </w:p>
        </w:tc>
        <w:tc>
          <w:tcPr>
            <w:tcW w:w="833" w:type="dxa"/>
            <w:vMerge w:val="continue"/>
            <w:noWrap w:val="0"/>
            <w:vAlign w:val="center"/>
          </w:tcPr>
          <w:p>
            <w:pPr>
              <w:autoSpaceDN w:val="0"/>
              <w:jc w:val="center"/>
              <w:textAlignment w:val="center"/>
              <w:rPr>
                <w:rFonts w:ascii="Calibri" w:hAnsi="Calibri" w:eastAsia="华文细黑"/>
                <w:color w:val="000000"/>
                <w:sz w:val="20"/>
                <w:szCs w:val="22"/>
              </w:rPr>
            </w:pPr>
          </w:p>
        </w:tc>
        <w:tc>
          <w:tcPr>
            <w:tcW w:w="919" w:type="dxa"/>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00" w:type="dxa"/>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67"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367" w:type="dxa"/>
            <w:vMerge w:val="continue"/>
            <w:noWrap w:val="0"/>
            <w:textDirection w:val="tbLrV"/>
            <w:vAlign w:val="center"/>
          </w:tcPr>
          <w:p>
            <w:pPr>
              <w:autoSpaceDN w:val="0"/>
              <w:ind w:left="113" w:right="113"/>
              <w:jc w:val="center"/>
              <w:textAlignment w:val="center"/>
              <w:rPr>
                <w:rFonts w:hint="eastAsia" w:ascii="Calibri" w:hAnsi="Calibri" w:eastAsia="华文细黑"/>
                <w:color w:val="000000"/>
                <w:sz w:val="20"/>
                <w:szCs w:val="22"/>
                <w:lang w:eastAsia="zh-CN"/>
              </w:rPr>
            </w:pPr>
          </w:p>
        </w:tc>
        <w:tc>
          <w:tcPr>
            <w:tcW w:w="350" w:type="dxa"/>
            <w:vMerge w:val="continue"/>
            <w:noWrap w:val="0"/>
            <w:textDirection w:val="tbLrV"/>
            <w:vAlign w:val="center"/>
          </w:tcPr>
          <w:p>
            <w:pPr>
              <w:autoSpaceDN w:val="0"/>
              <w:ind w:left="113" w:right="113"/>
              <w:jc w:val="center"/>
              <w:textAlignment w:val="center"/>
              <w:rPr>
                <w:rFonts w:hint="eastAsia" w:ascii="Calibri" w:hAnsi="Calibri" w:eastAsia="华文细黑"/>
                <w:color w:val="000000"/>
                <w:sz w:val="20"/>
                <w:szCs w:val="22"/>
              </w:rPr>
            </w:pPr>
          </w:p>
        </w:tc>
        <w:tc>
          <w:tcPr>
            <w:tcW w:w="633"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50"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633"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384" w:type="dxa"/>
            <w:noWrap w:val="0"/>
            <w:textDirection w:val="tbRlV"/>
            <w:vAlign w:val="center"/>
          </w:tcPr>
          <w:p>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54" w:type="dxa"/>
            <w:noWrap w:val="0"/>
            <w:textDirection w:val="tbRlV"/>
            <w:vAlign w:val="center"/>
          </w:tcPr>
          <w:p>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1" w:type="dxa"/>
            <w:noWrap w:val="0"/>
            <w:vAlign w:val="center"/>
          </w:tcPr>
          <w:p>
            <w:pPr>
              <w:spacing w:line="240" w:lineRule="auto"/>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专项业务支出</w:t>
            </w:r>
          </w:p>
        </w:tc>
        <w:tc>
          <w:tcPr>
            <w:tcW w:w="1167"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1560" w:type="dxa"/>
            <w:gridSpan w:val="2"/>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707"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833"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59.25</w:t>
            </w:r>
          </w:p>
        </w:tc>
        <w:tc>
          <w:tcPr>
            <w:tcW w:w="919"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57.00</w:t>
            </w:r>
          </w:p>
        </w:tc>
        <w:tc>
          <w:tcPr>
            <w:tcW w:w="400"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p>
        </w:tc>
        <w:tc>
          <w:tcPr>
            <w:tcW w:w="4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2.25</w:t>
            </w:r>
          </w:p>
        </w:tc>
        <w:tc>
          <w:tcPr>
            <w:tcW w:w="5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4" w:type="dxa"/>
            <w:noWrap w:val="0"/>
            <w:vAlign w:val="center"/>
          </w:tcPr>
          <w:p>
            <w:pPr>
              <w:spacing w:line="700" w:lineRule="exact"/>
              <w:jc w:val="center"/>
              <w:rPr>
                <w:rFonts w:hint="default" w:ascii="Times New Roman" w:hAnsi="Times New Roman" w:eastAsia="楷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1"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1167" w:type="dxa"/>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专项普查活动</w:t>
            </w:r>
          </w:p>
        </w:tc>
        <w:tc>
          <w:tcPr>
            <w:tcW w:w="1560" w:type="dxa"/>
            <w:gridSpan w:val="2"/>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707" w:type="dxa"/>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833"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32.43</w:t>
            </w:r>
          </w:p>
        </w:tc>
        <w:tc>
          <w:tcPr>
            <w:tcW w:w="919"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32.43</w:t>
            </w:r>
          </w:p>
        </w:tc>
        <w:tc>
          <w:tcPr>
            <w:tcW w:w="40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4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5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4" w:type="dxa"/>
            <w:noWrap w:val="0"/>
            <w:vAlign w:val="center"/>
          </w:tcPr>
          <w:p>
            <w:pPr>
              <w:spacing w:line="700" w:lineRule="exact"/>
              <w:jc w:val="center"/>
              <w:rPr>
                <w:rFonts w:hint="default" w:ascii="Times New Roman" w:hAnsi="Times New Roman" w:eastAsia="楷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1"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1167" w:type="dxa"/>
            <w:noWrap w:val="0"/>
            <w:vAlign w:val="center"/>
          </w:tcPr>
          <w:p>
            <w:pPr>
              <w:spacing w:line="240" w:lineRule="auto"/>
              <w:jc w:val="center"/>
              <w:rPr>
                <w:rFonts w:hint="eastAsia" w:ascii="宋体" w:hAnsi="宋体" w:eastAsia="宋体" w:cs="宋体"/>
                <w:kern w:val="0"/>
                <w:sz w:val="20"/>
                <w:szCs w:val="20"/>
                <w:lang w:eastAsia="zh-CN"/>
              </w:rPr>
            </w:pPr>
          </w:p>
        </w:tc>
        <w:tc>
          <w:tcPr>
            <w:tcW w:w="1560" w:type="dxa"/>
            <w:gridSpan w:val="2"/>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第五次全国经济普查</w:t>
            </w:r>
          </w:p>
        </w:tc>
        <w:tc>
          <w:tcPr>
            <w:tcW w:w="707" w:type="dxa"/>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辉南县统计局</w:t>
            </w:r>
          </w:p>
        </w:tc>
        <w:tc>
          <w:tcPr>
            <w:tcW w:w="833" w:type="dxa"/>
            <w:noWrap w:val="0"/>
            <w:vAlign w:val="center"/>
          </w:tcPr>
          <w:p>
            <w:pPr>
              <w:spacing w:line="700" w:lineRule="exact"/>
              <w:jc w:val="center"/>
              <w:rPr>
                <w:rFonts w:hint="default" w:eastAsia="楷体" w:cs="Times New Roman"/>
                <w:kern w:val="0"/>
                <w:sz w:val="20"/>
                <w:szCs w:val="20"/>
                <w:lang w:val="en-US" w:eastAsia="zh-CN"/>
              </w:rPr>
            </w:pPr>
            <w:r>
              <w:rPr>
                <w:rFonts w:hint="eastAsia" w:eastAsia="楷体" w:cs="Times New Roman"/>
                <w:kern w:val="0"/>
                <w:sz w:val="20"/>
                <w:szCs w:val="20"/>
                <w:lang w:val="en-US" w:eastAsia="zh-CN"/>
              </w:rPr>
              <w:t>32.43</w:t>
            </w:r>
          </w:p>
        </w:tc>
        <w:tc>
          <w:tcPr>
            <w:tcW w:w="919" w:type="dxa"/>
            <w:noWrap w:val="0"/>
            <w:vAlign w:val="center"/>
          </w:tcPr>
          <w:p>
            <w:pPr>
              <w:spacing w:line="700" w:lineRule="exact"/>
              <w:jc w:val="center"/>
              <w:rPr>
                <w:rFonts w:hint="default" w:eastAsia="楷体" w:cs="Times New Roman"/>
                <w:kern w:val="0"/>
                <w:sz w:val="20"/>
                <w:szCs w:val="20"/>
                <w:lang w:val="en-US" w:eastAsia="zh-CN"/>
              </w:rPr>
            </w:pPr>
            <w:r>
              <w:rPr>
                <w:rFonts w:hint="eastAsia" w:eastAsia="楷体" w:cs="Times New Roman"/>
                <w:kern w:val="0"/>
                <w:sz w:val="20"/>
                <w:szCs w:val="20"/>
                <w:lang w:val="en-US" w:eastAsia="zh-CN"/>
              </w:rPr>
              <w:t>32.43</w:t>
            </w:r>
          </w:p>
        </w:tc>
        <w:tc>
          <w:tcPr>
            <w:tcW w:w="40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4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5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4" w:type="dxa"/>
            <w:noWrap w:val="0"/>
            <w:vAlign w:val="center"/>
          </w:tcPr>
          <w:p>
            <w:pPr>
              <w:spacing w:line="700" w:lineRule="exact"/>
              <w:jc w:val="center"/>
              <w:rPr>
                <w:rFonts w:hint="default" w:ascii="Times New Roman" w:hAnsi="Times New Roman" w:eastAsia="楷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41"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1167" w:type="dxa"/>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专项统计业务</w:t>
            </w:r>
          </w:p>
        </w:tc>
        <w:tc>
          <w:tcPr>
            <w:tcW w:w="1560" w:type="dxa"/>
            <w:gridSpan w:val="2"/>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707" w:type="dxa"/>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833" w:type="dxa"/>
            <w:noWrap w:val="0"/>
            <w:vAlign w:val="center"/>
          </w:tcPr>
          <w:p>
            <w:pPr>
              <w:spacing w:line="700" w:lineRule="exact"/>
              <w:jc w:val="center"/>
              <w:rPr>
                <w:rFonts w:hint="eastAsia" w:ascii="Times New Roman" w:hAnsi="Times New Roman" w:eastAsia="楷体" w:cs="Times New Roman"/>
                <w:kern w:val="0"/>
                <w:sz w:val="20"/>
                <w:szCs w:val="20"/>
                <w:lang w:val="en-US" w:eastAsia="zh-CN" w:bidi="ar-SA"/>
              </w:rPr>
            </w:pPr>
            <w:r>
              <w:rPr>
                <w:rFonts w:hint="eastAsia" w:eastAsia="楷体" w:cs="Times New Roman"/>
                <w:kern w:val="0"/>
                <w:sz w:val="20"/>
                <w:szCs w:val="20"/>
                <w:lang w:val="en-US" w:eastAsia="zh-CN"/>
              </w:rPr>
              <w:t>15.04</w:t>
            </w:r>
          </w:p>
        </w:tc>
        <w:tc>
          <w:tcPr>
            <w:tcW w:w="919" w:type="dxa"/>
            <w:noWrap w:val="0"/>
            <w:vAlign w:val="center"/>
          </w:tcPr>
          <w:p>
            <w:pPr>
              <w:spacing w:line="700" w:lineRule="exact"/>
              <w:jc w:val="center"/>
              <w:rPr>
                <w:rFonts w:hint="eastAsia" w:ascii="Times New Roman" w:hAnsi="Times New Roman" w:eastAsia="楷体" w:cs="Times New Roman"/>
                <w:kern w:val="0"/>
                <w:sz w:val="20"/>
                <w:szCs w:val="20"/>
                <w:lang w:val="en-US" w:eastAsia="zh-CN" w:bidi="ar-SA"/>
              </w:rPr>
            </w:pPr>
            <w:r>
              <w:rPr>
                <w:rFonts w:hint="eastAsia" w:eastAsia="楷体" w:cs="Times New Roman"/>
                <w:kern w:val="0"/>
                <w:sz w:val="20"/>
                <w:szCs w:val="20"/>
                <w:lang w:val="en-US" w:eastAsia="zh-CN"/>
              </w:rPr>
              <w:t>15.04</w:t>
            </w:r>
          </w:p>
        </w:tc>
        <w:tc>
          <w:tcPr>
            <w:tcW w:w="40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4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5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4" w:type="dxa"/>
            <w:noWrap w:val="0"/>
            <w:vAlign w:val="center"/>
          </w:tcPr>
          <w:p>
            <w:pPr>
              <w:spacing w:line="700" w:lineRule="exact"/>
              <w:jc w:val="center"/>
              <w:rPr>
                <w:rFonts w:hint="default" w:ascii="Times New Roman" w:hAnsi="Times New Roman" w:eastAsia="楷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41"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1167" w:type="dxa"/>
            <w:noWrap w:val="0"/>
            <w:vAlign w:val="center"/>
          </w:tcPr>
          <w:p>
            <w:pPr>
              <w:spacing w:line="240" w:lineRule="auto"/>
              <w:jc w:val="center"/>
              <w:rPr>
                <w:rFonts w:hint="eastAsia" w:ascii="宋体" w:hAnsi="宋体" w:eastAsia="宋体" w:cs="宋体"/>
                <w:kern w:val="0"/>
                <w:sz w:val="20"/>
                <w:szCs w:val="20"/>
                <w:lang w:eastAsia="zh-CN"/>
              </w:rPr>
            </w:pPr>
          </w:p>
        </w:tc>
        <w:tc>
          <w:tcPr>
            <w:tcW w:w="1560" w:type="dxa"/>
            <w:gridSpan w:val="2"/>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统计调查经费</w:t>
            </w:r>
          </w:p>
        </w:tc>
        <w:tc>
          <w:tcPr>
            <w:tcW w:w="707" w:type="dxa"/>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辉南县统计局</w:t>
            </w:r>
          </w:p>
        </w:tc>
        <w:tc>
          <w:tcPr>
            <w:tcW w:w="833" w:type="dxa"/>
            <w:noWrap w:val="0"/>
            <w:vAlign w:val="center"/>
          </w:tcPr>
          <w:p>
            <w:pPr>
              <w:spacing w:line="700" w:lineRule="exact"/>
              <w:jc w:val="center"/>
              <w:rPr>
                <w:rFonts w:hint="eastAsia" w:ascii="Times New Roman" w:hAnsi="Times New Roman" w:eastAsia="楷体" w:cs="Times New Roman"/>
                <w:kern w:val="0"/>
                <w:sz w:val="20"/>
                <w:szCs w:val="20"/>
                <w:lang w:val="en-US" w:eastAsia="zh-CN" w:bidi="ar-SA"/>
              </w:rPr>
            </w:pPr>
            <w:r>
              <w:rPr>
                <w:rFonts w:hint="eastAsia" w:eastAsia="楷体" w:cs="Times New Roman"/>
                <w:kern w:val="0"/>
                <w:sz w:val="20"/>
                <w:szCs w:val="20"/>
                <w:lang w:val="en-US" w:eastAsia="zh-CN"/>
              </w:rPr>
              <w:t>15.04</w:t>
            </w:r>
          </w:p>
        </w:tc>
        <w:tc>
          <w:tcPr>
            <w:tcW w:w="919" w:type="dxa"/>
            <w:noWrap w:val="0"/>
            <w:vAlign w:val="center"/>
          </w:tcPr>
          <w:p>
            <w:pPr>
              <w:spacing w:line="700" w:lineRule="exact"/>
              <w:jc w:val="center"/>
              <w:rPr>
                <w:rFonts w:hint="eastAsia" w:ascii="Times New Roman" w:hAnsi="Times New Roman" w:eastAsia="楷体" w:cs="Times New Roman"/>
                <w:kern w:val="0"/>
                <w:sz w:val="20"/>
                <w:szCs w:val="20"/>
                <w:lang w:val="en-US" w:eastAsia="zh-CN" w:bidi="ar-SA"/>
              </w:rPr>
            </w:pPr>
            <w:r>
              <w:rPr>
                <w:rFonts w:hint="eastAsia" w:eastAsia="楷体" w:cs="Times New Roman"/>
                <w:kern w:val="0"/>
                <w:sz w:val="20"/>
                <w:szCs w:val="20"/>
                <w:lang w:val="en-US" w:eastAsia="zh-CN"/>
              </w:rPr>
              <w:t>15.04</w:t>
            </w:r>
          </w:p>
        </w:tc>
        <w:tc>
          <w:tcPr>
            <w:tcW w:w="40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4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5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4" w:type="dxa"/>
            <w:noWrap w:val="0"/>
            <w:vAlign w:val="center"/>
          </w:tcPr>
          <w:p>
            <w:pPr>
              <w:spacing w:line="700" w:lineRule="exact"/>
              <w:jc w:val="center"/>
              <w:rPr>
                <w:rFonts w:hint="default" w:ascii="Times New Roman" w:hAnsi="Times New Roman" w:eastAsia="楷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1167" w:type="dxa"/>
            <w:noWrap w:val="0"/>
            <w:vAlign w:val="center"/>
          </w:tcPr>
          <w:p>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统计综合业务管理</w:t>
            </w:r>
          </w:p>
        </w:tc>
        <w:tc>
          <w:tcPr>
            <w:tcW w:w="1560" w:type="dxa"/>
            <w:gridSpan w:val="2"/>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707" w:type="dxa"/>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833" w:type="dxa"/>
            <w:noWrap w:val="0"/>
            <w:vAlign w:val="center"/>
          </w:tcPr>
          <w:p>
            <w:pPr>
              <w:spacing w:line="700" w:lineRule="exact"/>
              <w:jc w:val="center"/>
              <w:rPr>
                <w:rFonts w:hint="default" w:eastAsia="楷体" w:cs="Times New Roman"/>
                <w:kern w:val="0"/>
                <w:sz w:val="20"/>
                <w:szCs w:val="20"/>
                <w:lang w:val="en-US" w:eastAsia="zh-CN"/>
              </w:rPr>
            </w:pPr>
            <w:r>
              <w:rPr>
                <w:rFonts w:hint="eastAsia" w:eastAsia="楷体" w:cs="Times New Roman"/>
                <w:kern w:val="0"/>
                <w:sz w:val="20"/>
                <w:szCs w:val="20"/>
                <w:lang w:val="en-US" w:eastAsia="zh-CN"/>
              </w:rPr>
              <w:t>11.78</w:t>
            </w:r>
          </w:p>
        </w:tc>
        <w:tc>
          <w:tcPr>
            <w:tcW w:w="919" w:type="dxa"/>
            <w:noWrap w:val="0"/>
            <w:vAlign w:val="center"/>
          </w:tcPr>
          <w:p>
            <w:pPr>
              <w:spacing w:line="700" w:lineRule="exact"/>
              <w:jc w:val="center"/>
              <w:rPr>
                <w:rFonts w:hint="default" w:eastAsia="楷体" w:cs="Times New Roman"/>
                <w:kern w:val="0"/>
                <w:sz w:val="20"/>
                <w:szCs w:val="20"/>
                <w:lang w:val="en-US" w:eastAsia="zh-CN"/>
              </w:rPr>
            </w:pPr>
            <w:r>
              <w:rPr>
                <w:rFonts w:hint="eastAsia" w:eastAsia="楷体" w:cs="Times New Roman"/>
                <w:kern w:val="0"/>
                <w:sz w:val="20"/>
                <w:szCs w:val="20"/>
                <w:lang w:val="en-US" w:eastAsia="zh-CN"/>
              </w:rPr>
              <w:t>9.53</w:t>
            </w:r>
          </w:p>
        </w:tc>
        <w:tc>
          <w:tcPr>
            <w:tcW w:w="40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4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2.25</w:t>
            </w:r>
          </w:p>
        </w:tc>
        <w:tc>
          <w:tcPr>
            <w:tcW w:w="5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4" w:type="dxa"/>
            <w:noWrap w:val="0"/>
            <w:vAlign w:val="center"/>
          </w:tcPr>
          <w:p>
            <w:pPr>
              <w:spacing w:line="700" w:lineRule="exact"/>
              <w:jc w:val="center"/>
              <w:rPr>
                <w:rFonts w:hint="default" w:ascii="Times New Roman" w:hAnsi="Times New Roman" w:eastAsia="楷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41"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1167" w:type="dxa"/>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1560" w:type="dxa"/>
            <w:gridSpan w:val="2"/>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员额人员经费</w:t>
            </w:r>
          </w:p>
        </w:tc>
        <w:tc>
          <w:tcPr>
            <w:tcW w:w="707" w:type="dxa"/>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辉南县统计局</w:t>
            </w:r>
          </w:p>
        </w:tc>
        <w:tc>
          <w:tcPr>
            <w:tcW w:w="833"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11.78</w:t>
            </w:r>
          </w:p>
        </w:tc>
        <w:tc>
          <w:tcPr>
            <w:tcW w:w="919"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9.53</w:t>
            </w:r>
          </w:p>
        </w:tc>
        <w:tc>
          <w:tcPr>
            <w:tcW w:w="40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4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2.25</w:t>
            </w:r>
          </w:p>
        </w:tc>
        <w:tc>
          <w:tcPr>
            <w:tcW w:w="5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4" w:type="dxa"/>
            <w:noWrap w:val="0"/>
            <w:vAlign w:val="center"/>
          </w:tcPr>
          <w:p>
            <w:pPr>
              <w:spacing w:line="700" w:lineRule="exact"/>
              <w:jc w:val="center"/>
              <w:rPr>
                <w:rFonts w:hint="default" w:ascii="Times New Roman" w:hAnsi="Times New Roman" w:eastAsia="楷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1"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1167" w:type="dxa"/>
            <w:noWrap w:val="0"/>
            <w:vAlign w:val="center"/>
          </w:tcPr>
          <w:p>
            <w:pPr>
              <w:autoSpaceDN w:val="0"/>
              <w:jc w:val="center"/>
              <w:textAlignment w:val="center"/>
              <w:rPr>
                <w:rFonts w:hint="default" w:ascii="宋体" w:hAnsi="宋体" w:eastAsia="宋体" w:cs="宋体"/>
                <w:color w:val="000000"/>
                <w:sz w:val="20"/>
                <w:szCs w:val="22"/>
                <w:lang w:val="en-US" w:eastAsia="zh-CN"/>
              </w:rPr>
            </w:pPr>
          </w:p>
        </w:tc>
        <w:tc>
          <w:tcPr>
            <w:tcW w:w="1560" w:type="dxa"/>
            <w:gridSpan w:val="2"/>
            <w:noWrap w:val="0"/>
            <w:vAlign w:val="center"/>
          </w:tcPr>
          <w:p>
            <w:pPr>
              <w:spacing w:line="700" w:lineRule="exact"/>
              <w:jc w:val="center"/>
              <w:rPr>
                <w:rFonts w:hint="eastAsia" w:ascii="宋体" w:hAnsi="宋体" w:eastAsia="宋体" w:cs="宋体"/>
                <w:kern w:val="0"/>
                <w:szCs w:val="32"/>
              </w:rPr>
            </w:pPr>
          </w:p>
        </w:tc>
        <w:tc>
          <w:tcPr>
            <w:tcW w:w="707" w:type="dxa"/>
            <w:noWrap w:val="0"/>
            <w:vAlign w:val="center"/>
          </w:tcPr>
          <w:p>
            <w:pPr>
              <w:spacing w:line="700" w:lineRule="exact"/>
              <w:jc w:val="center"/>
              <w:rPr>
                <w:rFonts w:hint="eastAsia" w:ascii="宋体" w:hAnsi="宋体" w:eastAsia="宋体" w:cs="宋体"/>
                <w:kern w:val="0"/>
                <w:szCs w:val="32"/>
              </w:rPr>
            </w:pPr>
          </w:p>
        </w:tc>
        <w:tc>
          <w:tcPr>
            <w:tcW w:w="833"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59.25</w:t>
            </w:r>
          </w:p>
        </w:tc>
        <w:tc>
          <w:tcPr>
            <w:tcW w:w="919"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57.00</w:t>
            </w:r>
          </w:p>
        </w:tc>
        <w:tc>
          <w:tcPr>
            <w:tcW w:w="40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4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2.25</w:t>
            </w:r>
          </w:p>
        </w:tc>
        <w:tc>
          <w:tcPr>
            <w:tcW w:w="5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4" w:type="dxa"/>
            <w:noWrap w:val="0"/>
            <w:vAlign w:val="center"/>
          </w:tcPr>
          <w:p>
            <w:pPr>
              <w:spacing w:line="700" w:lineRule="exact"/>
              <w:jc w:val="center"/>
              <w:rPr>
                <w:rFonts w:hint="default" w:ascii="Times New Roman" w:hAnsi="Times New Roman" w:eastAsia="楷体" w:cs="Times New Roman"/>
                <w:kern w:val="0"/>
                <w:sz w:val="20"/>
                <w:szCs w:val="20"/>
              </w:rPr>
            </w:pPr>
          </w:p>
        </w:tc>
      </w:tr>
    </w:tbl>
    <w:p>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pPr>
        <w:ind w:firstLine="640" w:firstLineChars="200"/>
        <w:rPr>
          <w:rFonts w:hAnsi="楷体" w:eastAsia="楷体"/>
        </w:rPr>
      </w:pPr>
    </w:p>
    <w:tbl>
      <w:tblPr>
        <w:tblStyle w:val="10"/>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973"/>
        <w:gridCol w:w="1016"/>
        <w:gridCol w:w="634"/>
        <w:gridCol w:w="1050"/>
        <w:gridCol w:w="1066"/>
        <w:gridCol w:w="844"/>
        <w:gridCol w:w="1023"/>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99"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辉南县统计局</w:t>
            </w:r>
          </w:p>
        </w:tc>
        <w:tc>
          <w:tcPr>
            <w:tcW w:w="1038"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第五次全国经济普查经费</w:t>
            </w:r>
          </w:p>
        </w:tc>
        <w:tc>
          <w:tcPr>
            <w:tcW w:w="973" w:type="dxa"/>
            <w:vMerge w:val="restart"/>
            <w:tcBorders>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32.43</w:t>
            </w:r>
          </w:p>
        </w:tc>
        <w:tc>
          <w:tcPr>
            <w:tcW w:w="1016"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登记、数据处理、数据质量抽查和技术总结阶段。进行普查登记，普查表审核及数据处理，对普查登记阶段进行监督和执法检查。普查登记质量和数据处理质量进行抽查，汇总普查原始资料，审核汇总资料，技术总结。</w:t>
            </w:r>
          </w:p>
        </w:tc>
        <w:tc>
          <w:tcPr>
            <w:tcW w:w="634" w:type="dxa"/>
            <w:vMerge w:val="restart"/>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050"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66"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选聘普查员和普查指导员人数</w:t>
            </w:r>
          </w:p>
        </w:tc>
        <w:tc>
          <w:tcPr>
            <w:tcW w:w="84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第五次全国经济普查选聘普查员和普查指导员人数</w:t>
            </w:r>
          </w:p>
        </w:tc>
        <w:tc>
          <w:tcPr>
            <w:tcW w:w="1023"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Arial" w:hAnsi="Arial" w:eastAsia="宋体" w:cs="Arial"/>
                <w:kern w:val="0"/>
                <w:sz w:val="20"/>
                <w:szCs w:val="20"/>
                <w:vertAlign w:val="baseline"/>
                <w:lang w:val="en-US" w:eastAsia="zh-CN"/>
              </w:rPr>
              <w:t>≥</w:t>
            </w:r>
            <w:r>
              <w:rPr>
                <w:rFonts w:hint="default" w:ascii="华文细黑" w:hAnsi="华文细黑" w:eastAsia="华文细黑" w:cs="华文细黑"/>
                <w:i w:val="0"/>
                <w:iCs w:val="0"/>
                <w:color w:val="000000"/>
                <w:kern w:val="0"/>
                <w:sz w:val="20"/>
                <w:szCs w:val="20"/>
                <w:u w:val="none"/>
                <w:lang w:val="en-US" w:eastAsia="zh-CN" w:bidi="ar"/>
              </w:rPr>
              <w:t>350人次</w:t>
            </w:r>
          </w:p>
        </w:tc>
        <w:tc>
          <w:tcPr>
            <w:tcW w:w="617"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34"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50"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066"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“两员”劳务费发放率</w:t>
            </w:r>
          </w:p>
        </w:tc>
        <w:tc>
          <w:tcPr>
            <w:tcW w:w="844"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“两员”劳务费发放率</w:t>
            </w:r>
          </w:p>
        </w:tc>
        <w:tc>
          <w:tcPr>
            <w:tcW w:w="1023"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=100%</w:t>
            </w:r>
          </w:p>
        </w:tc>
        <w:tc>
          <w:tcPr>
            <w:tcW w:w="617"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34"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50"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066"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劳务费发放及时性</w:t>
            </w:r>
          </w:p>
        </w:tc>
        <w:tc>
          <w:tcPr>
            <w:tcW w:w="84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反映劳务费发放及时性情况,7月底前完成</w:t>
            </w:r>
          </w:p>
        </w:tc>
        <w:tc>
          <w:tcPr>
            <w:tcW w:w="1023" w:type="dxa"/>
            <w:noWrap w:val="0"/>
            <w:vAlign w:val="center"/>
          </w:tcPr>
          <w:p>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7月底前</w:t>
            </w:r>
          </w:p>
        </w:tc>
        <w:tc>
          <w:tcPr>
            <w:tcW w:w="617"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34"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效益指标</w:t>
            </w:r>
          </w:p>
        </w:tc>
        <w:tc>
          <w:tcPr>
            <w:tcW w:w="1050"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66"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普查员、普查指导员补贴发放覆盖率</w:t>
            </w:r>
          </w:p>
        </w:tc>
        <w:tc>
          <w:tcPr>
            <w:tcW w:w="84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反映普查员、普查指导员补贴发放覆盖率情况。</w:t>
            </w:r>
          </w:p>
        </w:tc>
        <w:tc>
          <w:tcPr>
            <w:tcW w:w="1023"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=100%</w:t>
            </w:r>
          </w:p>
        </w:tc>
        <w:tc>
          <w:tcPr>
            <w:tcW w:w="617"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pPr>
        <w:spacing w:line="700" w:lineRule="exact"/>
        <w:rPr>
          <w:rFonts w:eastAsia="楷体"/>
          <w:kern w:val="0"/>
          <w:szCs w:val="32"/>
        </w:rPr>
      </w:pPr>
    </w:p>
    <w:p>
      <w:pPr>
        <w:spacing w:line="700" w:lineRule="exact"/>
        <w:rPr>
          <w:rFonts w:eastAsia="楷体"/>
          <w:kern w:val="0"/>
          <w:szCs w:val="32"/>
        </w:rPr>
      </w:pPr>
    </w:p>
    <w:p>
      <w:pPr>
        <w:spacing w:line="700" w:lineRule="exact"/>
        <w:rPr>
          <w:rFonts w:eastAsia="楷体"/>
          <w:kern w:val="0"/>
          <w:szCs w:val="32"/>
        </w:rPr>
      </w:pPr>
    </w:p>
    <w:tbl>
      <w:tblPr>
        <w:tblStyle w:val="10"/>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923"/>
        <w:gridCol w:w="883"/>
        <w:gridCol w:w="683"/>
        <w:gridCol w:w="1067"/>
        <w:gridCol w:w="1033"/>
        <w:gridCol w:w="994"/>
        <w:gridCol w:w="104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399"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辉南县统计局</w:t>
            </w:r>
          </w:p>
        </w:tc>
        <w:tc>
          <w:tcPr>
            <w:tcW w:w="1038"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统计调查经费</w:t>
            </w:r>
          </w:p>
        </w:tc>
        <w:tc>
          <w:tcPr>
            <w:tcW w:w="923" w:type="dxa"/>
            <w:vMerge w:val="restart"/>
            <w:tcBorders>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15.04</w:t>
            </w:r>
          </w:p>
        </w:tc>
        <w:tc>
          <w:tcPr>
            <w:tcW w:w="883"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目标1：通过开展统计调查、统计监测及相关工作为县委县政府提供经济运行各项指标及经济运行分析预测，研判经济发展态势。</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目标2：为社会提供行业发展经济数据。</w:t>
            </w:r>
          </w:p>
        </w:tc>
        <w:tc>
          <w:tcPr>
            <w:tcW w:w="683" w:type="dxa"/>
            <w:vMerge w:val="restart"/>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067" w:type="dxa"/>
            <w:vMerge w:val="restart"/>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33"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统计信息发布条数</w:t>
            </w:r>
          </w:p>
        </w:tc>
        <w:tc>
          <w:tcPr>
            <w:tcW w:w="99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反映数据发布情况</w:t>
            </w:r>
          </w:p>
        </w:tc>
        <w:tc>
          <w:tcPr>
            <w:tcW w:w="1040"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Arial" w:hAnsi="Arial" w:eastAsia="宋体" w:cs="Arial"/>
                <w:kern w:val="0"/>
                <w:sz w:val="20"/>
                <w:szCs w:val="20"/>
                <w:vertAlign w:val="baseline"/>
                <w:lang w:val="en-US" w:eastAsia="zh-CN"/>
              </w:rPr>
              <w:t>≥</w:t>
            </w:r>
            <w:r>
              <w:rPr>
                <w:rFonts w:hint="default" w:ascii="华文细黑" w:hAnsi="华文细黑" w:eastAsia="华文细黑" w:cs="华文细黑"/>
                <w:i w:val="0"/>
                <w:iCs w:val="0"/>
                <w:color w:val="000000"/>
                <w:kern w:val="0"/>
                <w:sz w:val="20"/>
                <w:szCs w:val="20"/>
                <w:u w:val="none"/>
                <w:lang w:val="en-US" w:eastAsia="zh-CN" w:bidi="ar"/>
              </w:rPr>
              <w:t>3篇</w:t>
            </w:r>
          </w:p>
        </w:tc>
        <w:tc>
          <w:tcPr>
            <w:tcW w:w="700"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2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val="en-US" w:eastAsia="zh-CN"/>
              </w:rPr>
            </w:pPr>
          </w:p>
        </w:tc>
        <w:tc>
          <w:tcPr>
            <w:tcW w:w="88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83"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67"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3"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统计培训人次</w:t>
            </w:r>
          </w:p>
        </w:tc>
        <w:tc>
          <w:tcPr>
            <w:tcW w:w="99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反映培训各级统计机构及辅助调查人员数情况</w:t>
            </w:r>
          </w:p>
        </w:tc>
        <w:tc>
          <w:tcPr>
            <w:tcW w:w="1040"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Arial" w:hAnsi="Arial" w:eastAsia="宋体" w:cs="Arial"/>
                <w:kern w:val="0"/>
                <w:sz w:val="20"/>
                <w:szCs w:val="20"/>
                <w:vertAlign w:val="baseline"/>
                <w:lang w:val="en-US" w:eastAsia="zh-CN"/>
              </w:rPr>
              <w:t>≥</w:t>
            </w:r>
            <w:r>
              <w:rPr>
                <w:rFonts w:hint="default" w:ascii="华文细黑" w:hAnsi="华文细黑" w:eastAsia="华文细黑" w:cs="华文细黑"/>
                <w:i w:val="0"/>
                <w:iCs w:val="0"/>
                <w:color w:val="000000"/>
                <w:kern w:val="0"/>
                <w:sz w:val="20"/>
                <w:szCs w:val="20"/>
                <w:u w:val="none"/>
                <w:lang w:val="en-US" w:eastAsia="zh-CN" w:bidi="ar"/>
              </w:rPr>
              <w:t>50人</w:t>
            </w:r>
          </w:p>
        </w:tc>
        <w:tc>
          <w:tcPr>
            <w:tcW w:w="700"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2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88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83"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67"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033"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培训人员合格率</w:t>
            </w:r>
          </w:p>
        </w:tc>
        <w:tc>
          <w:tcPr>
            <w:tcW w:w="99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反映培训人员考核合格情况。</w:t>
            </w:r>
          </w:p>
        </w:tc>
        <w:tc>
          <w:tcPr>
            <w:tcW w:w="1040"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Arial" w:hAnsi="Arial" w:eastAsia="宋体" w:cs="Arial"/>
                <w:kern w:val="0"/>
                <w:sz w:val="20"/>
                <w:szCs w:val="20"/>
                <w:vertAlign w:val="baseline"/>
                <w:lang w:val="en-US" w:eastAsia="zh-CN"/>
              </w:rPr>
              <w:t>≥</w:t>
            </w:r>
            <w:r>
              <w:rPr>
                <w:rFonts w:hint="default" w:ascii="华文细黑" w:hAnsi="华文细黑" w:eastAsia="华文细黑" w:cs="华文细黑"/>
                <w:i w:val="0"/>
                <w:iCs w:val="0"/>
                <w:color w:val="000000"/>
                <w:kern w:val="0"/>
                <w:sz w:val="20"/>
                <w:szCs w:val="20"/>
                <w:u w:val="none"/>
                <w:lang w:val="en-US" w:eastAsia="zh-CN" w:bidi="ar"/>
              </w:rPr>
              <w:t>98%</w:t>
            </w:r>
          </w:p>
        </w:tc>
        <w:tc>
          <w:tcPr>
            <w:tcW w:w="700"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2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88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83"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67"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033"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年鉴出版时间</w:t>
            </w:r>
          </w:p>
        </w:tc>
        <w:tc>
          <w:tcPr>
            <w:tcW w:w="99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反映年鉴出版完成时间。</w:t>
            </w:r>
          </w:p>
        </w:tc>
        <w:tc>
          <w:tcPr>
            <w:tcW w:w="1040"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Arial" w:hAnsi="Arial" w:eastAsia="华文细黑" w:cs="Arial"/>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12月底</w:t>
            </w:r>
          </w:p>
        </w:tc>
        <w:tc>
          <w:tcPr>
            <w:tcW w:w="700"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2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88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83"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067"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33"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向社会公众提供统计公报</w:t>
            </w:r>
          </w:p>
        </w:tc>
        <w:tc>
          <w:tcPr>
            <w:tcW w:w="99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向社会公众提供统计公报篇数</w:t>
            </w:r>
          </w:p>
        </w:tc>
        <w:tc>
          <w:tcPr>
            <w:tcW w:w="1040"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Arial" w:hAnsi="Arial" w:eastAsia="华文细黑" w:cs="Arial"/>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1篇</w:t>
            </w:r>
          </w:p>
        </w:tc>
        <w:tc>
          <w:tcPr>
            <w:tcW w:w="700"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pPr>
        <w:spacing w:line="700" w:lineRule="exact"/>
        <w:rPr>
          <w:rFonts w:eastAsia="楷体"/>
          <w:kern w:val="0"/>
          <w:szCs w:val="32"/>
        </w:rPr>
      </w:pPr>
    </w:p>
    <w:p>
      <w:pPr>
        <w:spacing w:line="700" w:lineRule="exact"/>
        <w:rPr>
          <w:rFonts w:eastAsia="楷体"/>
          <w:kern w:val="0"/>
          <w:szCs w:val="32"/>
        </w:rPr>
      </w:pPr>
    </w:p>
    <w:p>
      <w:pPr>
        <w:spacing w:line="700" w:lineRule="exact"/>
        <w:rPr>
          <w:rFonts w:eastAsia="楷体"/>
          <w:kern w:val="0"/>
          <w:szCs w:val="32"/>
        </w:rPr>
      </w:pPr>
    </w:p>
    <w:p>
      <w:pPr>
        <w:spacing w:line="700" w:lineRule="exact"/>
        <w:rPr>
          <w:rFonts w:eastAsia="楷体"/>
          <w:kern w:val="0"/>
          <w:szCs w:val="32"/>
        </w:rPr>
      </w:pPr>
    </w:p>
    <w:tbl>
      <w:tblPr>
        <w:tblStyle w:val="10"/>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973"/>
        <w:gridCol w:w="1016"/>
        <w:gridCol w:w="634"/>
        <w:gridCol w:w="1050"/>
        <w:gridCol w:w="1066"/>
        <w:gridCol w:w="844"/>
        <w:gridCol w:w="1023"/>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99"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辉南县统计局</w:t>
            </w:r>
          </w:p>
        </w:tc>
        <w:tc>
          <w:tcPr>
            <w:tcW w:w="1038"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员额人员经费</w:t>
            </w:r>
          </w:p>
        </w:tc>
        <w:tc>
          <w:tcPr>
            <w:tcW w:w="973" w:type="dxa"/>
            <w:vMerge w:val="restart"/>
            <w:tcBorders>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9.53</w:t>
            </w:r>
          </w:p>
        </w:tc>
        <w:tc>
          <w:tcPr>
            <w:tcW w:w="1016"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保障员额编制人员正常开展工作。</w:t>
            </w:r>
          </w:p>
        </w:tc>
        <w:tc>
          <w:tcPr>
            <w:tcW w:w="634" w:type="dxa"/>
            <w:vMerge w:val="restart"/>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050"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66"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员额人员经费发放人数</w:t>
            </w:r>
          </w:p>
        </w:tc>
        <w:tc>
          <w:tcPr>
            <w:tcW w:w="84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反映发放员额人员经费的人数情况。</w:t>
            </w:r>
          </w:p>
        </w:tc>
        <w:tc>
          <w:tcPr>
            <w:tcW w:w="1023"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=1人</w:t>
            </w:r>
          </w:p>
        </w:tc>
        <w:tc>
          <w:tcPr>
            <w:tcW w:w="617"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34"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50"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066"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员额人员经费发放准确率</w:t>
            </w:r>
          </w:p>
        </w:tc>
        <w:tc>
          <w:tcPr>
            <w:tcW w:w="844"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反映员额人员经费发放对象和数额准确的情况</w:t>
            </w:r>
          </w:p>
        </w:tc>
        <w:tc>
          <w:tcPr>
            <w:tcW w:w="1023"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=100%</w:t>
            </w:r>
          </w:p>
        </w:tc>
        <w:tc>
          <w:tcPr>
            <w:tcW w:w="617"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34"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50"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066"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经费发放及时性</w:t>
            </w:r>
          </w:p>
        </w:tc>
        <w:tc>
          <w:tcPr>
            <w:tcW w:w="84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反应经费发放的时效性</w:t>
            </w:r>
          </w:p>
        </w:tc>
        <w:tc>
          <w:tcPr>
            <w:tcW w:w="1023"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12月30日</w:t>
            </w:r>
          </w:p>
        </w:tc>
        <w:tc>
          <w:tcPr>
            <w:tcW w:w="617"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34"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效益指标</w:t>
            </w:r>
          </w:p>
        </w:tc>
        <w:tc>
          <w:tcPr>
            <w:tcW w:w="1050"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66"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反应员额人员经费发放覆盖情况</w:t>
            </w:r>
          </w:p>
        </w:tc>
        <w:tc>
          <w:tcPr>
            <w:tcW w:w="84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保障员额编制人员全年正常开展工作，机构正常运转。</w:t>
            </w:r>
          </w:p>
        </w:tc>
        <w:tc>
          <w:tcPr>
            <w:tcW w:w="1023"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=100%</w:t>
            </w:r>
          </w:p>
        </w:tc>
        <w:tc>
          <w:tcPr>
            <w:tcW w:w="617"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pPr>
        <w:spacing w:line="700" w:lineRule="exact"/>
        <w:ind w:firstLine="640" w:firstLineChars="200"/>
        <w:rPr>
          <w:rFonts w:hint="eastAsia" w:ascii="楷体" w:hAnsi="楷体" w:eastAsia="楷体" w:cs="楷体"/>
          <w:kern w:val="0"/>
          <w:szCs w:val="32"/>
        </w:rPr>
      </w:pPr>
    </w:p>
    <w:p>
      <w:pPr>
        <w:spacing w:line="700" w:lineRule="exact"/>
        <w:ind w:firstLine="640" w:firstLineChars="200"/>
        <w:rPr>
          <w:rFonts w:hint="eastAsia" w:eastAsia="楷体"/>
          <w:kern w:val="0"/>
          <w:szCs w:val="32"/>
        </w:rPr>
      </w:pPr>
      <w:r>
        <w:rPr>
          <w:rFonts w:hint="eastAsia" w:eastAsia="楷体"/>
          <w:kern w:val="0"/>
          <w:szCs w:val="32"/>
        </w:rPr>
        <w:br w:type="page"/>
      </w: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预算管理。收入包括：一般公共预算拨款收入、上年结转；支出包括：一般公共服务支出、社会保障和就业支出、</w:t>
      </w:r>
      <w:r>
        <w:rPr>
          <w:rFonts w:hint="eastAsia" w:ascii="仿宋_GB2312" w:hAnsi="仿宋_GB2312" w:eastAsia="仿宋_GB2312" w:cs="仿宋_GB2312"/>
          <w:color w:val="000000"/>
          <w:sz w:val="32"/>
          <w:szCs w:val="32"/>
        </w:rPr>
        <w:t>卫生健康支出</w:t>
      </w:r>
      <w:r>
        <w:rPr>
          <w:rFonts w:hint="eastAsia" w:ascii="仿宋_GB2312" w:hAnsi="仿宋_GB2312" w:eastAsia="仿宋_GB2312" w:cs="仿宋_GB2312"/>
          <w:color w:val="000000"/>
          <w:sz w:val="32"/>
          <w:szCs w:val="32"/>
          <w:lang w:eastAsia="zh-CN"/>
        </w:rPr>
        <w:t>、</w:t>
      </w:r>
      <w:r>
        <w:rPr>
          <w:szCs w:val="32"/>
        </w:rPr>
        <w:t>住房保障支出等。20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240.72</w:t>
      </w:r>
      <w:r>
        <w:rPr>
          <w:szCs w:val="32"/>
        </w:rPr>
        <w:t>万元</w:t>
      </w:r>
      <w:r>
        <w:rPr>
          <w:rFonts w:hint="eastAsia"/>
          <w:szCs w:val="32"/>
          <w:lang w:eastAsia="zh-CN"/>
        </w:rPr>
        <w:t>，其中：本年预算</w:t>
      </w:r>
      <w:r>
        <w:rPr>
          <w:rFonts w:hint="eastAsia"/>
          <w:szCs w:val="32"/>
          <w:lang w:val="en-US" w:eastAsia="zh-CN"/>
        </w:rPr>
        <w:t>236.91</w:t>
      </w:r>
      <w:r>
        <w:rPr>
          <w:rFonts w:hint="eastAsia"/>
          <w:szCs w:val="32"/>
          <w:lang w:eastAsia="zh-CN"/>
        </w:rPr>
        <w:t>万元；上年结转</w:t>
      </w:r>
      <w:r>
        <w:rPr>
          <w:rFonts w:hint="eastAsia"/>
          <w:szCs w:val="32"/>
          <w:lang w:val="en-US" w:eastAsia="zh-CN"/>
        </w:rPr>
        <w:t>3.81</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38.2</w:t>
      </w:r>
      <w:r>
        <w:rPr>
          <w:szCs w:val="32"/>
        </w:rPr>
        <w:t>万元，主要原因是</w:t>
      </w:r>
      <w:r>
        <w:rPr>
          <w:rFonts w:hint="eastAsia"/>
          <w:szCs w:val="32"/>
          <w:lang w:eastAsia="zh-CN"/>
        </w:rPr>
        <w:t>本年开展第五次全国经济普查，因此项目经费增加</w:t>
      </w:r>
      <w:r>
        <w:rPr>
          <w:szCs w:val="32"/>
        </w:rPr>
        <w:t>。</w:t>
      </w:r>
    </w:p>
    <w:p>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240.72</w:t>
      </w:r>
      <w:r>
        <w:rPr>
          <w:szCs w:val="32"/>
        </w:rPr>
        <w:t>万元，其中：本年收入</w:t>
      </w:r>
      <w:r>
        <w:rPr>
          <w:rFonts w:hint="eastAsia"/>
          <w:szCs w:val="32"/>
          <w:lang w:val="en-US" w:eastAsia="zh-CN"/>
        </w:rPr>
        <w:t>236.91</w:t>
      </w:r>
      <w:r>
        <w:rPr>
          <w:szCs w:val="32"/>
        </w:rPr>
        <w:t>万元，占</w:t>
      </w:r>
      <w:r>
        <w:rPr>
          <w:rFonts w:hint="eastAsia"/>
          <w:szCs w:val="32"/>
          <w:lang w:val="en-US" w:eastAsia="zh-CN"/>
        </w:rPr>
        <w:t>98.42</w:t>
      </w:r>
      <w:r>
        <w:rPr>
          <w:szCs w:val="32"/>
        </w:rPr>
        <w:t>%；上年结转</w:t>
      </w:r>
      <w:r>
        <w:rPr>
          <w:rFonts w:hint="eastAsia"/>
          <w:szCs w:val="32"/>
          <w:lang w:eastAsia="zh-CN"/>
        </w:rPr>
        <w:t>结余</w:t>
      </w:r>
      <w:r>
        <w:rPr>
          <w:rFonts w:hint="eastAsia"/>
          <w:szCs w:val="32"/>
          <w:lang w:val="en-US" w:eastAsia="zh-CN"/>
        </w:rPr>
        <w:t>3.81</w:t>
      </w:r>
      <w:r>
        <w:rPr>
          <w:szCs w:val="32"/>
        </w:rPr>
        <w:t>万元，占</w:t>
      </w:r>
      <w:r>
        <w:rPr>
          <w:rFonts w:hint="eastAsia"/>
          <w:szCs w:val="32"/>
          <w:lang w:val="en-US" w:eastAsia="zh-CN"/>
        </w:rPr>
        <w:t>1.58</w:t>
      </w:r>
      <w:r>
        <w:rPr>
          <w:szCs w:val="32"/>
        </w:rPr>
        <w:t>%。本年收入中，一般公共预算拨款收入</w:t>
      </w:r>
      <w:r>
        <w:rPr>
          <w:rFonts w:hint="eastAsia"/>
          <w:szCs w:val="32"/>
          <w:lang w:val="en-US" w:eastAsia="zh-CN"/>
        </w:rPr>
        <w:t>236.91</w:t>
      </w:r>
      <w:r>
        <w:rPr>
          <w:szCs w:val="32"/>
        </w:rPr>
        <w:t>万元，占</w:t>
      </w:r>
      <w:r>
        <w:rPr>
          <w:rFonts w:hint="eastAsia"/>
          <w:szCs w:val="32"/>
          <w:lang w:val="en-US" w:eastAsia="zh-CN"/>
        </w:rPr>
        <w:t>100</w:t>
      </w:r>
      <w:r>
        <w:rPr>
          <w:szCs w:val="32"/>
        </w:rPr>
        <w:t>%</w:t>
      </w:r>
      <w:r>
        <w:rPr>
          <w:rFonts w:hint="eastAsia"/>
          <w:szCs w:val="32"/>
          <w:lang w:eastAsia="zh-CN"/>
        </w:rPr>
        <w:t>。</w:t>
      </w:r>
      <w:r>
        <w:rPr>
          <w:szCs w:val="32"/>
        </w:rPr>
        <w:t>上年结转</w:t>
      </w:r>
      <w:r>
        <w:rPr>
          <w:rFonts w:hint="eastAsia"/>
          <w:szCs w:val="32"/>
        </w:rPr>
        <w:t>中，一般公共预算拨款结转</w:t>
      </w:r>
      <w:r>
        <w:rPr>
          <w:rFonts w:hint="eastAsia"/>
          <w:szCs w:val="32"/>
          <w:lang w:val="en-US" w:eastAsia="zh-CN"/>
        </w:rPr>
        <w:t>3.81</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240.71</w:t>
      </w:r>
      <w:r>
        <w:rPr>
          <w:szCs w:val="32"/>
        </w:rPr>
        <w:t>万元，其中：基本支出</w:t>
      </w:r>
      <w:r>
        <w:rPr>
          <w:rFonts w:hint="eastAsia"/>
          <w:szCs w:val="32"/>
          <w:lang w:val="en-US" w:eastAsia="zh-CN"/>
        </w:rPr>
        <w:t>181.46</w:t>
      </w:r>
      <w:r>
        <w:rPr>
          <w:szCs w:val="32"/>
        </w:rPr>
        <w:t>万元，占</w:t>
      </w:r>
      <w:r>
        <w:rPr>
          <w:rFonts w:hint="eastAsia"/>
          <w:szCs w:val="32"/>
          <w:lang w:val="en-US" w:eastAsia="zh-CN"/>
        </w:rPr>
        <w:t>75.39</w:t>
      </w:r>
      <w:r>
        <w:rPr>
          <w:szCs w:val="32"/>
        </w:rPr>
        <w:t>%；项目支出</w:t>
      </w:r>
      <w:r>
        <w:rPr>
          <w:rFonts w:hint="eastAsia"/>
          <w:szCs w:val="32"/>
          <w:lang w:val="en-US" w:eastAsia="zh-CN"/>
        </w:rPr>
        <w:t>59.25</w:t>
      </w:r>
      <w:r>
        <w:rPr>
          <w:szCs w:val="32"/>
        </w:rPr>
        <w:t>万元，占</w:t>
      </w:r>
      <w:r>
        <w:rPr>
          <w:rFonts w:hint="eastAsia"/>
          <w:szCs w:val="32"/>
          <w:lang w:val="en-US" w:eastAsia="zh-CN"/>
        </w:rPr>
        <w:t>24.61</w:t>
      </w:r>
      <w:r>
        <w:rPr>
          <w:szCs w:val="32"/>
        </w:rPr>
        <w:t>%。</w:t>
      </w:r>
    </w:p>
    <w:p>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240.72</w:t>
      </w:r>
      <w:r>
        <w:rPr>
          <w:szCs w:val="32"/>
        </w:rPr>
        <w:t>万元，其中：</w:t>
      </w:r>
      <w:r>
        <w:rPr>
          <w:rFonts w:hint="eastAsia"/>
          <w:szCs w:val="32"/>
        </w:rPr>
        <w:t>本年</w:t>
      </w:r>
      <w:r>
        <w:rPr>
          <w:rFonts w:hint="eastAsia"/>
          <w:szCs w:val="32"/>
          <w:lang w:eastAsia="zh-CN"/>
        </w:rPr>
        <w:t>预算</w:t>
      </w:r>
      <w:r>
        <w:rPr>
          <w:rFonts w:hint="eastAsia"/>
          <w:szCs w:val="32"/>
          <w:lang w:val="en-US" w:eastAsia="zh-CN"/>
        </w:rPr>
        <w:t>236.91</w:t>
      </w:r>
      <w:r>
        <w:rPr>
          <w:szCs w:val="32"/>
        </w:rPr>
        <w:t>万元</w:t>
      </w:r>
      <w:r>
        <w:rPr>
          <w:rFonts w:hint="eastAsia"/>
          <w:szCs w:val="32"/>
        </w:rPr>
        <w:t>，上年结转</w:t>
      </w:r>
      <w:r>
        <w:rPr>
          <w:rFonts w:hint="eastAsia"/>
          <w:szCs w:val="32"/>
          <w:lang w:val="en-US" w:eastAsia="zh-CN"/>
        </w:rPr>
        <w:t>3.81</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197.47</w:t>
      </w:r>
      <w:r>
        <w:rPr>
          <w:szCs w:val="32"/>
        </w:rPr>
        <w:t>万元，</w:t>
      </w:r>
      <w:r>
        <w:rPr>
          <w:kern w:val="0"/>
          <w:szCs w:val="32"/>
        </w:rPr>
        <w:t>社会保障和就业支出</w:t>
      </w:r>
      <w:r>
        <w:rPr>
          <w:rFonts w:hint="eastAsia"/>
          <w:szCs w:val="32"/>
          <w:lang w:val="en-US" w:eastAsia="zh-CN"/>
        </w:rPr>
        <w:t>24.10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5.21</w:t>
      </w:r>
      <w:r>
        <w:rPr>
          <w:szCs w:val="32"/>
        </w:rPr>
        <w:t>万元，</w:t>
      </w:r>
      <w:r>
        <w:rPr>
          <w:kern w:val="0"/>
          <w:szCs w:val="32"/>
        </w:rPr>
        <w:t>住房保障支出</w:t>
      </w:r>
      <w:r>
        <w:rPr>
          <w:rFonts w:hint="eastAsia"/>
          <w:szCs w:val="32"/>
          <w:lang w:val="en-US" w:eastAsia="zh-CN"/>
        </w:rPr>
        <w:t>13.94</w:t>
      </w:r>
      <w:r>
        <w:rPr>
          <w:szCs w:val="32"/>
        </w:rPr>
        <w:t>万元。</w:t>
      </w:r>
    </w:p>
    <w:p>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240.71</w:t>
      </w:r>
      <w:r>
        <w:rPr>
          <w:szCs w:val="32"/>
        </w:rPr>
        <w:t>万元，其中：基本支出</w:t>
      </w:r>
      <w:r>
        <w:rPr>
          <w:rFonts w:hint="eastAsia"/>
          <w:szCs w:val="32"/>
          <w:lang w:val="en-US" w:eastAsia="zh-CN"/>
        </w:rPr>
        <w:t>181.46</w:t>
      </w:r>
      <w:r>
        <w:rPr>
          <w:szCs w:val="32"/>
        </w:rPr>
        <w:t>万元，占</w:t>
      </w:r>
      <w:r>
        <w:rPr>
          <w:rFonts w:hint="eastAsia"/>
          <w:szCs w:val="32"/>
          <w:lang w:val="en-US" w:eastAsia="zh-CN"/>
        </w:rPr>
        <w:t>75.39</w:t>
      </w:r>
      <w:r>
        <w:rPr>
          <w:szCs w:val="32"/>
        </w:rPr>
        <w:t>%；项目支出</w:t>
      </w:r>
      <w:r>
        <w:rPr>
          <w:rFonts w:hint="eastAsia"/>
          <w:szCs w:val="32"/>
          <w:lang w:val="en-US" w:eastAsia="zh-CN"/>
        </w:rPr>
        <w:t>59.25</w:t>
      </w:r>
      <w:r>
        <w:rPr>
          <w:szCs w:val="32"/>
        </w:rPr>
        <w:t>万元，占</w:t>
      </w:r>
      <w:r>
        <w:rPr>
          <w:rFonts w:hint="eastAsia"/>
          <w:szCs w:val="32"/>
          <w:lang w:val="en-US" w:eastAsia="zh-CN"/>
        </w:rPr>
        <w:t>24.61</w:t>
      </w:r>
      <w:r>
        <w:rPr>
          <w:szCs w:val="32"/>
        </w:rPr>
        <w:t>%。基本支出中，人员经费</w:t>
      </w:r>
      <w:r>
        <w:rPr>
          <w:rFonts w:hint="eastAsia"/>
          <w:szCs w:val="32"/>
          <w:lang w:val="en-US" w:eastAsia="zh-CN"/>
        </w:rPr>
        <w:t>152.10</w:t>
      </w:r>
      <w:r>
        <w:rPr>
          <w:szCs w:val="32"/>
        </w:rPr>
        <w:t>万元，占</w:t>
      </w:r>
      <w:r>
        <w:rPr>
          <w:rFonts w:hint="eastAsia"/>
          <w:szCs w:val="32"/>
          <w:lang w:val="en-US" w:eastAsia="zh-CN"/>
        </w:rPr>
        <w:t>83.82</w:t>
      </w:r>
      <w:r>
        <w:rPr>
          <w:szCs w:val="32"/>
        </w:rPr>
        <w:t>%；公用经费</w:t>
      </w:r>
      <w:r>
        <w:rPr>
          <w:rFonts w:hint="eastAsia"/>
          <w:szCs w:val="32"/>
          <w:lang w:val="en-US" w:eastAsia="zh-CN"/>
        </w:rPr>
        <w:t>29.37</w:t>
      </w:r>
      <w:r>
        <w:rPr>
          <w:szCs w:val="32"/>
        </w:rPr>
        <w:t>万元，占</w:t>
      </w:r>
      <w:r>
        <w:rPr>
          <w:rFonts w:hint="eastAsia"/>
          <w:szCs w:val="32"/>
          <w:lang w:val="en-US" w:eastAsia="zh-CN"/>
        </w:rPr>
        <w:t>16.18</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197.46</w:t>
      </w:r>
      <w:r>
        <w:rPr>
          <w:szCs w:val="32"/>
        </w:rPr>
        <w:t>万元，占</w:t>
      </w:r>
      <w:r>
        <w:rPr>
          <w:rFonts w:hint="eastAsia"/>
          <w:szCs w:val="32"/>
          <w:lang w:val="en-US" w:eastAsia="zh-CN"/>
        </w:rPr>
        <w:t>82.03</w:t>
      </w:r>
      <w:r>
        <w:rPr>
          <w:szCs w:val="32"/>
        </w:rPr>
        <w:t>%，主要用于</w:t>
      </w:r>
      <w:r>
        <w:rPr>
          <w:rFonts w:hint="eastAsia" w:ascii="仿宋_GB2312" w:hAnsi="仿宋"/>
          <w:szCs w:val="32"/>
        </w:rPr>
        <w:t>保障职工工资，维持</w:t>
      </w:r>
      <w:r>
        <w:rPr>
          <w:rFonts w:hint="eastAsia" w:ascii="仿宋_GB2312" w:hAnsi="仿宋"/>
          <w:szCs w:val="32"/>
          <w:lang w:eastAsia="zh-CN"/>
        </w:rPr>
        <w:t>单位</w:t>
      </w:r>
      <w:r>
        <w:rPr>
          <w:rFonts w:hint="eastAsia" w:ascii="仿宋_GB2312" w:hAnsi="仿宋"/>
          <w:szCs w:val="32"/>
        </w:rPr>
        <w:t>正常运转，完成年度统计工作任务</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24.10</w:t>
      </w:r>
      <w:r>
        <w:rPr>
          <w:szCs w:val="32"/>
        </w:rPr>
        <w:t>万元，占</w:t>
      </w:r>
      <w:r>
        <w:rPr>
          <w:rFonts w:hint="eastAsia"/>
          <w:szCs w:val="32"/>
          <w:lang w:val="en-US" w:eastAsia="zh-CN"/>
        </w:rPr>
        <w:t>10.01</w:t>
      </w:r>
      <w:r>
        <w:rPr>
          <w:szCs w:val="32"/>
        </w:rPr>
        <w:t>%，主要用于</w:t>
      </w:r>
      <w:r>
        <w:rPr>
          <w:rFonts w:hint="eastAsia"/>
          <w:szCs w:val="32"/>
          <w:lang w:eastAsia="zh-CN"/>
        </w:rPr>
        <w:t>机关事业单位基本养老保险缴费</w:t>
      </w:r>
      <w:r>
        <w:rPr>
          <w:szCs w:val="32"/>
        </w:rPr>
        <w:t>。</w:t>
      </w:r>
    </w:p>
    <w:p>
      <w:pPr>
        <w:spacing w:line="520" w:lineRule="exact"/>
        <w:ind w:firstLine="640" w:firstLineChars="200"/>
        <w:rPr>
          <w:szCs w:val="32"/>
        </w:rPr>
      </w:pPr>
      <w:r>
        <w:rPr>
          <w:rFonts w:hint="eastAsia"/>
          <w:szCs w:val="32"/>
          <w:lang w:eastAsia="zh-CN"/>
        </w:rPr>
        <w:t>卫生健康</w:t>
      </w:r>
      <w:r>
        <w:rPr>
          <w:szCs w:val="32"/>
        </w:rPr>
        <w:t>支出（类）支出</w:t>
      </w:r>
      <w:r>
        <w:rPr>
          <w:rFonts w:hint="eastAsia"/>
          <w:szCs w:val="32"/>
          <w:lang w:val="en-US" w:eastAsia="zh-CN"/>
        </w:rPr>
        <w:t>5.21</w:t>
      </w:r>
      <w:r>
        <w:rPr>
          <w:szCs w:val="32"/>
        </w:rPr>
        <w:t>万元，占</w:t>
      </w:r>
      <w:r>
        <w:rPr>
          <w:rFonts w:hint="eastAsia"/>
          <w:szCs w:val="32"/>
          <w:lang w:val="en-US" w:eastAsia="zh-CN"/>
        </w:rPr>
        <w:t>2.17</w:t>
      </w:r>
      <w:r>
        <w:rPr>
          <w:szCs w:val="32"/>
        </w:rPr>
        <w:t>%，主要用于</w:t>
      </w:r>
      <w:r>
        <w:rPr>
          <w:rFonts w:hint="eastAsia"/>
          <w:szCs w:val="32"/>
          <w:lang w:eastAsia="zh-CN"/>
        </w:rPr>
        <w:t>行政单位医疗缴费</w:t>
      </w:r>
      <w:r>
        <w:rPr>
          <w:szCs w:val="32"/>
        </w:rPr>
        <w:t>。</w:t>
      </w:r>
    </w:p>
    <w:p>
      <w:pPr>
        <w:spacing w:line="520" w:lineRule="exact"/>
        <w:ind w:firstLine="640" w:firstLineChars="200"/>
        <w:rPr>
          <w:szCs w:val="32"/>
        </w:rPr>
      </w:pPr>
      <w:r>
        <w:rPr>
          <w:szCs w:val="32"/>
        </w:rPr>
        <w:t>住房保障（类）支出</w:t>
      </w:r>
      <w:r>
        <w:rPr>
          <w:rFonts w:hint="eastAsia"/>
          <w:szCs w:val="32"/>
          <w:lang w:val="en-US" w:eastAsia="zh-CN"/>
        </w:rPr>
        <w:t>13.94</w:t>
      </w:r>
      <w:r>
        <w:rPr>
          <w:szCs w:val="32"/>
        </w:rPr>
        <w:t>万元，占</w:t>
      </w:r>
      <w:r>
        <w:rPr>
          <w:rFonts w:hint="eastAsia"/>
          <w:szCs w:val="32"/>
          <w:lang w:val="en-US" w:eastAsia="zh-CN"/>
        </w:rPr>
        <w:t>5.79</w:t>
      </w:r>
      <w:r>
        <w:rPr>
          <w:szCs w:val="32"/>
        </w:rPr>
        <w:t>%，主要用于</w:t>
      </w:r>
      <w:r>
        <w:rPr>
          <w:rFonts w:hint="eastAsia"/>
          <w:szCs w:val="32"/>
          <w:lang w:eastAsia="zh-CN"/>
        </w:rPr>
        <w:t>住房公积金缴费</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181.47</w:t>
      </w:r>
      <w:r>
        <w:rPr>
          <w:szCs w:val="32"/>
        </w:rPr>
        <w:t>万元，其中：</w:t>
      </w:r>
    </w:p>
    <w:p>
      <w:pPr>
        <w:ind w:firstLine="640" w:firstLineChars="200"/>
        <w:rPr>
          <w:kern w:val="0"/>
          <w:szCs w:val="32"/>
        </w:rPr>
      </w:pPr>
      <w:r>
        <w:rPr>
          <w:szCs w:val="32"/>
        </w:rPr>
        <w:t>人员经费</w:t>
      </w:r>
      <w:r>
        <w:rPr>
          <w:rFonts w:hint="eastAsia"/>
          <w:szCs w:val="32"/>
          <w:lang w:val="en-US" w:eastAsia="zh-CN"/>
        </w:rPr>
        <w:t>152.10</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w:t>
      </w:r>
      <w:r>
        <w:rPr>
          <w:szCs w:val="32"/>
        </w:rPr>
        <w:t>、</w:t>
      </w:r>
      <w:r>
        <w:rPr>
          <w:rFonts w:hint="eastAsia"/>
          <w:szCs w:val="32"/>
          <w:lang w:eastAsia="zh-CN"/>
        </w:rPr>
        <w:t>职工基本医疗保险缴费、其他社会保障缴费、</w:t>
      </w:r>
      <w:r>
        <w:rPr>
          <w:kern w:val="0"/>
          <w:szCs w:val="32"/>
        </w:rPr>
        <w:t>住房公积金</w:t>
      </w:r>
      <w:r>
        <w:rPr>
          <w:szCs w:val="32"/>
        </w:rPr>
        <w:t>、</w:t>
      </w:r>
      <w:r>
        <w:rPr>
          <w:rFonts w:hint="eastAsia"/>
          <w:szCs w:val="32"/>
          <w:lang w:eastAsia="zh-CN"/>
        </w:rPr>
        <w:t>医疗费、</w:t>
      </w:r>
      <w:r>
        <w:rPr>
          <w:kern w:val="0"/>
          <w:szCs w:val="32"/>
        </w:rPr>
        <w:t>其他工资福利支出</w:t>
      </w:r>
      <w:r>
        <w:rPr>
          <w:szCs w:val="32"/>
        </w:rPr>
        <w:t>、</w:t>
      </w:r>
      <w:r>
        <w:rPr>
          <w:kern w:val="0"/>
          <w:szCs w:val="32"/>
        </w:rPr>
        <w:t>退休费</w:t>
      </w:r>
      <w:r>
        <w:rPr>
          <w:szCs w:val="32"/>
        </w:rPr>
        <w:t>、</w:t>
      </w:r>
      <w:r>
        <w:rPr>
          <w:kern w:val="0"/>
          <w:szCs w:val="32"/>
        </w:rPr>
        <w:t>其他对个人和家庭的补助支出。</w:t>
      </w:r>
    </w:p>
    <w:p>
      <w:pPr>
        <w:ind w:firstLine="640" w:firstLineChars="200"/>
        <w:rPr>
          <w:szCs w:val="32"/>
        </w:rPr>
      </w:pPr>
      <w:r>
        <w:rPr>
          <w:kern w:val="0"/>
          <w:szCs w:val="32"/>
        </w:rPr>
        <w:t>公用经费</w:t>
      </w:r>
      <w:r>
        <w:rPr>
          <w:rFonts w:hint="eastAsia"/>
          <w:szCs w:val="32"/>
          <w:lang w:val="en-US" w:eastAsia="zh-CN"/>
        </w:rPr>
        <w:t>29.37</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0.29</w:t>
      </w:r>
      <w:r>
        <w:rPr>
          <w:szCs w:val="32"/>
        </w:rPr>
        <w:t>万元。其中：</w:t>
      </w:r>
    </w:p>
    <w:p>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w:t>
      </w:r>
      <w:r>
        <w:rPr>
          <w:rFonts w:hint="eastAsia"/>
          <w:szCs w:val="32"/>
          <w:lang w:eastAsia="zh-CN"/>
        </w:rPr>
        <w:t>持平。</w:t>
      </w:r>
    </w:p>
    <w:p>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0.29</w:t>
      </w:r>
      <w:r>
        <w:rPr>
          <w:szCs w:val="32"/>
        </w:rPr>
        <w:t>万元，主要原因是</w:t>
      </w:r>
      <w:r>
        <w:rPr>
          <w:rFonts w:hint="eastAsia"/>
          <w:szCs w:val="32"/>
          <w:lang w:eastAsia="zh-CN"/>
        </w:rPr>
        <w:t>认真贯彻落实中央八项规定精神和省财政厅“过紧日子”有关要求，厉行节约，压减公务接待费预算。</w:t>
      </w:r>
    </w:p>
    <w:p>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w:t>
      </w:r>
      <w:r>
        <w:rPr>
          <w:rFonts w:hint="eastAsia"/>
          <w:szCs w:val="32"/>
          <w:lang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w:t>
      </w:r>
      <w:r>
        <w:rPr>
          <w:rFonts w:hint="eastAsia"/>
          <w:szCs w:val="32"/>
          <w:lang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w:t>
      </w:r>
      <w:r>
        <w:rPr>
          <w:rFonts w:hint="eastAsia"/>
          <w:szCs w:val="32"/>
          <w:lang w:eastAsia="zh-CN"/>
        </w:rPr>
        <w:t>持平</w:t>
      </w:r>
      <w:r>
        <w:rPr>
          <w:szCs w:val="32"/>
        </w:rPr>
        <w:t>。</w:t>
      </w:r>
      <w:r>
        <w:rPr>
          <w:rFonts w:hint="eastAsia"/>
          <w:szCs w:val="32"/>
          <w:lang w:val="en-US" w:eastAsia="zh-CN"/>
        </w:rPr>
        <w:t xml:space="preserve">         </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pPr>
        <w:ind w:firstLine="640"/>
        <w:rPr>
          <w:rFonts w:eastAsia="楷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无政府性基金预算拨款</w:t>
      </w:r>
      <w:r>
        <w:rPr>
          <w:rFonts w:hint="eastAsia" w:ascii="仿宋_GB2312" w:hAnsi="仿宋_GB2312" w:eastAsia="仿宋_GB2312" w:cs="仿宋_GB2312"/>
          <w:szCs w:val="32"/>
          <w:lang w:eastAsia="zh-CN"/>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pPr>
        <w:ind w:firstLine="640"/>
        <w:rPr>
          <w:rFonts w:hint="eastAsia" w:ascii="仿宋_GB2312" w:hAnsi="仿宋_GB2312" w:cs="仿宋_GB2312"/>
          <w:szCs w:val="32"/>
          <w:lang w:eastAsia="zh-CN"/>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无国有资本经营预算拨款</w:t>
      </w:r>
      <w:r>
        <w:rPr>
          <w:rFonts w:hint="eastAsia" w:ascii="仿宋_GB2312" w:hAnsi="仿宋_GB2312" w:cs="仿宋_GB2312"/>
          <w:szCs w:val="32"/>
          <w:lang w:eastAsia="zh-CN"/>
        </w:rPr>
        <w:t>。</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ascii="仿宋_GB2312" w:hAnsi="仿宋_GB2312" w:cs="仿宋_GB2312"/>
          <w:szCs w:val="32"/>
          <w:lang w:eastAsia="zh-CN"/>
        </w:rPr>
        <w:t>辉南县</w:t>
      </w:r>
      <w:r>
        <w:rPr>
          <w:rFonts w:hint="eastAsia" w:ascii="仿宋_GB2312" w:hAnsi="仿宋_GB2312" w:eastAsia="仿宋_GB2312" w:cs="仿宋_GB2312"/>
          <w:szCs w:val="32"/>
          <w:lang w:eastAsia="zh-CN"/>
        </w:rPr>
        <w:t>统计局</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家</w:t>
      </w:r>
      <w:r>
        <w:rPr>
          <w:rFonts w:hint="eastAsia" w:ascii="仿宋_GB2312" w:hAnsi="仿宋_GB2312" w:cs="仿宋_GB2312"/>
          <w:szCs w:val="32"/>
          <w:lang w:eastAsia="zh-CN"/>
        </w:rPr>
        <w:t>行政</w:t>
      </w:r>
      <w:r>
        <w:rPr>
          <w:rFonts w:hint="eastAsia" w:ascii="仿宋_GB2312" w:hAnsi="仿宋_GB2312" w:eastAsia="仿宋_GB2312" w:cs="仿宋_GB2312"/>
          <w:szCs w:val="32"/>
        </w:rPr>
        <w:t>单位的机关运行经费财政拨款预算</w:t>
      </w:r>
      <w:r>
        <w:rPr>
          <w:rFonts w:hint="eastAsia" w:ascii="仿宋_GB2312" w:hAnsi="仿宋_GB2312" w:cs="仿宋_GB2312"/>
          <w:szCs w:val="32"/>
          <w:lang w:val="en-US" w:eastAsia="zh-CN"/>
        </w:rPr>
        <w:t>29.37</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1.61</w:t>
      </w:r>
      <w:r>
        <w:rPr>
          <w:szCs w:val="32"/>
        </w:rPr>
        <w:t>万元，下降</w:t>
      </w:r>
      <w:r>
        <w:rPr>
          <w:rFonts w:hint="eastAsia"/>
          <w:szCs w:val="32"/>
          <w:lang w:val="en-US" w:eastAsia="zh-CN"/>
        </w:rPr>
        <w:t>5.20</w:t>
      </w:r>
      <w:r>
        <w:rPr>
          <w:szCs w:val="32"/>
        </w:rPr>
        <w:t>%</w:t>
      </w:r>
      <w:r>
        <w:rPr>
          <w:rFonts w:hint="eastAsia"/>
          <w:szCs w:val="32"/>
        </w:rPr>
        <w:t>，主要原因是</w:t>
      </w:r>
      <w:r>
        <w:rPr>
          <w:rFonts w:hint="eastAsia"/>
          <w:szCs w:val="32"/>
          <w:lang w:eastAsia="zh-CN"/>
        </w:rPr>
        <w:t>压减机关运行经费预算</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w:t>
      </w:r>
      <w:r>
        <w:rPr>
          <w:rFonts w:hint="eastAsia" w:ascii="仿宋_GB2312" w:hAnsi="仿宋_GB2312" w:eastAsia="仿宋_GB2312" w:cs="仿宋_GB2312"/>
          <w:szCs w:val="32"/>
          <w:lang w:eastAsia="zh-CN"/>
        </w:rPr>
        <w:t>政府采购。</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w:t>
      </w:r>
      <w:r>
        <w:rPr>
          <w:rFonts w:hint="eastAsia"/>
          <w:szCs w:val="32"/>
          <w:lang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4</w:t>
      </w:r>
      <w:r>
        <w:t>年</w:t>
      </w:r>
      <w:r>
        <w:rPr>
          <w:rFonts w:hint="eastAsia"/>
          <w:lang w:eastAsia="zh-CN"/>
        </w:rPr>
        <w:t>单位</w:t>
      </w:r>
      <w:r>
        <w:t>项目支出</w:t>
      </w:r>
      <w:r>
        <w:rPr>
          <w:rFonts w:hint="eastAsia"/>
          <w:szCs w:val="32"/>
          <w:lang w:val="en-US" w:eastAsia="zh-CN"/>
        </w:rPr>
        <w:t>59.25</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szCs w:val="32"/>
          <w:lang w:val="en-US" w:eastAsia="zh-CN"/>
        </w:rPr>
        <w:t>57.00</w:t>
      </w:r>
      <w:r>
        <w:rPr>
          <w:szCs w:val="32"/>
        </w:rPr>
        <w:t>万元，</w:t>
      </w:r>
      <w:r>
        <w:rPr>
          <w:rFonts w:hint="eastAsia"/>
          <w:szCs w:val="32"/>
        </w:rPr>
        <w:t>财政拨款结转</w:t>
      </w:r>
      <w:r>
        <w:rPr>
          <w:rFonts w:hint="eastAsia"/>
          <w:szCs w:val="32"/>
          <w:lang w:val="en-US" w:eastAsia="zh-CN"/>
        </w:rPr>
        <w:t>2.25</w:t>
      </w:r>
      <w:r>
        <w:rPr>
          <w:szCs w:val="32"/>
        </w:rPr>
        <w:t>万元。</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ascii="宋体" w:hAnsi="宋体"/>
          <w:lang w:val="en-US" w:eastAsia="zh-CN"/>
        </w:rPr>
        <w:t>3</w:t>
      </w:r>
      <w:r>
        <w:rPr>
          <w:rFonts w:hint="eastAsia" w:ascii="宋体" w:hAnsi="宋体"/>
        </w:rPr>
        <w:t>个项目支出的绩效目标和指标向社会公开，涉及金额</w:t>
      </w:r>
      <w:r>
        <w:rPr>
          <w:rFonts w:hint="eastAsia"/>
          <w:szCs w:val="32"/>
          <w:lang w:val="en-US" w:eastAsia="zh-CN"/>
        </w:rPr>
        <w:t>57.00</w:t>
      </w:r>
      <w:r>
        <w:rPr>
          <w:rFonts w:hint="eastAsia" w:ascii="宋体" w:hAnsi="宋体"/>
        </w:rPr>
        <w:t>万元。</w:t>
      </w:r>
    </w:p>
    <w:p>
      <w:pPr>
        <w:ind w:firstLine="645"/>
        <w:rPr>
          <w:rFonts w:eastAsia="楷体"/>
          <w:szCs w:val="32"/>
        </w:rPr>
      </w:pPr>
    </w:p>
    <w:p>
      <w:pPr>
        <w:ind w:firstLine="645"/>
        <w:rPr>
          <w:rFonts w:eastAsia="楷体"/>
          <w:szCs w:val="32"/>
        </w:rPr>
      </w:pPr>
    </w:p>
    <w:p>
      <w:pPr>
        <w:ind w:firstLine="645"/>
        <w:rPr>
          <w:rFonts w:eastAsia="楷体"/>
          <w:szCs w:val="32"/>
        </w:rPr>
      </w:pPr>
    </w:p>
    <w:p>
      <w:pPr>
        <w:ind w:firstLine="645"/>
        <w:rPr>
          <w:rFonts w:eastAsia="楷体"/>
          <w:szCs w:val="32"/>
        </w:rPr>
      </w:pPr>
    </w:p>
    <w:p>
      <w:pPr>
        <w:ind w:firstLine="645"/>
        <w:rPr>
          <w:rFonts w:eastAsia="楷体"/>
          <w:szCs w:val="32"/>
        </w:rPr>
      </w:pPr>
    </w:p>
    <w:p>
      <w:pPr>
        <w:rPr>
          <w:szCs w:val="32"/>
        </w:rPr>
      </w:pPr>
    </w:p>
    <w:p>
      <w:pPr>
        <w:rPr>
          <w:szCs w:val="32"/>
        </w:rPr>
      </w:pP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MjVjZWQyMjUwOWRhMDllMWNmZjFmNzEzOWQ3ZmUifQ=="/>
    <w:docVar w:name="KSO_WPS_MARK_KEY" w:val="e1634a0f-4446-4a85-bb94-ab419128b0d6"/>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A3316"/>
    <w:rsid w:val="00EC73B7"/>
    <w:rsid w:val="00EE1F67"/>
    <w:rsid w:val="00F47B19"/>
    <w:rsid w:val="00F7193F"/>
    <w:rsid w:val="00F8523B"/>
    <w:rsid w:val="00FF7928"/>
    <w:rsid w:val="01265BCF"/>
    <w:rsid w:val="019B69D8"/>
    <w:rsid w:val="01B7145A"/>
    <w:rsid w:val="01FB40D3"/>
    <w:rsid w:val="02033000"/>
    <w:rsid w:val="020E6D2C"/>
    <w:rsid w:val="023D5A9A"/>
    <w:rsid w:val="02C44267"/>
    <w:rsid w:val="031D7D4B"/>
    <w:rsid w:val="037F2004"/>
    <w:rsid w:val="0486486A"/>
    <w:rsid w:val="04954460"/>
    <w:rsid w:val="04B818D1"/>
    <w:rsid w:val="050D06DA"/>
    <w:rsid w:val="05310B72"/>
    <w:rsid w:val="05513E94"/>
    <w:rsid w:val="056F5A6D"/>
    <w:rsid w:val="059B3770"/>
    <w:rsid w:val="05F5112A"/>
    <w:rsid w:val="05FA4971"/>
    <w:rsid w:val="063949A0"/>
    <w:rsid w:val="06A01F07"/>
    <w:rsid w:val="06BD5BC7"/>
    <w:rsid w:val="06F008FF"/>
    <w:rsid w:val="072E3EE6"/>
    <w:rsid w:val="079E5032"/>
    <w:rsid w:val="09015F14"/>
    <w:rsid w:val="091C5C63"/>
    <w:rsid w:val="09421190"/>
    <w:rsid w:val="09A0082A"/>
    <w:rsid w:val="0A00435B"/>
    <w:rsid w:val="0AAA1697"/>
    <w:rsid w:val="0ABA06FE"/>
    <w:rsid w:val="0B49202F"/>
    <w:rsid w:val="0B5F5ADA"/>
    <w:rsid w:val="0BA80E28"/>
    <w:rsid w:val="0C2A5C84"/>
    <w:rsid w:val="0C4F64D9"/>
    <w:rsid w:val="0C583939"/>
    <w:rsid w:val="0C6D1BAE"/>
    <w:rsid w:val="0D2A2435"/>
    <w:rsid w:val="0DA001B0"/>
    <w:rsid w:val="0DEB170B"/>
    <w:rsid w:val="0E4C7841"/>
    <w:rsid w:val="0E97506F"/>
    <w:rsid w:val="0EFC0AA1"/>
    <w:rsid w:val="0F2C7FC2"/>
    <w:rsid w:val="0F3E0406"/>
    <w:rsid w:val="0F980230"/>
    <w:rsid w:val="0FB1033A"/>
    <w:rsid w:val="0FD62F63"/>
    <w:rsid w:val="0FDE2A27"/>
    <w:rsid w:val="10AE7F82"/>
    <w:rsid w:val="10C93B35"/>
    <w:rsid w:val="11177619"/>
    <w:rsid w:val="112605C8"/>
    <w:rsid w:val="11A6707B"/>
    <w:rsid w:val="11B35B2F"/>
    <w:rsid w:val="12E711B7"/>
    <w:rsid w:val="136D62BD"/>
    <w:rsid w:val="136E4388"/>
    <w:rsid w:val="13F21722"/>
    <w:rsid w:val="1441443C"/>
    <w:rsid w:val="14A56839"/>
    <w:rsid w:val="14C12787"/>
    <w:rsid w:val="14DC1A93"/>
    <w:rsid w:val="153100E0"/>
    <w:rsid w:val="15593E10"/>
    <w:rsid w:val="159F7E25"/>
    <w:rsid w:val="15F848D0"/>
    <w:rsid w:val="160E1FA5"/>
    <w:rsid w:val="160F2600"/>
    <w:rsid w:val="16113A6D"/>
    <w:rsid w:val="16C829AB"/>
    <w:rsid w:val="16DD34F5"/>
    <w:rsid w:val="16FA09A5"/>
    <w:rsid w:val="17765BCA"/>
    <w:rsid w:val="17A027D8"/>
    <w:rsid w:val="17C37D1A"/>
    <w:rsid w:val="17CC2625"/>
    <w:rsid w:val="18455C50"/>
    <w:rsid w:val="186D1CFF"/>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F351A10"/>
    <w:rsid w:val="1F857EA5"/>
    <w:rsid w:val="1FED47E9"/>
    <w:rsid w:val="205672F2"/>
    <w:rsid w:val="206816AC"/>
    <w:rsid w:val="21134335"/>
    <w:rsid w:val="211663DC"/>
    <w:rsid w:val="226E581D"/>
    <w:rsid w:val="22A4003E"/>
    <w:rsid w:val="23135C25"/>
    <w:rsid w:val="23EC61F6"/>
    <w:rsid w:val="244C543C"/>
    <w:rsid w:val="24624768"/>
    <w:rsid w:val="246758CC"/>
    <w:rsid w:val="24830F63"/>
    <w:rsid w:val="24CF62D3"/>
    <w:rsid w:val="2513335E"/>
    <w:rsid w:val="259B5BC5"/>
    <w:rsid w:val="25F62C4E"/>
    <w:rsid w:val="262153BF"/>
    <w:rsid w:val="26643D6C"/>
    <w:rsid w:val="267850D7"/>
    <w:rsid w:val="26F61F79"/>
    <w:rsid w:val="26FE109D"/>
    <w:rsid w:val="27073E1E"/>
    <w:rsid w:val="27B04AB3"/>
    <w:rsid w:val="282C3BA1"/>
    <w:rsid w:val="2852419D"/>
    <w:rsid w:val="28A63332"/>
    <w:rsid w:val="28C96E8E"/>
    <w:rsid w:val="29AA1DB7"/>
    <w:rsid w:val="29C45F24"/>
    <w:rsid w:val="2A866380"/>
    <w:rsid w:val="2AE412F9"/>
    <w:rsid w:val="2BFC0FF0"/>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46720F"/>
    <w:rsid w:val="31793674"/>
    <w:rsid w:val="31894469"/>
    <w:rsid w:val="31FF3857"/>
    <w:rsid w:val="32332703"/>
    <w:rsid w:val="325D49E2"/>
    <w:rsid w:val="327A2905"/>
    <w:rsid w:val="32CF2C5D"/>
    <w:rsid w:val="32EE2C61"/>
    <w:rsid w:val="335402B5"/>
    <w:rsid w:val="339466B2"/>
    <w:rsid w:val="33CA3782"/>
    <w:rsid w:val="34555AF5"/>
    <w:rsid w:val="34FF687B"/>
    <w:rsid w:val="354C4987"/>
    <w:rsid w:val="35616772"/>
    <w:rsid w:val="35EA1663"/>
    <w:rsid w:val="364C598E"/>
    <w:rsid w:val="368A3622"/>
    <w:rsid w:val="36B543E5"/>
    <w:rsid w:val="36CC2B0F"/>
    <w:rsid w:val="36FC762F"/>
    <w:rsid w:val="3838492F"/>
    <w:rsid w:val="383A009B"/>
    <w:rsid w:val="3887374F"/>
    <w:rsid w:val="38CB0ABC"/>
    <w:rsid w:val="39041A07"/>
    <w:rsid w:val="39043B77"/>
    <w:rsid w:val="39601918"/>
    <w:rsid w:val="39670895"/>
    <w:rsid w:val="397B4EE2"/>
    <w:rsid w:val="39EA0FEC"/>
    <w:rsid w:val="3A387943"/>
    <w:rsid w:val="3A657F9A"/>
    <w:rsid w:val="3A9113D4"/>
    <w:rsid w:val="3AC54F32"/>
    <w:rsid w:val="3B144A0A"/>
    <w:rsid w:val="3B254018"/>
    <w:rsid w:val="3B5257F8"/>
    <w:rsid w:val="3B6E0E96"/>
    <w:rsid w:val="3BC92948"/>
    <w:rsid w:val="3BE370D4"/>
    <w:rsid w:val="3BEB24E7"/>
    <w:rsid w:val="3C1A026D"/>
    <w:rsid w:val="3C29381E"/>
    <w:rsid w:val="3C711E1D"/>
    <w:rsid w:val="3C7F463D"/>
    <w:rsid w:val="3CAE3960"/>
    <w:rsid w:val="3CEF6494"/>
    <w:rsid w:val="3D365BF6"/>
    <w:rsid w:val="3D7F7007"/>
    <w:rsid w:val="3DB008AA"/>
    <w:rsid w:val="3DF23324"/>
    <w:rsid w:val="3E7E7642"/>
    <w:rsid w:val="3EA14040"/>
    <w:rsid w:val="3EC425C4"/>
    <w:rsid w:val="3EE8108D"/>
    <w:rsid w:val="3EFB0C93"/>
    <w:rsid w:val="3F8201A3"/>
    <w:rsid w:val="402675EA"/>
    <w:rsid w:val="40B80EFF"/>
    <w:rsid w:val="412F2E76"/>
    <w:rsid w:val="41A35364"/>
    <w:rsid w:val="41C31686"/>
    <w:rsid w:val="41C837BC"/>
    <w:rsid w:val="421643AC"/>
    <w:rsid w:val="424D5392"/>
    <w:rsid w:val="42982B4E"/>
    <w:rsid w:val="429F5D0C"/>
    <w:rsid w:val="42D83665"/>
    <w:rsid w:val="43456981"/>
    <w:rsid w:val="434A6B47"/>
    <w:rsid w:val="436B1E42"/>
    <w:rsid w:val="456D114B"/>
    <w:rsid w:val="45941E41"/>
    <w:rsid w:val="45EB670F"/>
    <w:rsid w:val="46492205"/>
    <w:rsid w:val="46AB7C0D"/>
    <w:rsid w:val="46D44808"/>
    <w:rsid w:val="46ED776B"/>
    <w:rsid w:val="477C0C7C"/>
    <w:rsid w:val="479D2523"/>
    <w:rsid w:val="47CF49E6"/>
    <w:rsid w:val="48674ED2"/>
    <w:rsid w:val="487708E6"/>
    <w:rsid w:val="48B540F2"/>
    <w:rsid w:val="493F6F72"/>
    <w:rsid w:val="49645F71"/>
    <w:rsid w:val="49843F7B"/>
    <w:rsid w:val="499F5C68"/>
    <w:rsid w:val="4A52465C"/>
    <w:rsid w:val="4A5C4AC6"/>
    <w:rsid w:val="4A662FBF"/>
    <w:rsid w:val="4AF16062"/>
    <w:rsid w:val="4B0A57E5"/>
    <w:rsid w:val="4B646DDD"/>
    <w:rsid w:val="4B7F44F8"/>
    <w:rsid w:val="4BAC24C5"/>
    <w:rsid w:val="4BFA0656"/>
    <w:rsid w:val="4C324162"/>
    <w:rsid w:val="4C81261C"/>
    <w:rsid w:val="4C913C33"/>
    <w:rsid w:val="4D3439E8"/>
    <w:rsid w:val="4D4E2809"/>
    <w:rsid w:val="4D6F16A3"/>
    <w:rsid w:val="4D730507"/>
    <w:rsid w:val="4D741DD3"/>
    <w:rsid w:val="4DC93207"/>
    <w:rsid w:val="4E010C4C"/>
    <w:rsid w:val="4E214B2B"/>
    <w:rsid w:val="4E8D5761"/>
    <w:rsid w:val="4EF54A85"/>
    <w:rsid w:val="4EF972C6"/>
    <w:rsid w:val="501B3C66"/>
    <w:rsid w:val="504B40C5"/>
    <w:rsid w:val="50561A69"/>
    <w:rsid w:val="50987DC2"/>
    <w:rsid w:val="50A4703E"/>
    <w:rsid w:val="50D92DFE"/>
    <w:rsid w:val="51282B99"/>
    <w:rsid w:val="5136104F"/>
    <w:rsid w:val="51465EDE"/>
    <w:rsid w:val="5151745B"/>
    <w:rsid w:val="52071113"/>
    <w:rsid w:val="52085509"/>
    <w:rsid w:val="522774C4"/>
    <w:rsid w:val="522A7431"/>
    <w:rsid w:val="525A440D"/>
    <w:rsid w:val="52626449"/>
    <w:rsid w:val="536F35A6"/>
    <w:rsid w:val="544E511A"/>
    <w:rsid w:val="54741940"/>
    <w:rsid w:val="54810E66"/>
    <w:rsid w:val="54A3044D"/>
    <w:rsid w:val="54C063E4"/>
    <w:rsid w:val="54C2556E"/>
    <w:rsid w:val="55480EEF"/>
    <w:rsid w:val="554A6079"/>
    <w:rsid w:val="569B7F91"/>
    <w:rsid w:val="56D21BED"/>
    <w:rsid w:val="571903F8"/>
    <w:rsid w:val="572651B2"/>
    <w:rsid w:val="57AE5C26"/>
    <w:rsid w:val="57DD75A9"/>
    <w:rsid w:val="5801059F"/>
    <w:rsid w:val="58256ABD"/>
    <w:rsid w:val="58B33F35"/>
    <w:rsid w:val="58B709F7"/>
    <w:rsid w:val="58C27FDB"/>
    <w:rsid w:val="59123351"/>
    <w:rsid w:val="59472AC7"/>
    <w:rsid w:val="59B32E8D"/>
    <w:rsid w:val="59D514A6"/>
    <w:rsid w:val="59EC6E09"/>
    <w:rsid w:val="5AA84B33"/>
    <w:rsid w:val="5AB343F7"/>
    <w:rsid w:val="5ABF50F2"/>
    <w:rsid w:val="5AF25D13"/>
    <w:rsid w:val="5AF76904"/>
    <w:rsid w:val="5B052E7A"/>
    <w:rsid w:val="5B3D7F7E"/>
    <w:rsid w:val="5B7C7777"/>
    <w:rsid w:val="5BEC6771"/>
    <w:rsid w:val="5CA506B9"/>
    <w:rsid w:val="5CF74CE4"/>
    <w:rsid w:val="5D5A7C63"/>
    <w:rsid w:val="5E256F6F"/>
    <w:rsid w:val="5F6235A9"/>
    <w:rsid w:val="5FFE462F"/>
    <w:rsid w:val="60DC439E"/>
    <w:rsid w:val="614125C2"/>
    <w:rsid w:val="61AA1D1F"/>
    <w:rsid w:val="624C5C52"/>
    <w:rsid w:val="62D677C3"/>
    <w:rsid w:val="63225152"/>
    <w:rsid w:val="63DF08E4"/>
    <w:rsid w:val="64C04AFD"/>
    <w:rsid w:val="64D4770D"/>
    <w:rsid w:val="655B219F"/>
    <w:rsid w:val="658A7250"/>
    <w:rsid w:val="661A7B69"/>
    <w:rsid w:val="66455323"/>
    <w:rsid w:val="664909C1"/>
    <w:rsid w:val="66635AE4"/>
    <w:rsid w:val="66C63EB5"/>
    <w:rsid w:val="66D2243C"/>
    <w:rsid w:val="67592674"/>
    <w:rsid w:val="679461D3"/>
    <w:rsid w:val="67C20AF9"/>
    <w:rsid w:val="6858287E"/>
    <w:rsid w:val="68593A1E"/>
    <w:rsid w:val="68C04D52"/>
    <w:rsid w:val="68D33DE9"/>
    <w:rsid w:val="69157114"/>
    <w:rsid w:val="691A443E"/>
    <w:rsid w:val="699B6A4B"/>
    <w:rsid w:val="69E203A0"/>
    <w:rsid w:val="6A5B6D7D"/>
    <w:rsid w:val="6A765FBC"/>
    <w:rsid w:val="6A80735F"/>
    <w:rsid w:val="6A943830"/>
    <w:rsid w:val="6AC17181"/>
    <w:rsid w:val="6ACC5E47"/>
    <w:rsid w:val="6AD43ED1"/>
    <w:rsid w:val="6B11024D"/>
    <w:rsid w:val="6B7D5B36"/>
    <w:rsid w:val="6B8E2D0B"/>
    <w:rsid w:val="6C1017D6"/>
    <w:rsid w:val="6C1A0813"/>
    <w:rsid w:val="6C834DAA"/>
    <w:rsid w:val="6C993CCE"/>
    <w:rsid w:val="6CF120A8"/>
    <w:rsid w:val="6D72413D"/>
    <w:rsid w:val="6F5C0A2B"/>
    <w:rsid w:val="6FF50B81"/>
    <w:rsid w:val="70330B9C"/>
    <w:rsid w:val="714213DD"/>
    <w:rsid w:val="717F272E"/>
    <w:rsid w:val="721263AA"/>
    <w:rsid w:val="72783A23"/>
    <w:rsid w:val="728027C6"/>
    <w:rsid w:val="72E32A52"/>
    <w:rsid w:val="732E6B82"/>
    <w:rsid w:val="73D62FA6"/>
    <w:rsid w:val="73FE7ACC"/>
    <w:rsid w:val="74556746"/>
    <w:rsid w:val="74743258"/>
    <w:rsid w:val="761B13C4"/>
    <w:rsid w:val="764B6A8A"/>
    <w:rsid w:val="76C17E06"/>
    <w:rsid w:val="76CA67BD"/>
    <w:rsid w:val="774E6400"/>
    <w:rsid w:val="775B0046"/>
    <w:rsid w:val="79700BEF"/>
    <w:rsid w:val="79811973"/>
    <w:rsid w:val="798D552B"/>
    <w:rsid w:val="7A090695"/>
    <w:rsid w:val="7A1D5951"/>
    <w:rsid w:val="7A5275FA"/>
    <w:rsid w:val="7AE175F4"/>
    <w:rsid w:val="7B417685"/>
    <w:rsid w:val="7B5220F0"/>
    <w:rsid w:val="7BA169C0"/>
    <w:rsid w:val="7BC55243"/>
    <w:rsid w:val="7C2F4A9A"/>
    <w:rsid w:val="7CAD595B"/>
    <w:rsid w:val="7CD9190C"/>
    <w:rsid w:val="7CDA1E0E"/>
    <w:rsid w:val="7CF65D07"/>
    <w:rsid w:val="7D2975D1"/>
    <w:rsid w:val="7D2F3083"/>
    <w:rsid w:val="7D344D95"/>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字符"/>
    <w:link w:val="6"/>
    <w:qFormat/>
    <w:uiPriority w:val="0"/>
    <w:rPr>
      <w:rFonts w:eastAsia="仿宋_GB2312"/>
      <w:kern w:val="2"/>
      <w:sz w:val="18"/>
    </w:rPr>
  </w:style>
  <w:style w:type="character" w:customStyle="1" w:styleId="17">
    <w:name w:val="批注框文本 字符"/>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27</Pages>
  <Words>6520</Words>
  <Characters>7851</Characters>
  <Lines>71</Lines>
  <Paragraphs>20</Paragraphs>
  <TotalTime>0</TotalTime>
  <ScaleCrop>false</ScaleCrop>
  <LinksUpToDate>false</LinksUpToDate>
  <CharactersWithSpaces>8476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听雨</cp:lastModifiedBy>
  <cp:lastPrinted>2024-01-23T03:39:00Z</cp:lastPrinted>
  <dcterms:modified xsi:type="dcterms:W3CDTF">2026-03-10T06:24:40Z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9E14F0EA985D4396B4E6FC1DEB287039</vt:lpwstr>
  </property>
</Properties>
</file>