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eastAsia="黑体"/>
        </w:rPr>
      </w:pPr>
      <w:bookmarkStart w:id="0" w:name="_GoBack"/>
      <w:bookmarkEnd w:id="0"/>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rPr>
        <w:t>吉林省统计局辉南县农村社会经济调查队</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eastAsia="zh-CN"/>
        </w:rPr>
        <w:t>二十六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rFonts w:hint="eastAsia" w:ascii="仿宋_GB2312" w:hAnsi="仿宋" w:eastAsia="仿宋_GB2312"/>
          <w:color w:val="000000"/>
          <w:szCs w:val="32"/>
          <w:lang w:eastAsia="zh-CN"/>
        </w:rPr>
      </w:pPr>
      <w:r>
        <w:rPr>
          <w:rFonts w:hint="eastAsia" w:ascii="仿宋_GB2312" w:hAnsi="仿宋"/>
          <w:color w:val="000000"/>
          <w:szCs w:val="32"/>
          <w:lang w:eastAsia="zh-CN"/>
        </w:rPr>
        <w:t>（一）</w:t>
      </w:r>
      <w:r>
        <w:rPr>
          <w:rFonts w:hint="eastAsia" w:ascii="仿宋_GB2312" w:hAnsi="仿宋"/>
          <w:color w:val="000000"/>
          <w:szCs w:val="32"/>
        </w:rPr>
        <w:t>农村综合统计，负责全</w:t>
      </w:r>
      <w:r>
        <w:rPr>
          <w:rFonts w:hint="eastAsia" w:ascii="仿宋_GB2312" w:hAnsi="仿宋"/>
          <w:color w:val="000000"/>
          <w:szCs w:val="32"/>
          <w:lang w:eastAsia="zh-CN"/>
        </w:rPr>
        <w:t>县</w:t>
      </w:r>
      <w:r>
        <w:rPr>
          <w:rFonts w:hint="eastAsia" w:ascii="仿宋_GB2312" w:hAnsi="仿宋"/>
          <w:color w:val="000000"/>
          <w:szCs w:val="32"/>
        </w:rPr>
        <w:t>农村经济综合资料的搜集，整理和上报，综合性的调查、研究、分析和预测；农产量统计，负责全</w:t>
      </w:r>
      <w:r>
        <w:rPr>
          <w:rFonts w:hint="eastAsia" w:ascii="仿宋_GB2312" w:hAnsi="仿宋"/>
          <w:color w:val="000000"/>
          <w:szCs w:val="32"/>
          <w:lang w:eastAsia="zh-CN"/>
        </w:rPr>
        <w:t>县</w:t>
      </w:r>
      <w:r>
        <w:rPr>
          <w:rFonts w:hint="eastAsia" w:ascii="仿宋_GB2312" w:hAnsi="仿宋"/>
          <w:color w:val="000000"/>
          <w:szCs w:val="32"/>
        </w:rPr>
        <w:t>农林牧渔业、生产条件、产品产量等资料的搜集、审核、汇总和上报及农产量和畜牧业抽样的建立和调查工作</w:t>
      </w:r>
      <w:r>
        <w:rPr>
          <w:rFonts w:hint="eastAsia" w:ascii="仿宋_GB2312" w:hAnsi="仿宋"/>
          <w:color w:val="000000"/>
          <w:szCs w:val="32"/>
          <w:lang w:eastAsia="zh-CN"/>
        </w:rPr>
        <w:t>。</w:t>
      </w:r>
    </w:p>
    <w:p>
      <w:pPr>
        <w:ind w:firstLine="640" w:firstLineChars="200"/>
        <w:rPr>
          <w:rFonts w:hint="eastAsia" w:ascii="仿宋_GB2312" w:hAnsi="仿宋"/>
          <w:color w:val="000000"/>
          <w:szCs w:val="32"/>
        </w:rPr>
      </w:pPr>
      <w:r>
        <w:rPr>
          <w:rFonts w:hint="eastAsia" w:ascii="仿宋_GB2312" w:hAnsi="仿宋"/>
          <w:color w:val="000000"/>
          <w:szCs w:val="32"/>
          <w:lang w:eastAsia="zh-CN"/>
        </w:rPr>
        <w:t>（二）</w:t>
      </w:r>
      <w:r>
        <w:rPr>
          <w:rFonts w:hint="eastAsia" w:ascii="仿宋_GB2312" w:hAnsi="仿宋"/>
          <w:color w:val="000000"/>
          <w:szCs w:val="32"/>
        </w:rPr>
        <w:t>对农业统计人员的培训、检查和指导，对全</w:t>
      </w:r>
      <w:r>
        <w:rPr>
          <w:rFonts w:hint="eastAsia" w:ascii="仿宋_GB2312" w:hAnsi="仿宋"/>
          <w:color w:val="000000"/>
          <w:szCs w:val="32"/>
          <w:lang w:eastAsia="zh-CN"/>
        </w:rPr>
        <w:t>县</w:t>
      </w:r>
      <w:r>
        <w:rPr>
          <w:rFonts w:hint="eastAsia" w:ascii="仿宋_GB2312" w:hAnsi="仿宋"/>
          <w:color w:val="000000"/>
          <w:szCs w:val="32"/>
        </w:rPr>
        <w:t>农业生产情况的调查、研究、分析和预测；农村经济调查统计。</w:t>
      </w:r>
    </w:p>
    <w:p>
      <w:pPr>
        <w:ind w:firstLine="640" w:firstLineChars="200"/>
        <w:rPr>
          <w:rFonts w:hint="eastAsia" w:ascii="仿宋_GB2312" w:hAnsi="仿宋"/>
          <w:color w:val="000000"/>
          <w:szCs w:val="32"/>
        </w:rPr>
      </w:pPr>
      <w:r>
        <w:rPr>
          <w:rFonts w:hint="eastAsia" w:ascii="仿宋_GB2312" w:hAnsi="仿宋"/>
          <w:color w:val="000000"/>
          <w:szCs w:val="32"/>
          <w:lang w:eastAsia="zh-CN"/>
        </w:rPr>
        <w:t>（三）</w:t>
      </w:r>
      <w:r>
        <w:rPr>
          <w:rFonts w:hint="eastAsia" w:ascii="仿宋_GB2312" w:hAnsi="仿宋"/>
          <w:color w:val="000000"/>
          <w:szCs w:val="32"/>
        </w:rPr>
        <w:t>负责全</w:t>
      </w:r>
      <w:r>
        <w:rPr>
          <w:rFonts w:hint="eastAsia" w:ascii="仿宋_GB2312" w:hAnsi="仿宋"/>
          <w:color w:val="000000"/>
          <w:szCs w:val="32"/>
          <w:lang w:eastAsia="zh-CN"/>
        </w:rPr>
        <w:t>县</w:t>
      </w:r>
      <w:r>
        <w:rPr>
          <w:rFonts w:hint="eastAsia" w:ascii="仿宋_GB2312" w:hAnsi="仿宋"/>
          <w:color w:val="000000"/>
          <w:szCs w:val="32"/>
        </w:rPr>
        <w:t>样本点住户资料的收集、审核、录入、上报工作，样本点农产品、产量调查、汇总、上报，各级样本点记账质量的检查、评比及辅助调查员的业务培训工作；组织、指导农村统计网络基础建设，对有关统计数据进行核查评估。</w:t>
      </w:r>
    </w:p>
    <w:p>
      <w:pPr>
        <w:ind w:firstLine="640" w:firstLineChars="200"/>
        <w:rPr>
          <w:rFonts w:hint="eastAsia" w:ascii="仿宋_GB2312" w:hAnsi="仿宋"/>
          <w:color w:val="000000"/>
          <w:szCs w:val="32"/>
        </w:rPr>
      </w:pPr>
      <w:r>
        <w:rPr>
          <w:rFonts w:hint="eastAsia" w:ascii="仿宋_GB2312" w:hAnsi="仿宋"/>
          <w:color w:val="000000"/>
          <w:szCs w:val="32"/>
        </w:rPr>
        <w:t>承办县委、县政府和上级业务部门交办的其他工作。</w:t>
      </w:r>
    </w:p>
    <w:p>
      <w:pPr>
        <w:ind w:firstLine="640" w:firstLineChars="200"/>
      </w:pPr>
      <w:r>
        <w:rPr>
          <w:rFonts w:eastAsia="楷体_GB2312"/>
        </w:rPr>
        <w:t>二、机构设置</w:t>
      </w:r>
    </w:p>
    <w:p>
      <w:pPr>
        <w:pStyle w:val="48"/>
        <w:ind w:firstLine="640" w:firstLineChars="200"/>
        <w:rPr>
          <w:rFonts w:hint="eastAsia" w:hAnsi="楷体" w:eastAsia="仿宋_GB2312"/>
          <w:lang w:eastAsia="zh-CN"/>
        </w:rPr>
      </w:pPr>
      <w:r>
        <w:rPr>
          <w:rFonts w:hint="eastAsia" w:eastAsia="仿宋_GB2312"/>
          <w:lang w:eastAsia="zh-CN"/>
        </w:rPr>
        <w:t>吉林省统计局辉南县农村社会经济调查队无内设机构；无下设预算单位。</w:t>
      </w:r>
    </w:p>
    <w:p>
      <w:pPr>
        <w:pStyle w:val="48"/>
        <w:ind w:firstLine="640" w:firstLineChars="200"/>
        <w:rPr>
          <w:rFonts w:eastAsia="黑体"/>
        </w:rPr>
      </w:pPr>
      <w:r>
        <w:rPr>
          <w:rFonts w:hint="eastAsia" w:hAnsi="楷体" w:eastAsia="楷体"/>
        </w:rPr>
        <w:br w:type="page"/>
      </w:r>
    </w:p>
    <w:p>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kern w:val="0"/>
                <w:sz w:val="20"/>
              </w:rPr>
            </w:pPr>
          </w:p>
        </w:tc>
        <w:tc>
          <w:tcPr>
            <w:tcW w:w="1200" w:type="dxa"/>
            <w:gridSpan w:val="2"/>
            <w:tcBorders>
              <w:top w:val="nil"/>
              <w:left w:val="nil"/>
              <w:bottom w:val="nil"/>
              <w:right w:val="nil"/>
            </w:tcBorders>
            <w:noWrap w:val="0"/>
            <w:vAlign w:val="center"/>
          </w:tcPr>
          <w:p>
            <w:pPr>
              <w:widowControl/>
              <w:jc w:val="center"/>
              <w:rPr>
                <w:rFonts w:eastAsia="宋体"/>
                <w:kern w:val="0"/>
                <w:sz w:val="20"/>
              </w:rPr>
            </w:pPr>
          </w:p>
        </w:tc>
        <w:tc>
          <w:tcPr>
            <w:tcW w:w="2498" w:type="dxa"/>
            <w:gridSpan w:val="2"/>
            <w:tcBorders>
              <w:top w:val="nil"/>
              <w:left w:val="nil"/>
              <w:bottom w:val="nil"/>
              <w:right w:val="nil"/>
            </w:tcBorders>
            <w:noWrap w:val="0"/>
            <w:vAlign w:val="center"/>
          </w:tcPr>
          <w:p>
            <w:pPr>
              <w:widowControl/>
              <w:jc w:val="center"/>
              <w:rPr>
                <w:rFonts w:eastAsia="宋体"/>
                <w:kern w:val="0"/>
                <w:sz w:val="20"/>
              </w:rPr>
            </w:pPr>
          </w:p>
        </w:tc>
        <w:tc>
          <w:tcPr>
            <w:tcW w:w="2340" w:type="dxa"/>
            <w:gridSpan w:val="3"/>
            <w:tcBorders>
              <w:top w:val="nil"/>
              <w:left w:val="nil"/>
              <w:bottom w:val="nil"/>
              <w:right w:val="nil"/>
            </w:tcBorders>
            <w:noWrap w:val="0"/>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一、财政拨款收入</w:t>
            </w:r>
          </w:p>
        </w:tc>
        <w:tc>
          <w:tcPr>
            <w:tcW w:w="1020" w:type="dxa"/>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69.25</w:t>
            </w:r>
          </w:p>
        </w:tc>
        <w:tc>
          <w:tcPr>
            <w:tcW w:w="984" w:type="dxa"/>
            <w:gridSpan w:val="2"/>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69.08</w:t>
            </w:r>
          </w:p>
        </w:tc>
        <w:tc>
          <w:tcPr>
            <w:tcW w:w="1134" w:type="dxa"/>
            <w:tcBorders>
              <w:top w:val="nil"/>
              <w:left w:val="single" w:color="auto" w:sz="4" w:space="0"/>
              <w:bottom w:val="single" w:color="auto" w:sz="4" w:space="0"/>
              <w:right w:val="nil"/>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0.17</w:t>
            </w: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58.50</w:t>
            </w:r>
          </w:p>
        </w:tc>
        <w:tc>
          <w:tcPr>
            <w:tcW w:w="1182" w:type="dxa"/>
            <w:gridSpan w:val="2"/>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58.33</w:t>
            </w:r>
          </w:p>
        </w:tc>
        <w:tc>
          <w:tcPr>
            <w:tcW w:w="1158" w:type="dxa"/>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0.17</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一般公共预算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69.25</w:t>
            </w:r>
          </w:p>
        </w:tc>
        <w:tc>
          <w:tcPr>
            <w:tcW w:w="984" w:type="dxa"/>
            <w:gridSpan w:val="2"/>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69.08</w:t>
            </w:r>
          </w:p>
        </w:tc>
        <w:tc>
          <w:tcPr>
            <w:tcW w:w="1134" w:type="dxa"/>
            <w:tcBorders>
              <w:top w:val="nil"/>
              <w:left w:val="single" w:color="auto" w:sz="4" w:space="0"/>
              <w:bottom w:val="single" w:color="auto" w:sz="4" w:space="0"/>
              <w:right w:val="nil"/>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0.17</w:t>
            </w: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sz w:val="20"/>
              </w:rPr>
              <w:t>二、</w:t>
            </w:r>
            <w:r>
              <w:rPr>
                <w:rFonts w:hint="eastAsia" w:ascii="宋体" w:hAnsi="宋体" w:eastAsia="宋体" w:cs="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5.84</w:t>
            </w:r>
          </w:p>
        </w:tc>
        <w:tc>
          <w:tcPr>
            <w:tcW w:w="1182" w:type="dxa"/>
            <w:gridSpan w:val="2"/>
            <w:tcBorders>
              <w:top w:val="nil"/>
              <w:left w:val="nil"/>
              <w:bottom w:val="single" w:color="auto" w:sz="4" w:space="0"/>
              <w:right w:val="single" w:color="auto" w:sz="4" w:space="0"/>
            </w:tcBorders>
            <w:noWrap w:val="0"/>
            <w:vAlign w:val="center"/>
          </w:tcPr>
          <w:p>
            <w:pPr>
              <w:autoSpaceDN w:val="0"/>
              <w:jc w:val="righ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5.84</w:t>
            </w:r>
          </w:p>
        </w:tc>
        <w:tc>
          <w:tcPr>
            <w:tcW w:w="1158" w:type="dxa"/>
            <w:tcBorders>
              <w:top w:val="nil"/>
              <w:left w:val="nil"/>
              <w:bottom w:val="single" w:color="auto" w:sz="4" w:space="0"/>
              <w:right w:val="single" w:color="auto" w:sz="4" w:space="0"/>
            </w:tcBorders>
            <w:noWrap w:val="0"/>
            <w:vAlign w:val="center"/>
          </w:tcPr>
          <w:p>
            <w:pPr>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政府性基金预算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sz w:val="20"/>
              </w:rPr>
              <w:t>三、</w:t>
            </w:r>
            <w:r>
              <w:rPr>
                <w:rFonts w:hint="eastAsia" w:ascii="宋体" w:hAnsi="宋体" w:eastAsia="宋体" w:cs="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1.46</w:t>
            </w:r>
          </w:p>
        </w:tc>
        <w:tc>
          <w:tcPr>
            <w:tcW w:w="1182" w:type="dxa"/>
            <w:gridSpan w:val="2"/>
            <w:tcBorders>
              <w:top w:val="nil"/>
              <w:left w:val="nil"/>
              <w:bottom w:val="single" w:color="auto" w:sz="4" w:space="0"/>
              <w:right w:val="single" w:color="auto" w:sz="4" w:space="0"/>
            </w:tcBorders>
            <w:noWrap w:val="0"/>
            <w:vAlign w:val="center"/>
          </w:tcPr>
          <w:p>
            <w:pPr>
              <w:autoSpaceDN w:val="0"/>
              <w:jc w:val="righ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1.46</w:t>
            </w:r>
          </w:p>
        </w:tc>
        <w:tc>
          <w:tcPr>
            <w:tcW w:w="1158" w:type="dxa"/>
            <w:tcBorders>
              <w:top w:val="nil"/>
              <w:left w:val="nil"/>
              <w:bottom w:val="single" w:color="auto" w:sz="4" w:space="0"/>
              <w:right w:val="single" w:color="auto" w:sz="4" w:space="0"/>
            </w:tcBorders>
            <w:noWrap w:val="0"/>
            <w:vAlign w:val="center"/>
          </w:tcPr>
          <w:p>
            <w:pPr>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ind w:left="400" w:hanging="400" w:hangingChars="200"/>
              <w:jc w:val="both"/>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3.45</w:t>
            </w:r>
          </w:p>
        </w:tc>
        <w:tc>
          <w:tcPr>
            <w:tcW w:w="1182" w:type="dxa"/>
            <w:gridSpan w:val="2"/>
            <w:tcBorders>
              <w:top w:val="nil"/>
              <w:left w:val="nil"/>
              <w:bottom w:val="single" w:color="auto" w:sz="4" w:space="0"/>
              <w:right w:val="single" w:color="auto" w:sz="4" w:space="0"/>
            </w:tcBorders>
            <w:noWrap w:val="0"/>
            <w:vAlign w:val="center"/>
          </w:tcPr>
          <w:p>
            <w:pPr>
              <w:autoSpaceDN w:val="0"/>
              <w:jc w:val="righ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3.45</w:t>
            </w:r>
          </w:p>
        </w:tc>
        <w:tc>
          <w:tcPr>
            <w:tcW w:w="1158" w:type="dxa"/>
            <w:tcBorders>
              <w:top w:val="nil"/>
              <w:left w:val="nil"/>
              <w:bottom w:val="single" w:color="auto" w:sz="4" w:space="0"/>
              <w:right w:val="single" w:color="auto" w:sz="4" w:space="0"/>
            </w:tcBorders>
            <w:noWrap w:val="0"/>
            <w:vAlign w:val="center"/>
          </w:tcPr>
          <w:p>
            <w:pPr>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ascii="宋体" w:hAnsi="宋体" w:eastAsia="宋体" w:cs="宋体"/>
                <w:sz w:val="20"/>
              </w:rPr>
            </w:pPr>
            <w:r>
              <w:rPr>
                <w:rFonts w:hint="eastAsia" w:ascii="宋体" w:hAnsi="宋体" w:eastAsia="宋体" w:cs="宋体"/>
                <w:sz w:val="20"/>
              </w:rPr>
              <w:t>二、财政专户管理</w:t>
            </w:r>
            <w:r>
              <w:rPr>
                <w:rFonts w:hint="eastAsia" w:ascii="宋体" w:hAnsi="宋体" w:eastAsia="宋体" w:cs="宋体"/>
                <w:sz w:val="20"/>
                <w:lang w:val="en-US" w:eastAsia="zh-CN"/>
              </w:rPr>
              <w:t xml:space="preserve">  </w:t>
            </w:r>
            <w:r>
              <w:rPr>
                <w:rFonts w:hint="eastAsia" w:ascii="宋体" w:hAnsi="宋体" w:eastAsia="宋体" w:cs="宋体"/>
                <w:sz w:val="20"/>
              </w:rPr>
              <w:t>资金收入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sz w:val="20"/>
              </w:rPr>
            </w:pPr>
            <w:r>
              <w:rPr>
                <w:rFonts w:hint="eastAsia" w:ascii="宋体" w:hAnsi="宋体" w:eastAsia="宋体" w:cs="宋体"/>
                <w:sz w:val="20"/>
              </w:rPr>
              <w:t>三、单位资金收入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事业收入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both"/>
              <w:rPr>
                <w:rFonts w:hint="eastAsia" w:ascii="宋体" w:hAnsi="宋体" w:eastAsia="宋体" w:cs="宋体"/>
                <w:sz w:val="20"/>
              </w:rPr>
            </w:pPr>
            <w:r>
              <w:rPr>
                <w:rFonts w:hint="eastAsia" w:ascii="宋体" w:hAnsi="宋体" w:eastAsia="宋体" w:cs="宋体"/>
                <w:sz w:val="20"/>
              </w:rPr>
              <w:t>事业单位经营收入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上级补助收入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附属单位上缴收入</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其他收入</w:t>
            </w:r>
          </w:p>
        </w:tc>
        <w:tc>
          <w:tcPr>
            <w:tcW w:w="1020" w:type="dxa"/>
            <w:tcBorders>
              <w:top w:val="nil"/>
              <w:left w:val="nil"/>
              <w:bottom w:val="single" w:color="auto" w:sz="4" w:space="0"/>
              <w:right w:val="single" w:color="auto" w:sz="4" w:space="0"/>
            </w:tcBorders>
            <w:noWrap w:val="0"/>
            <w:vAlign w:val="center"/>
          </w:tcPr>
          <w:p>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pPr>
              <w:jc w:val="right"/>
              <w:rPr>
                <w:rFonts w:hint="eastAsia" w:eastAsia="宋体"/>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本年收入</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020" w:type="dxa"/>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69.25</w:t>
            </w:r>
          </w:p>
        </w:tc>
        <w:tc>
          <w:tcPr>
            <w:tcW w:w="984" w:type="dxa"/>
            <w:gridSpan w:val="2"/>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69.08</w:t>
            </w:r>
          </w:p>
        </w:tc>
        <w:tc>
          <w:tcPr>
            <w:tcW w:w="1134" w:type="dxa"/>
            <w:tcBorders>
              <w:top w:val="nil"/>
              <w:left w:val="single" w:color="auto" w:sz="4" w:space="0"/>
              <w:bottom w:val="single" w:color="auto" w:sz="4" w:space="0"/>
              <w:right w:val="nil"/>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0.17</w:t>
            </w: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本年支出</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hint="default" w:eastAsia="宋体"/>
                <w:b/>
                <w:bCs/>
                <w:kern w:val="0"/>
                <w:sz w:val="20"/>
                <w:lang w:val="en-US" w:eastAsia="zh-CN"/>
              </w:rPr>
            </w:pPr>
            <w:r>
              <w:rPr>
                <w:rFonts w:hint="eastAsia" w:eastAsia="宋体"/>
                <w:b w:val="0"/>
                <w:bCs w:val="0"/>
                <w:kern w:val="0"/>
                <w:sz w:val="20"/>
                <w:lang w:val="en-US" w:eastAsia="zh-CN"/>
              </w:rPr>
              <w:t>69.25</w:t>
            </w:r>
          </w:p>
        </w:tc>
        <w:tc>
          <w:tcPr>
            <w:tcW w:w="1182" w:type="dxa"/>
            <w:gridSpan w:val="2"/>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69.08</w:t>
            </w:r>
          </w:p>
        </w:tc>
        <w:tc>
          <w:tcPr>
            <w:tcW w:w="1158" w:type="dxa"/>
            <w:tcBorders>
              <w:top w:val="nil"/>
              <w:left w:val="nil"/>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0.17</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财政拨款结转</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结转下年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lang w:eastAsia="zh-CN"/>
              </w:rPr>
              <w:t>非财政拨款</w:t>
            </w:r>
            <w:r>
              <w:rPr>
                <w:rFonts w:hint="eastAsia" w:ascii="宋体" w:hAnsi="宋体" w:eastAsia="宋体" w:cs="宋体"/>
                <w:sz w:val="20"/>
                <w:lang w:val="en-US" w:eastAsia="zh-CN"/>
              </w:rPr>
              <w:t xml:space="preserve">      </w:t>
            </w:r>
            <w:r>
              <w:rPr>
                <w:rFonts w:hint="eastAsia" w:ascii="宋体" w:hAnsi="宋体" w:eastAsia="宋体" w:cs="宋体"/>
                <w:sz w:val="20"/>
              </w:rPr>
              <w:t>结转结余</w:t>
            </w:r>
          </w:p>
        </w:tc>
        <w:tc>
          <w:tcPr>
            <w:tcW w:w="1020"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right"/>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b/>
                <w:bCs/>
                <w:kern w:val="0"/>
                <w:sz w:val="20"/>
              </w:rPr>
              <w:t>收入总计</w:t>
            </w:r>
          </w:p>
        </w:tc>
        <w:tc>
          <w:tcPr>
            <w:tcW w:w="1020" w:type="dxa"/>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69.25</w:t>
            </w:r>
          </w:p>
        </w:tc>
        <w:tc>
          <w:tcPr>
            <w:tcW w:w="984" w:type="dxa"/>
            <w:gridSpan w:val="2"/>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69.08</w:t>
            </w:r>
          </w:p>
        </w:tc>
        <w:tc>
          <w:tcPr>
            <w:tcW w:w="1134" w:type="dxa"/>
            <w:tcBorders>
              <w:top w:val="nil"/>
              <w:left w:val="single" w:color="auto" w:sz="4" w:space="0"/>
              <w:bottom w:val="single" w:color="auto" w:sz="4" w:space="0"/>
              <w:right w:val="nil"/>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0.17</w:t>
            </w: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b/>
                <w:bCs/>
                <w:kern w:val="0"/>
                <w:sz w:val="20"/>
                <w:lang w:val="en-US" w:eastAsia="zh-CN" w:bidi="ar-SA"/>
              </w:rPr>
            </w:pPr>
            <w:r>
              <w:rPr>
                <w:rFonts w:hint="eastAsia" w:eastAsia="宋体"/>
                <w:b w:val="0"/>
                <w:bCs w:val="0"/>
                <w:kern w:val="0"/>
                <w:sz w:val="20"/>
                <w:lang w:val="en-US" w:eastAsia="zh-CN"/>
              </w:rPr>
              <w:t>69.25</w:t>
            </w:r>
          </w:p>
        </w:tc>
        <w:tc>
          <w:tcPr>
            <w:tcW w:w="1182" w:type="dxa"/>
            <w:gridSpan w:val="2"/>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69.08</w:t>
            </w:r>
          </w:p>
        </w:tc>
        <w:tc>
          <w:tcPr>
            <w:tcW w:w="1158" w:type="dxa"/>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0.17</w:t>
            </w: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649" w:type="dxa"/>
        <w:jc w:val="center"/>
        <w:tblLayout w:type="fixed"/>
        <w:tblCellMar>
          <w:top w:w="0" w:type="dxa"/>
          <w:left w:w="108" w:type="dxa"/>
          <w:bottom w:w="0" w:type="dxa"/>
          <w:right w:w="108" w:type="dxa"/>
        </w:tblCellMar>
      </w:tblPr>
      <w:tblGrid>
        <w:gridCol w:w="956"/>
        <w:gridCol w:w="817"/>
        <w:gridCol w:w="856"/>
        <w:gridCol w:w="1045"/>
        <w:gridCol w:w="384"/>
        <w:gridCol w:w="433"/>
        <w:gridCol w:w="300"/>
        <w:gridCol w:w="300"/>
        <w:gridCol w:w="162"/>
        <w:gridCol w:w="155"/>
        <w:gridCol w:w="383"/>
        <w:gridCol w:w="367"/>
        <w:gridCol w:w="89"/>
        <w:gridCol w:w="277"/>
        <w:gridCol w:w="221"/>
        <w:gridCol w:w="363"/>
        <w:gridCol w:w="633"/>
        <w:gridCol w:w="236"/>
        <w:gridCol w:w="129"/>
        <w:gridCol w:w="400"/>
        <w:gridCol w:w="484"/>
        <w:gridCol w:w="422"/>
        <w:gridCol w:w="237"/>
      </w:tblGrid>
      <w:tr>
        <w:tblPrEx>
          <w:tblCellMar>
            <w:top w:w="0" w:type="dxa"/>
            <w:left w:w="108" w:type="dxa"/>
            <w:bottom w:w="0" w:type="dxa"/>
            <w:right w:w="108" w:type="dxa"/>
          </w:tblCellMar>
        </w:tblPrEx>
        <w:trPr>
          <w:trHeight w:val="335" w:hRule="atLeast"/>
          <w:jc w:val="center"/>
        </w:trPr>
        <w:tc>
          <w:tcPr>
            <w:tcW w:w="956" w:type="dxa"/>
            <w:tcBorders>
              <w:bottom w:val="single" w:color="000000" w:sz="4" w:space="0"/>
            </w:tcBorders>
            <w:noWrap w:val="0"/>
            <w:vAlign w:val="top"/>
          </w:tcPr>
          <w:p>
            <w:pPr>
              <w:autoSpaceDN w:val="0"/>
              <w:jc w:val="left"/>
              <w:textAlignment w:val="center"/>
              <w:rPr>
                <w:rFonts w:eastAsia="华文细黑"/>
                <w:color w:val="000000"/>
                <w:sz w:val="20"/>
              </w:rPr>
            </w:pPr>
          </w:p>
        </w:tc>
        <w:tc>
          <w:tcPr>
            <w:tcW w:w="4297" w:type="dxa"/>
            <w:gridSpan w:val="8"/>
            <w:tcBorders>
              <w:bottom w:val="single" w:color="000000" w:sz="4" w:space="0"/>
            </w:tcBorders>
            <w:noWrap w:val="0"/>
            <w:vAlign w:val="center"/>
          </w:tcPr>
          <w:p>
            <w:pPr>
              <w:autoSpaceDN w:val="0"/>
              <w:jc w:val="left"/>
              <w:textAlignment w:val="center"/>
              <w:rPr>
                <w:rFonts w:eastAsia="华文细黑"/>
                <w:color w:val="000000"/>
                <w:sz w:val="20"/>
              </w:rPr>
            </w:pPr>
          </w:p>
        </w:tc>
        <w:tc>
          <w:tcPr>
            <w:tcW w:w="994" w:type="dxa"/>
            <w:gridSpan w:val="4"/>
            <w:noWrap w:val="0"/>
            <w:vAlign w:val="center"/>
          </w:tcPr>
          <w:p>
            <w:pPr>
              <w:autoSpaceDN w:val="0"/>
              <w:jc w:val="left"/>
              <w:textAlignment w:val="center"/>
              <w:rPr>
                <w:rFonts w:eastAsia="华文细黑"/>
                <w:color w:val="000000"/>
                <w:sz w:val="20"/>
              </w:rPr>
            </w:pPr>
          </w:p>
        </w:tc>
        <w:tc>
          <w:tcPr>
            <w:tcW w:w="498" w:type="dxa"/>
            <w:gridSpan w:val="2"/>
            <w:noWrap w:val="0"/>
            <w:vAlign w:val="center"/>
          </w:tcPr>
          <w:p>
            <w:pPr>
              <w:autoSpaceDN w:val="0"/>
              <w:jc w:val="left"/>
              <w:textAlignment w:val="center"/>
              <w:rPr>
                <w:rFonts w:eastAsia="华文细黑"/>
                <w:color w:val="000000"/>
                <w:sz w:val="20"/>
              </w:rPr>
            </w:pPr>
          </w:p>
        </w:tc>
        <w:tc>
          <w:tcPr>
            <w:tcW w:w="996" w:type="dxa"/>
            <w:gridSpan w:val="2"/>
            <w:noWrap w:val="0"/>
            <w:vAlign w:val="center"/>
          </w:tcPr>
          <w:p>
            <w:pPr>
              <w:autoSpaceDN w:val="0"/>
              <w:jc w:val="left"/>
              <w:textAlignment w:val="center"/>
              <w:rPr>
                <w:rFonts w:eastAsia="华文细黑"/>
                <w:color w:val="000000"/>
                <w:sz w:val="20"/>
              </w:rPr>
            </w:pPr>
          </w:p>
        </w:tc>
        <w:tc>
          <w:tcPr>
            <w:tcW w:w="236" w:type="dxa"/>
            <w:noWrap w:val="0"/>
            <w:vAlign w:val="bottom"/>
          </w:tcPr>
          <w:p>
            <w:pPr>
              <w:autoSpaceDN w:val="0"/>
              <w:jc w:val="right"/>
              <w:textAlignment w:val="bottom"/>
              <w:rPr>
                <w:rFonts w:eastAsia="宋体"/>
                <w:color w:val="000000"/>
                <w:sz w:val="20"/>
              </w:rPr>
            </w:pPr>
          </w:p>
        </w:tc>
        <w:tc>
          <w:tcPr>
            <w:tcW w:w="1672" w:type="dxa"/>
            <w:gridSpan w:val="5"/>
            <w:noWrap w:val="0"/>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gridAfter w:val="1"/>
          <w:wAfter w:w="237" w:type="dxa"/>
          <w:trHeight w:val="517" w:hRule="atLeast"/>
          <w:jc w:val="center"/>
        </w:trPr>
        <w:tc>
          <w:tcPr>
            <w:tcW w:w="956" w:type="dxa"/>
            <w:vMerge w:val="restart"/>
            <w:tcBorders>
              <w:left w:val="single" w:color="000000" w:sz="4" w:space="0"/>
              <w:right w:val="single" w:color="000000" w:sz="4" w:space="0"/>
            </w:tcBorders>
            <w:noWrap w:val="0"/>
            <w:vAlign w:val="center"/>
          </w:tcPr>
          <w:p>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17" w:type="dxa"/>
            <w:vMerge w:val="restart"/>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751" w:type="dxa"/>
            <w:gridSpan w:val="12"/>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2888" w:type="dxa"/>
            <w:gridSpan w:val="8"/>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tblPrEx>
          <w:tblCellMar>
            <w:top w:w="0" w:type="dxa"/>
            <w:left w:w="108" w:type="dxa"/>
            <w:bottom w:w="0" w:type="dxa"/>
            <w:right w:w="108" w:type="dxa"/>
          </w:tblCellMar>
        </w:tblPrEx>
        <w:trPr>
          <w:gridAfter w:val="1"/>
          <w:wAfter w:w="237" w:type="dxa"/>
          <w:trHeight w:val="517" w:hRule="atLeast"/>
          <w:jc w:val="center"/>
        </w:trPr>
        <w:tc>
          <w:tcPr>
            <w:tcW w:w="956"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000000"/>
                <w:sz w:val="20"/>
                <w:lang w:eastAsia="zh-CN"/>
              </w:rPr>
            </w:pPr>
          </w:p>
        </w:tc>
        <w:tc>
          <w:tcPr>
            <w:tcW w:w="817" w:type="dxa"/>
            <w:vMerge w:val="continue"/>
            <w:tcBorders>
              <w:left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p>
        </w:tc>
        <w:tc>
          <w:tcPr>
            <w:tcW w:w="856" w:type="dxa"/>
            <w:vMerge w:val="restart"/>
            <w:tcBorders>
              <w:top w:val="single" w:color="000000" w:sz="4" w:space="0"/>
              <w:left w:val="single" w:color="000000" w:sz="4" w:space="0"/>
              <w:right w:val="single" w:color="auto" w:sz="4" w:space="0"/>
            </w:tcBorders>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862" w:type="dxa"/>
            <w:gridSpan w:val="3"/>
            <w:tcBorders>
              <w:top w:val="single" w:color="000000" w:sz="4" w:space="0"/>
              <w:left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300" w:type="dxa"/>
            <w:vMerge w:val="restart"/>
            <w:tcBorders>
              <w:top w:val="single" w:color="000000" w:sz="4" w:space="0"/>
              <w:left w:val="single" w:color="auto" w:sz="4" w:space="0"/>
              <w:right w:val="single" w:color="auto" w:sz="4" w:space="0"/>
            </w:tcBorders>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733" w:type="dxa"/>
            <w:gridSpan w:val="7"/>
            <w:tcBorders>
              <w:top w:val="single" w:color="000000" w:sz="4" w:space="0"/>
              <w:left w:val="single" w:color="auto"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584" w:type="dxa"/>
            <w:gridSpan w:val="2"/>
            <w:vMerge w:val="restart"/>
            <w:tcBorders>
              <w:top w:val="single" w:color="000000" w:sz="4" w:space="0"/>
              <w:left w:val="single" w:color="000000" w:sz="4" w:space="0"/>
              <w:right w:val="single" w:color="auto" w:sz="4" w:space="0"/>
            </w:tcBorders>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398" w:type="dxa"/>
            <w:gridSpan w:val="4"/>
            <w:tcBorders>
              <w:top w:val="single" w:color="000000" w:sz="4" w:space="0"/>
              <w:left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906" w:type="dxa"/>
            <w:gridSpan w:val="2"/>
            <w:tcBorders>
              <w:top w:val="single" w:color="000000" w:sz="4" w:space="0"/>
              <w:left w:val="single" w:color="auto"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tblPrEx>
          <w:tblCellMar>
            <w:top w:w="0" w:type="dxa"/>
            <w:left w:w="108" w:type="dxa"/>
            <w:bottom w:w="0" w:type="dxa"/>
            <w:right w:w="108" w:type="dxa"/>
          </w:tblCellMar>
        </w:tblPrEx>
        <w:trPr>
          <w:gridAfter w:val="1"/>
          <w:wAfter w:w="237" w:type="dxa"/>
          <w:trHeight w:val="2818" w:hRule="atLeast"/>
          <w:jc w:val="center"/>
        </w:trPr>
        <w:tc>
          <w:tcPr>
            <w:tcW w:w="956" w:type="dxa"/>
            <w:vMerge w:val="continue"/>
            <w:tcBorders>
              <w:left w:val="single" w:color="000000" w:sz="4" w:space="0"/>
              <w:bottom w:val="single" w:color="000000" w:sz="4" w:space="0"/>
              <w:right w:val="single" w:color="000000" w:sz="4" w:space="0"/>
            </w:tcBorders>
            <w:shd w:val="solid" w:color="FFFFFF" w:fill="auto"/>
            <w:noWrap w:val="0"/>
            <w:vAlign w:val="center"/>
          </w:tcPr>
          <w:p>
            <w:pPr>
              <w:widowControl/>
              <w:jc w:val="left"/>
              <w:rPr>
                <w:rFonts w:hint="eastAsia" w:ascii="宋体" w:hAnsi="宋体" w:eastAsia="宋体" w:cs="宋体"/>
                <w:color w:val="000000"/>
                <w:sz w:val="20"/>
                <w:shd w:val="clear" w:color="auto" w:fill="FFFFFF"/>
              </w:rPr>
            </w:pPr>
          </w:p>
        </w:tc>
        <w:tc>
          <w:tcPr>
            <w:tcW w:w="817" w:type="dxa"/>
            <w:vMerge w:val="continue"/>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5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104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84" w:type="dxa"/>
            <w:tcBorders>
              <w:top w:val="single" w:color="000000" w:sz="4" w:space="0"/>
              <w:left w:val="single" w:color="000000" w:sz="4" w:space="0"/>
              <w:bottom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00"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17"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66"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584"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63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36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40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8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tblPrEx>
          <w:tblCellMar>
            <w:top w:w="0" w:type="dxa"/>
            <w:left w:w="108" w:type="dxa"/>
            <w:bottom w:w="0" w:type="dxa"/>
            <w:right w:w="108" w:type="dxa"/>
          </w:tblCellMar>
        </w:tblPrEx>
        <w:trPr>
          <w:gridAfter w:val="1"/>
          <w:wAfter w:w="237" w:type="dxa"/>
          <w:trHeight w:val="517" w:hRule="atLeast"/>
          <w:jc w:val="center"/>
        </w:trPr>
        <w:tc>
          <w:tcPr>
            <w:tcW w:w="956"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eastAsia="zh-CN"/>
              </w:rPr>
              <w:t>吉林省统计局辉南县农村社会经济调查队</w:t>
            </w: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69.25</w:t>
            </w:r>
          </w:p>
        </w:tc>
        <w:tc>
          <w:tcPr>
            <w:tcW w:w="8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69.08</w:t>
            </w:r>
          </w:p>
        </w:tc>
        <w:tc>
          <w:tcPr>
            <w:tcW w:w="10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69.08</w:t>
            </w:r>
          </w:p>
        </w:tc>
        <w:tc>
          <w:tcPr>
            <w:tcW w:w="384"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1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8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0.17</w:t>
            </w:r>
          </w:p>
        </w:tc>
        <w:tc>
          <w:tcPr>
            <w:tcW w:w="6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0.17</w:t>
            </w:r>
          </w:p>
        </w:tc>
        <w:tc>
          <w:tcPr>
            <w:tcW w:w="3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gridAfter w:val="1"/>
          <w:wAfter w:w="237" w:type="dxa"/>
          <w:trHeight w:val="517" w:hRule="atLeast"/>
          <w:jc w:val="center"/>
        </w:trPr>
        <w:tc>
          <w:tcPr>
            <w:tcW w:w="956" w:type="dxa"/>
            <w:tcBorders>
              <w:top w:val="single" w:color="000000" w:sz="4" w:space="0"/>
              <w:left w:val="single" w:color="000000" w:sz="4" w:space="0"/>
              <w:bottom w:val="single" w:color="000000" w:sz="4" w:space="0"/>
            </w:tcBorders>
            <w:shd w:val="solid" w:color="FFFFFF" w:fill="auto"/>
            <w:noWrap w:val="0"/>
            <w:vAlign w:val="center"/>
          </w:tcPr>
          <w:p>
            <w:pPr>
              <w:widowControl/>
              <w:ind w:firstLine="400" w:firstLineChars="200"/>
              <w:jc w:val="left"/>
              <w:rPr>
                <w:rFonts w:hint="eastAsia" w:ascii="宋体" w:hAnsi="宋体" w:eastAsia="宋体" w:cs="宋体"/>
                <w:color w:val="000000"/>
                <w:sz w:val="20"/>
                <w:shd w:val="clear" w:color="auto" w:fill="FFFFFF"/>
                <w:lang w:eastAsia="zh-CN"/>
              </w:rPr>
            </w:pP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10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1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8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6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gridAfter w:val="1"/>
          <w:wAfter w:w="237" w:type="dxa"/>
          <w:trHeight w:val="517" w:hRule="atLeast"/>
          <w:jc w:val="center"/>
        </w:trPr>
        <w:tc>
          <w:tcPr>
            <w:tcW w:w="956"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hint="eastAsia" w:ascii="宋体" w:hAnsi="宋体" w:eastAsia="宋体" w:cs="宋体"/>
                <w:color w:val="000000"/>
                <w:sz w:val="20"/>
                <w:shd w:val="clear" w:color="auto" w:fill="FFFFFF"/>
              </w:rPr>
            </w:pP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10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1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8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6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gridAfter w:val="1"/>
          <w:wAfter w:w="237" w:type="dxa"/>
          <w:trHeight w:val="517" w:hRule="atLeast"/>
          <w:jc w:val="center"/>
        </w:trPr>
        <w:tc>
          <w:tcPr>
            <w:tcW w:w="956"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hint="eastAsia" w:ascii="宋体" w:hAnsi="宋体" w:eastAsia="宋体" w:cs="宋体"/>
                <w:color w:val="000000"/>
                <w:sz w:val="20"/>
                <w:shd w:val="clear" w:color="auto" w:fill="FFFFFF"/>
              </w:rPr>
            </w:pP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10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1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8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6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gridAfter w:val="1"/>
          <w:wAfter w:w="237" w:type="dxa"/>
          <w:trHeight w:val="530" w:hRule="atLeast"/>
          <w:jc w:val="center"/>
        </w:trPr>
        <w:tc>
          <w:tcPr>
            <w:tcW w:w="956"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kern w:val="0"/>
                <w:sz w:val="20"/>
              </w:rPr>
              <w:t>合计</w:t>
            </w: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eastAsia="宋体"/>
                <w:color w:val="000000"/>
                <w:sz w:val="20"/>
                <w:shd w:val="clear" w:color="auto" w:fill="FFFFFF"/>
                <w:lang w:val="en-US" w:eastAsia="zh-CN"/>
              </w:rPr>
              <w:t>69.25</w:t>
            </w:r>
          </w:p>
        </w:tc>
        <w:tc>
          <w:tcPr>
            <w:tcW w:w="8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eastAsia="宋体"/>
                <w:color w:val="000000"/>
                <w:sz w:val="20"/>
                <w:shd w:val="clear" w:color="auto" w:fill="FFFFFF"/>
                <w:lang w:val="en-US" w:eastAsia="zh-CN"/>
              </w:rPr>
              <w:t>69.08</w:t>
            </w:r>
          </w:p>
        </w:tc>
        <w:tc>
          <w:tcPr>
            <w:tcW w:w="10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eastAsia="宋体"/>
                <w:color w:val="000000"/>
                <w:sz w:val="20"/>
                <w:shd w:val="clear" w:color="auto" w:fill="FFFFFF"/>
                <w:lang w:val="en-US" w:eastAsia="zh-CN"/>
              </w:rPr>
              <w:t>69.08</w:t>
            </w:r>
          </w:p>
        </w:tc>
        <w:tc>
          <w:tcPr>
            <w:tcW w:w="384"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0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1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6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58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eastAsia="宋体"/>
                <w:color w:val="000000"/>
                <w:sz w:val="20"/>
                <w:shd w:val="clear" w:color="auto" w:fill="FFFFFF"/>
                <w:lang w:val="en-US" w:eastAsia="zh-CN"/>
              </w:rPr>
              <w:t>0.17</w:t>
            </w:r>
          </w:p>
        </w:tc>
        <w:tc>
          <w:tcPr>
            <w:tcW w:w="6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eastAsia="宋体"/>
                <w:color w:val="000000"/>
                <w:sz w:val="20"/>
                <w:shd w:val="clear" w:color="auto" w:fill="FFFFFF"/>
                <w:lang w:val="en-US" w:eastAsia="zh-CN"/>
              </w:rPr>
              <w:t>0.17</w:t>
            </w:r>
          </w:p>
        </w:tc>
        <w:tc>
          <w:tcPr>
            <w:tcW w:w="3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r>
    </w:tbl>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p>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9974" w:hRule="atLeast"/>
          <w:jc w:val="center"/>
        </w:trPr>
        <w:tc>
          <w:tcPr>
            <w:tcW w:w="10405" w:type="dxa"/>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tblPrEx>
                <w:tblCellMar>
                  <w:top w:w="15" w:type="dxa"/>
                  <w:left w:w="15" w:type="dxa"/>
                  <w:bottom w:w="15" w:type="dxa"/>
                  <w:right w:w="15" w:type="dxa"/>
                </w:tblCellMar>
              </w:tblPrEx>
              <w:trPr>
                <w:gridAfter w:val="1"/>
                <w:wAfter w:w="138" w:type="dxa"/>
                <w:trHeight w:val="376" w:hRule="atLeast"/>
              </w:trPr>
              <w:tc>
                <w:tcPr>
                  <w:tcW w:w="5812" w:type="dxa"/>
                  <w:gridSpan w:val="4"/>
                  <w:tcBorders>
                    <w:bottom w:val="single" w:color="000000" w:sz="4" w:space="0"/>
                  </w:tcBorders>
                  <w:noWrap w:val="0"/>
                  <w:vAlign w:val="center"/>
                </w:tcPr>
                <w:p>
                  <w:pPr>
                    <w:widowControl/>
                    <w:jc w:val="left"/>
                    <w:rPr>
                      <w:rFonts w:eastAsia="华文细黑"/>
                      <w:color w:val="000000"/>
                      <w:kern w:val="0"/>
                      <w:sz w:val="20"/>
                    </w:rPr>
                  </w:pPr>
                </w:p>
              </w:tc>
              <w:tc>
                <w:tcPr>
                  <w:tcW w:w="1297" w:type="dxa"/>
                  <w:tcBorders>
                    <w:bottom w:val="single" w:color="000000" w:sz="4" w:space="0"/>
                  </w:tcBorders>
                  <w:noWrap w:val="0"/>
                  <w:vAlign w:val="center"/>
                </w:tcPr>
                <w:p>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pPr>
                    <w:widowControl/>
                    <w:jc w:val="right"/>
                    <w:rPr>
                      <w:rFonts w:eastAsia="华文细黑"/>
                      <w:color w:val="000000"/>
                      <w:kern w:val="0"/>
                      <w:sz w:val="20"/>
                    </w:rPr>
                  </w:pPr>
                </w:p>
              </w:tc>
              <w:tc>
                <w:tcPr>
                  <w:tcW w:w="1297" w:type="dxa"/>
                  <w:tcBorders>
                    <w:bottom w:val="single" w:color="000000" w:sz="4" w:space="0"/>
                  </w:tcBorders>
                  <w:noWrap w:val="0"/>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097" w:hRule="atLeast"/>
              </w:trPr>
              <w:tc>
                <w:tcPr>
                  <w:tcW w:w="2149"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CellMar>
                  <w:top w:w="15" w:type="dxa"/>
                  <w:left w:w="15" w:type="dxa"/>
                  <w:bottom w:w="15" w:type="dxa"/>
                  <w:right w:w="15" w:type="dxa"/>
                </w:tblCellMar>
              </w:tblPrEx>
              <w:trPr>
                <w:trHeight w:val="35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58.50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37.50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40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eastAsia="zh-CN"/>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58.50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37.50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37.50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37.50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6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eastAsia="zh-CN"/>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200" w:firstLineChars="1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二</w:t>
                  </w:r>
                  <w:r>
                    <w:rPr>
                      <w:rFonts w:hint="eastAsia" w:ascii="宋体" w:hAnsi="宋体" w:eastAsia="宋体" w:cs="宋体"/>
                      <w:color w:val="000000"/>
                      <w:kern w:val="0"/>
                      <w:sz w:val="20"/>
                      <w:lang w:eastAsia="zh-CN"/>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8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6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1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6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1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8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69.25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48.25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pPr>
        <w:ind w:firstLine="640" w:firstLineChars="200"/>
      </w:pPr>
    </w:p>
    <w:p>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rPr>
                <w:trHeight w:val="634" w:hRule="atLeast"/>
              </w:trPr>
              <w:tc>
                <w:tcPr>
                  <w:tcW w:w="9640" w:type="dxa"/>
                  <w:gridSpan w:val="8"/>
                  <w:tcBorders>
                    <w:top w:val="nil"/>
                    <w:left w:val="nil"/>
                    <w:bottom w:val="nil"/>
                    <w:right w:val="nil"/>
                  </w:tcBorders>
                  <w:noWrap w:val="0"/>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支      出</w:t>
                  </w:r>
                </w:p>
              </w:tc>
            </w:tr>
            <w:tr>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69.25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69.08</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0.17</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69.25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69.08</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0.17</w:t>
                  </w: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69.25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69.08</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0.17</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w:t>
                  </w:r>
                  <w:r>
                    <w:rPr>
                      <w:rFonts w:hint="eastAsia" w:ascii="宋体" w:hAnsi="宋体" w:eastAsia="宋体" w:cs="宋体"/>
                      <w:color w:val="000000"/>
                      <w:kern w:val="0"/>
                      <w:sz w:val="20"/>
                    </w:rPr>
                    <w:t>一般公共服务</w:t>
                  </w:r>
                  <w:r>
                    <w:rPr>
                      <w:rFonts w:hint="eastAsia" w:ascii="宋体" w:hAnsi="宋体" w:eastAsia="宋体" w:cs="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58.50</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58.33</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0.17</w:t>
                  </w: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szCs w:val="20"/>
                      <w:lang w:eastAsia="zh-CN"/>
                    </w:rPr>
                    <w:t>（二）</w:t>
                  </w:r>
                  <w:r>
                    <w:rPr>
                      <w:rFonts w:hint="eastAsia" w:ascii="宋体" w:hAnsi="宋体" w:eastAsia="宋体" w:cs="宋体"/>
                      <w:color w:val="000000"/>
                      <w:sz w:val="20"/>
                      <w:szCs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eastAsia="宋体"/>
                      <w:kern w:val="0"/>
                      <w:sz w:val="20"/>
                      <w:lang w:val="en-US" w:eastAsia="zh-CN"/>
                    </w:rPr>
                  </w:pPr>
                  <w:r>
                    <w:rPr>
                      <w:rFonts w:hint="eastAsia" w:eastAsia="宋体"/>
                      <w:kern w:val="0"/>
                      <w:sz w:val="20"/>
                      <w:lang w:val="en-US" w:eastAsia="zh-CN"/>
                    </w:rPr>
                    <w:t>5.84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5.84</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szCs w:val="20"/>
                      <w:lang w:eastAsia="zh-CN"/>
                    </w:rPr>
                    <w:t>（三）</w:t>
                  </w:r>
                  <w:r>
                    <w:rPr>
                      <w:rFonts w:hint="eastAsia" w:ascii="宋体" w:hAnsi="宋体" w:eastAsia="宋体" w:cs="宋体"/>
                      <w:color w:val="000000"/>
                      <w:sz w:val="20"/>
                      <w:szCs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1.46</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1.46</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szCs w:val="20"/>
                      <w:lang w:eastAsia="zh-CN"/>
                    </w:rPr>
                    <w:t>（四）</w:t>
                  </w:r>
                  <w:r>
                    <w:rPr>
                      <w:rFonts w:hint="eastAsia" w:ascii="宋体" w:hAnsi="宋体" w:eastAsia="宋体" w:cs="宋体"/>
                      <w:color w:val="000000"/>
                      <w:sz w:val="20"/>
                      <w:szCs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3.45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3.45</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0"/>
                    </w:rPr>
                  </w:pPr>
                  <w:r>
                    <w:rPr>
                      <w:rFonts w:hint="eastAsia" w:ascii="宋体" w:hAnsi="宋体" w:eastAsia="宋体" w:cs="宋体"/>
                      <w:kern w:val="0"/>
                      <w:sz w:val="20"/>
                      <w:lang w:eastAsia="zh-CN"/>
                    </w:rPr>
                    <w:t>二、</w:t>
                  </w:r>
                  <w:r>
                    <w:rPr>
                      <w:rFonts w:hint="eastAsia" w:ascii="宋体" w:hAnsi="宋体" w:eastAsia="宋体" w:cs="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69.25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69.08</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0.17</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69.25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69.08</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0.17</w:t>
                  </w:r>
                </w:p>
              </w:tc>
            </w:tr>
          </w:tbl>
          <w:p>
            <w:pPr>
              <w:widowControl/>
              <w:rPr>
                <w:rFonts w:eastAsia="方正小标宋简体"/>
                <w:kern w:val="0"/>
                <w:sz w:val="44"/>
                <w:szCs w:val="44"/>
              </w:rPr>
            </w:pPr>
          </w:p>
        </w:tc>
      </w:tr>
    </w:tbl>
    <w:p>
      <w:pPr>
        <w:ind w:firstLine="640" w:firstLineChars="200"/>
        <w:rPr>
          <w:rFonts w:hAnsi="楷体" w:eastAsia="楷体"/>
        </w:rPr>
      </w:pPr>
    </w:p>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trPr>
                <w:trHeight w:val="390" w:hRule="atLeast"/>
              </w:trPr>
              <w:tc>
                <w:tcPr>
                  <w:tcW w:w="8789" w:type="dxa"/>
                  <w:gridSpan w:val="6"/>
                  <w:tcBorders>
                    <w:bottom w:val="single" w:color="000000" w:sz="4" w:space="0"/>
                  </w:tcBorders>
                  <w:noWrap w:val="0"/>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58.50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37.50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58.50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37.50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21.00</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37.50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37.50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200" w:firstLineChars="1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二</w:t>
                  </w:r>
                  <w:r>
                    <w:rPr>
                      <w:rFonts w:hint="eastAsia" w:ascii="宋体" w:hAnsi="宋体" w:eastAsia="宋体" w:cs="宋体"/>
                      <w:color w:val="000000"/>
                      <w:kern w:val="0"/>
                      <w:sz w:val="20"/>
                      <w:lang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69.25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48.25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r>
          </w:tbl>
          <w:p>
            <w:pPr>
              <w:widowControl/>
              <w:jc w:val="center"/>
              <w:rPr>
                <w:rFonts w:eastAsia="方正小标宋简体"/>
                <w:kern w:val="0"/>
                <w:sz w:val="44"/>
                <w:szCs w:val="44"/>
              </w:rPr>
            </w:pPr>
          </w:p>
        </w:tc>
      </w:tr>
    </w:tbl>
    <w:p>
      <w:pPr>
        <w:rPr>
          <w:rFonts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39.26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39.26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13.85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13.85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7.97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7.97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6.95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6.95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lang w:eastAsia="zh-CN"/>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4.47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4.47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1.42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1.42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eastAsia="zh-CN"/>
              </w:rPr>
              <w:t>其他社会保险缴费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0.39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0.39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3.45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hint="default" w:eastAsia="仿宋_GB2312"/>
                <w:sz w:val="20"/>
                <w:szCs w:val="20"/>
                <w:lang w:val="en-US" w:eastAsia="zh-CN"/>
              </w:rPr>
            </w:pPr>
            <w:r>
              <w:rPr>
                <w:rFonts w:hint="eastAsia"/>
                <w:sz w:val="20"/>
                <w:szCs w:val="20"/>
                <w:lang w:val="en-US" w:eastAsia="zh-CN"/>
              </w:rPr>
              <w:t>3.45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0.32</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仿宋_GB2312"/>
                <w:sz w:val="20"/>
                <w:szCs w:val="20"/>
                <w:lang w:val="en-US" w:eastAsia="zh-CN"/>
              </w:rPr>
            </w:pPr>
            <w:r>
              <w:rPr>
                <w:rFonts w:hint="eastAsia"/>
                <w:sz w:val="20"/>
                <w:szCs w:val="20"/>
                <w:lang w:val="en-US" w:eastAsia="zh-CN"/>
              </w:rPr>
              <w:t>0.32</w:t>
            </w:r>
          </w:p>
        </w:tc>
        <w:tc>
          <w:tcPr>
            <w:tcW w:w="1831" w:type="dxa"/>
            <w:tcBorders>
              <w:top w:val="single" w:color="auto" w:sz="4" w:space="0"/>
              <w:left w:val="single" w:color="auto" w:sz="4" w:space="0"/>
              <w:bottom w:val="single" w:color="auto" w:sz="4" w:space="0"/>
              <w:right w:val="single" w:color="auto" w:sz="4" w:space="0"/>
            </w:tcBorders>
            <w:noWrap w:val="0"/>
            <w:vAlign w:val="top"/>
          </w:tcPr>
          <w:p>
            <w:pPr>
              <w:widowControl/>
              <w:jc w:val="right"/>
              <w:rPr>
                <w:sz w:val="20"/>
                <w:szCs w:val="20"/>
              </w:rPr>
            </w:pPr>
          </w:p>
        </w:tc>
      </w:tr>
      <w:tr>
        <w:tblPrEx>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宋体"/>
                <w:kern w:val="0"/>
                <w:sz w:val="20"/>
                <w:lang w:val="en-US" w:eastAsia="zh-CN"/>
              </w:rPr>
            </w:pPr>
            <w:r>
              <w:rPr>
                <w:rFonts w:hint="eastAsia" w:eastAsia="宋体"/>
                <w:kern w:val="0"/>
                <w:sz w:val="20"/>
                <w:lang w:val="en-US" w:eastAsia="zh-CN"/>
              </w:rPr>
              <w:t>0.44</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仿宋_GB2312"/>
                <w:sz w:val="20"/>
                <w:szCs w:val="20"/>
                <w:lang w:val="en-US" w:eastAsia="zh-CN"/>
              </w:rPr>
            </w:pPr>
            <w:r>
              <w:rPr>
                <w:rFonts w:hint="eastAsia"/>
                <w:sz w:val="20"/>
                <w:szCs w:val="20"/>
                <w:lang w:val="en-US" w:eastAsia="zh-CN"/>
              </w:rPr>
              <w:t>0.44</w:t>
            </w:r>
          </w:p>
        </w:tc>
        <w:tc>
          <w:tcPr>
            <w:tcW w:w="1831" w:type="dxa"/>
            <w:tcBorders>
              <w:top w:val="single" w:color="auto" w:sz="4" w:space="0"/>
              <w:left w:val="single" w:color="auto" w:sz="4" w:space="0"/>
              <w:bottom w:val="single" w:color="auto" w:sz="4" w:space="0"/>
              <w:right w:val="single" w:color="auto" w:sz="4" w:space="0"/>
            </w:tcBorders>
          </w:tcPr>
          <w:p>
            <w:pPr>
              <w:widowControl/>
              <w:jc w:val="center"/>
              <w:rPr>
                <w:rFonts w:hint="default" w:eastAsia="仿宋_GB2312"/>
                <w:sz w:val="20"/>
                <w:szCs w:val="20"/>
                <w:lang w:val="en-US" w:eastAsia="zh-CN"/>
              </w:rPr>
            </w:pPr>
          </w:p>
        </w:tc>
      </w:tr>
      <w:tr>
        <w:tblPrEx>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6.84</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仿宋_GB2312"/>
                <w:sz w:val="20"/>
                <w:szCs w:val="20"/>
                <w:lang w:val="en-US" w:eastAsia="zh-CN"/>
              </w:rPr>
            </w:pPr>
            <w:r>
              <w:rPr>
                <w:rFonts w:hint="eastAsia"/>
                <w:sz w:val="20"/>
                <w:szCs w:val="20"/>
                <w:lang w:val="en-US" w:eastAsia="zh-CN"/>
              </w:rPr>
              <w:t>6.84</w:t>
            </w:r>
          </w:p>
        </w:tc>
      </w:tr>
      <w:tr>
        <w:tblPrEx>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宋体"/>
                <w:kern w:val="0"/>
                <w:sz w:val="20"/>
                <w:lang w:val="en-US" w:eastAsia="zh-CN"/>
              </w:rPr>
            </w:pPr>
            <w:r>
              <w:rPr>
                <w:rFonts w:hint="eastAsia" w:eastAsia="宋体"/>
                <w:kern w:val="0"/>
                <w:sz w:val="20"/>
                <w:lang w:val="en-US" w:eastAsia="zh-CN"/>
              </w:rPr>
              <w:t>1.11</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仿宋_GB2312"/>
                <w:sz w:val="20"/>
                <w:szCs w:val="20"/>
                <w:lang w:val="en-US" w:eastAsia="zh-CN"/>
              </w:rPr>
            </w:pPr>
            <w:r>
              <w:rPr>
                <w:rFonts w:hint="eastAsia"/>
                <w:sz w:val="20"/>
                <w:szCs w:val="20"/>
                <w:lang w:val="en-US" w:eastAsia="zh-CN"/>
              </w:rPr>
              <w:t>1.11</w:t>
            </w:r>
          </w:p>
        </w:tc>
      </w:tr>
      <w:tr>
        <w:tblPrEx>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hint="eastAsia" w:ascii="Times New Roman" w:hAnsi="Times New Roman" w:eastAsia="宋体" w:cs="Times New Roman"/>
                <w:kern w:val="0"/>
                <w:sz w:val="20"/>
                <w:lang w:val="en-US" w:eastAsia="zh-CN" w:bidi="ar-SA"/>
              </w:rPr>
            </w:pPr>
            <w:r>
              <w:rPr>
                <w:rFonts w:hint="eastAsia" w:eastAsia="宋体"/>
                <w:kern w:val="0"/>
                <w:sz w:val="20"/>
                <w:lang w:eastAsia="zh-CN"/>
              </w:rPr>
              <w:t>印刷费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宋体"/>
                <w:kern w:val="0"/>
                <w:sz w:val="20"/>
                <w:lang w:val="en-US" w:eastAsia="zh-CN"/>
              </w:rPr>
            </w:pPr>
            <w:r>
              <w:rPr>
                <w:rFonts w:hint="eastAsia" w:eastAsia="宋体"/>
                <w:kern w:val="0"/>
                <w:sz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仿宋_GB2312"/>
                <w:sz w:val="20"/>
                <w:szCs w:val="20"/>
                <w:lang w:val="en-US" w:eastAsia="zh-CN"/>
              </w:rPr>
            </w:pPr>
            <w:r>
              <w:rPr>
                <w:rFonts w:hint="eastAsia"/>
                <w:sz w:val="20"/>
                <w:szCs w:val="20"/>
                <w:lang w:val="en-US" w:eastAsia="zh-CN"/>
              </w:rPr>
              <w:t>0.10</w:t>
            </w:r>
          </w:p>
        </w:tc>
      </w:tr>
      <w:tr>
        <w:tblPrEx>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hint="eastAsia" w:ascii="Times New Roman" w:hAnsi="Times New Roman" w:eastAsia="宋体" w:cs="Times New Roman"/>
                <w:kern w:val="0"/>
                <w:sz w:val="20"/>
                <w:lang w:val="en-US" w:eastAsia="zh-CN" w:bidi="ar-SA"/>
              </w:rPr>
            </w:pPr>
            <w:r>
              <w:rPr>
                <w:rFonts w:hint="eastAsia" w:eastAsia="宋体"/>
                <w:kern w:val="0"/>
                <w:sz w:val="20"/>
                <w:lang w:eastAsia="zh-CN"/>
              </w:rPr>
              <w:t>邮电费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宋体"/>
                <w:kern w:val="0"/>
                <w:sz w:val="20"/>
                <w:lang w:val="en-US" w:eastAsia="zh-CN"/>
              </w:rPr>
            </w:pPr>
            <w:r>
              <w:rPr>
                <w:rFonts w:hint="eastAsia" w:eastAsia="宋体"/>
                <w:kern w:val="0"/>
                <w:sz w:val="20"/>
                <w:lang w:val="en-US" w:eastAsia="zh-CN"/>
              </w:rPr>
              <w:t>0.65</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仿宋_GB2312"/>
                <w:sz w:val="20"/>
                <w:szCs w:val="20"/>
                <w:lang w:val="en-US" w:eastAsia="zh-CN"/>
              </w:rPr>
            </w:pPr>
            <w:r>
              <w:rPr>
                <w:rFonts w:hint="eastAsia"/>
                <w:sz w:val="20"/>
                <w:szCs w:val="20"/>
                <w:lang w:val="en-US" w:eastAsia="zh-CN"/>
              </w:rPr>
              <w:t>0.65</w:t>
            </w:r>
          </w:p>
        </w:tc>
      </w:tr>
      <w:tr>
        <w:tblPrEx>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hint="eastAsia" w:ascii="Times New Roman" w:hAnsi="Times New Roman" w:eastAsia="宋体" w:cs="Times New Roman"/>
                <w:kern w:val="0"/>
                <w:sz w:val="20"/>
                <w:lang w:val="en-US" w:eastAsia="zh-CN" w:bidi="ar-SA"/>
              </w:rPr>
            </w:pPr>
            <w:r>
              <w:rPr>
                <w:rFonts w:hint="eastAsia" w:eastAsia="宋体"/>
                <w:kern w:val="0"/>
                <w:sz w:val="20"/>
                <w:lang w:eastAsia="zh-CN"/>
              </w:rPr>
              <w:t>差旅费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宋体"/>
                <w:kern w:val="0"/>
                <w:sz w:val="20"/>
                <w:lang w:val="en-US" w:eastAsia="zh-CN"/>
              </w:rPr>
            </w:pPr>
            <w:r>
              <w:rPr>
                <w:rFonts w:hint="eastAsia" w:eastAsia="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eastAsia="仿宋_GB2312"/>
                <w:sz w:val="20"/>
                <w:szCs w:val="20"/>
                <w:lang w:val="en-US" w:eastAsia="zh-CN"/>
              </w:rPr>
            </w:pPr>
            <w:r>
              <w:rPr>
                <w:rFonts w:hint="eastAsia"/>
                <w:sz w:val="20"/>
                <w:szCs w:val="20"/>
                <w:lang w:val="en-US" w:eastAsia="zh-CN"/>
              </w:rPr>
              <w:t>1.00</w:t>
            </w:r>
          </w:p>
        </w:tc>
      </w:tr>
    </w:tbl>
    <w:p>
      <w:pPr>
        <w:rPr>
          <w:sz w:val="16"/>
          <w:szCs w:val="16"/>
        </w:rPr>
      </w:pPr>
    </w:p>
    <w:p>
      <w:pPr>
        <w:rPr>
          <w:sz w:val="16"/>
          <w:szCs w:val="16"/>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tblPrEx>
          <w:tblCellMar>
            <w:top w:w="0" w:type="dxa"/>
            <w:left w:w="108" w:type="dxa"/>
            <w:bottom w:w="0" w:type="dxa"/>
            <w:right w:w="108" w:type="dxa"/>
          </w:tblCellMar>
        </w:tblPrEx>
        <w:trPr>
          <w:trHeight w:val="600"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p>
          <w:p>
            <w:pPr>
              <w:widowControl/>
              <w:jc w:val="center"/>
              <w:rPr>
                <w:rFonts w:hint="default" w:ascii="Times New Roman" w:hAnsi="Times New Roman" w:eastAsia="宋体" w:cs="Times New Roman"/>
                <w:kern w:val="0"/>
                <w:sz w:val="20"/>
                <w:szCs w:val="20"/>
                <w:lang w:val="en-US" w:eastAsia="zh-CN" w:bidi="ar-SA"/>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预算续</w:t>
            </w:r>
            <w:r>
              <w:rPr>
                <w:rFonts w:eastAsia="方正小标宋简体"/>
                <w:kern w:val="0"/>
                <w:sz w:val="44"/>
                <w:szCs w:val="44"/>
              </w:rPr>
              <w:t>表</w:t>
            </w:r>
          </w:p>
        </w:tc>
      </w:tr>
      <w:tr>
        <w:tblPrEx>
          <w:tblCellMar>
            <w:top w:w="0" w:type="dxa"/>
            <w:left w:w="108" w:type="dxa"/>
            <w:bottom w:w="0" w:type="dxa"/>
            <w:right w:w="108" w:type="dxa"/>
          </w:tblCellMar>
        </w:tblPrEx>
        <w:trPr>
          <w:trHeight w:val="600" w:hRule="atLeast"/>
          <w:jc w:val="center"/>
        </w:trPr>
        <w:tc>
          <w:tcPr>
            <w:tcW w:w="8931" w:type="dxa"/>
            <w:gridSpan w:val="4"/>
            <w:tcBorders>
              <w:top w:val="nil"/>
              <w:left w:val="nil"/>
              <w:bottom w:val="single" w:color="auto" w:sz="4" w:space="0"/>
              <w:right w:val="nil"/>
            </w:tcBorders>
            <w:noWrap w:val="0"/>
            <w:vAlign w:val="center"/>
          </w:tcPr>
          <w:p>
            <w:pPr>
              <w:widowControl/>
              <w:jc w:val="left"/>
              <w:rPr>
                <w:rFonts w:hint="eastAsia" w:eastAsia="宋体"/>
                <w:kern w:val="0"/>
                <w:sz w:val="20"/>
                <w:lang w:val="en-US" w:eastAsia="zh-CN" w:bidi="ar-SA"/>
              </w:rPr>
            </w:pPr>
            <w:r>
              <w:rPr>
                <w:rFonts w:eastAsia="宋体"/>
                <w:kern w:val="0"/>
                <w:sz w:val="20"/>
              </w:rPr>
              <w:t>　</w:t>
            </w:r>
          </w:p>
          <w:p>
            <w:pPr>
              <w:widowControl/>
              <w:jc w:val="right"/>
              <w:rPr>
                <w:rFonts w:hint="default" w:eastAsia="宋体"/>
                <w:kern w:val="0"/>
                <w:sz w:val="20"/>
                <w:lang w:val="en-US" w:eastAsia="zh-CN" w:bidi="ar-SA"/>
              </w:rPr>
            </w:pPr>
            <w:r>
              <w:rPr>
                <w:rFonts w:eastAsia="宋体"/>
                <w:kern w:val="0"/>
                <w:sz w:val="20"/>
              </w:rPr>
              <w:t>　</w:t>
            </w:r>
          </w:p>
          <w:p>
            <w:pPr>
              <w:widowControl/>
              <w:jc w:val="right"/>
              <w:rPr>
                <w:rFonts w:hint="default" w:ascii="Times New Roman" w:hAnsi="Times New Roman" w:eastAsia="宋体" w:cs="Times New Roman"/>
                <w:kern w:val="0"/>
                <w:sz w:val="20"/>
                <w:szCs w:val="20"/>
                <w:lang w:val="en-US" w:eastAsia="zh-CN" w:bidi="ar-SA"/>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华文细黑" w:eastAsia="华文细黑"/>
                <w:kern w:val="0"/>
                <w:sz w:val="20"/>
                <w:lang w:val="en-US" w:eastAsia="zh-CN" w:bidi="ar-SA"/>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华文细黑"/>
                <w:kern w:val="0"/>
                <w:sz w:val="20"/>
                <w:lang w:val="en-US" w:eastAsia="zh-CN" w:bidi="ar-SA"/>
              </w:rPr>
            </w:pPr>
            <w:r>
              <w:rPr>
                <w:rFonts w:eastAsia="华文细黑"/>
                <w:color w:val="000000"/>
                <w:kern w:val="0"/>
                <w:sz w:val="20"/>
              </w:rPr>
              <w:t>合计</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kern w:val="2"/>
                <w:sz w:val="32"/>
                <w:lang w:val="en-US" w:eastAsia="zh-CN" w:bidi="ar-SA"/>
              </w:rP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kern w:val="2"/>
                <w:sz w:val="32"/>
                <w:lang w:val="en-US" w:eastAsia="zh-CN" w:bidi="ar-SA"/>
              </w:rPr>
            </w:pPr>
            <w:r>
              <w:rPr>
                <w:rFonts w:eastAsia="华文细黑"/>
                <w:color w:val="000000"/>
                <w:kern w:val="0"/>
                <w:sz w:val="20"/>
              </w:rPr>
              <w:t>公用经费</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lang w:val="en-US" w:eastAsia="zh-CN"/>
              </w:rPr>
              <w:t>0.30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sz w:val="20"/>
                <w:szCs w:val="20"/>
                <w:lang w:val="en-US" w:eastAsia="zh-CN"/>
              </w:rPr>
              <w:t>0.30</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lang w:val="en-US" w:eastAsia="zh-CN"/>
              </w:rPr>
              <w:t>0.44</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sz w:val="20"/>
                <w:szCs w:val="20"/>
                <w:lang w:val="en-US" w:eastAsia="zh-CN"/>
              </w:rPr>
              <w:t>0.44</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lang w:val="en-US" w:eastAsia="zh-CN"/>
              </w:rPr>
              <w:t>1.06</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sz w:val="20"/>
                <w:szCs w:val="20"/>
                <w:lang w:val="en-US" w:eastAsia="zh-CN"/>
              </w:rPr>
              <w:t>1.06</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lang w:val="en-US" w:eastAsia="zh-CN"/>
              </w:rPr>
              <w:t>2.10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sz w:val="20"/>
                <w:szCs w:val="20"/>
                <w:lang w:val="en-US" w:eastAsia="zh-CN"/>
              </w:rPr>
              <w:t>2.10</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eastAsia="zh-CN"/>
              </w:rPr>
              <w:t>其他商品和服务支出</w:t>
            </w:r>
            <w:r>
              <w:rPr>
                <w:rFonts w:hint="eastAsia" w:ascii="宋体" w:hAnsi="宋体" w:eastAsia="宋体" w:cs="宋体"/>
                <w:kern w:val="0"/>
                <w:sz w:val="20"/>
                <w:lang w:val="en-US" w:eastAsia="zh-CN"/>
              </w:rPr>
              <w:t xml:space="preserve"> </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rPr>
            </w:pPr>
            <w:r>
              <w:rPr>
                <w:rFonts w:hint="eastAsia" w:eastAsia="宋体"/>
                <w:kern w:val="0"/>
                <w:sz w:val="20"/>
                <w:lang w:val="en-US" w:eastAsia="zh-CN"/>
              </w:rPr>
              <w:t>0.08</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lang w:val="en-US"/>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sz w:val="20"/>
                <w:szCs w:val="20"/>
                <w:lang w:val="en-US" w:eastAsia="zh-CN"/>
              </w:rPr>
              <w:t>0.08</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rPr>
            </w:pPr>
            <w:r>
              <w:rPr>
                <w:rFonts w:hint="eastAsia" w:eastAsia="宋体"/>
                <w:kern w:val="0"/>
                <w:sz w:val="20"/>
                <w:lang w:val="en-US" w:eastAsia="zh-CN"/>
              </w:rPr>
              <w:t>1.65</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sz w:val="20"/>
                <w:szCs w:val="20"/>
                <w:lang w:val="en-US" w:eastAsia="zh-CN"/>
              </w:rPr>
              <w:t>1.65</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rPr>
            </w:pPr>
            <w:r>
              <w:rPr>
                <w:rFonts w:hint="eastAsia" w:eastAsia="宋体"/>
                <w:kern w:val="0"/>
                <w:sz w:val="20"/>
                <w:lang w:val="en-US" w:eastAsia="zh-CN"/>
              </w:rPr>
              <w:t>1.37</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1.37</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rPr>
            </w:pPr>
            <w:r>
              <w:rPr>
                <w:rFonts w:hint="eastAsia" w:eastAsia="宋体"/>
                <w:kern w:val="0"/>
                <w:sz w:val="20"/>
                <w:lang w:val="en-US" w:eastAsia="zh-CN"/>
              </w:rPr>
              <w:t>0.28</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bidi="ar-SA"/>
              </w:rPr>
            </w:pPr>
            <w:r>
              <w:rPr>
                <w:rFonts w:hint="eastAsia"/>
                <w:sz w:val="20"/>
                <w:szCs w:val="20"/>
                <w:lang w:val="en-US" w:eastAsia="zh-CN"/>
              </w:rPr>
              <w:t>0.28</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cs="Times New Roman"/>
                <w:kern w:val="0"/>
                <w:sz w:val="20"/>
                <w:szCs w:val="20"/>
                <w:lang w:val="en-US" w:eastAsia="zh-CN"/>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lang w:val="en-US"/>
              </w:rPr>
            </w:pPr>
            <w:r>
              <w:rPr>
                <w:rFonts w:hint="eastAsia"/>
                <w:sz w:val="20"/>
                <w:szCs w:val="20"/>
                <w:lang w:val="en-US" w:eastAsia="zh-CN"/>
              </w:rPr>
              <w:t>0.50</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cs="Times New Roman"/>
                <w:kern w:val="0"/>
                <w:sz w:val="20"/>
                <w:szCs w:val="20"/>
                <w:lang w:val="en-US" w:eastAsia="zh-CN"/>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lang w:val="en-US"/>
              </w:rPr>
            </w:pPr>
            <w:r>
              <w:rPr>
                <w:rFonts w:hint="eastAsia"/>
                <w:sz w:val="20"/>
                <w:szCs w:val="20"/>
                <w:lang w:val="en-US" w:eastAsia="zh-CN"/>
              </w:rPr>
              <w:t>0.50</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kern w:val="0"/>
                <w:sz w:val="20"/>
                <w:szCs w:val="20"/>
                <w:lang w:val="en-US" w:eastAsia="zh-CN"/>
              </w:rPr>
            </w:pPr>
            <w:r>
              <w:rPr>
                <w:rFonts w:hint="eastAsia" w:eastAsia="宋体"/>
                <w:kern w:val="0"/>
                <w:sz w:val="20"/>
                <w:lang w:val="en-US" w:eastAsia="zh-CN"/>
              </w:rPr>
              <w:t>48.25</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lang w:val="en-US" w:eastAsia="zh-CN"/>
              </w:rPr>
            </w:pPr>
            <w:r>
              <w:rPr>
                <w:rFonts w:hint="eastAsia"/>
                <w:sz w:val="20"/>
                <w:szCs w:val="20"/>
                <w:lang w:val="en-US" w:eastAsia="zh-CN"/>
              </w:rPr>
              <w:t>40.91</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ascii="Times New Roman" w:hAnsi="Times New Roman" w:eastAsia="宋体" w:cs="Times New Roman"/>
                <w:sz w:val="20"/>
                <w:szCs w:val="20"/>
                <w:lang w:val="en-US" w:eastAsia="zh-CN"/>
              </w:rPr>
            </w:pPr>
            <w:r>
              <w:rPr>
                <w:rFonts w:hint="eastAsia"/>
                <w:sz w:val="20"/>
                <w:szCs w:val="20"/>
                <w:lang w:val="en-US" w:eastAsia="zh-CN"/>
              </w:rPr>
              <w:t>7.34</w:t>
            </w:r>
          </w:p>
        </w:tc>
      </w:tr>
    </w:tbl>
    <w:p>
      <w:pPr>
        <w:rPr>
          <w:sz w:val="16"/>
          <w:szCs w:val="16"/>
        </w:rPr>
      </w:pPr>
    </w:p>
    <w:p>
      <w:pPr>
        <w:ind w:firstLine="636"/>
        <w:rPr>
          <w:rFonts w:hAnsi="楷体" w:eastAsia="楷体"/>
        </w:rPr>
      </w:pPr>
    </w:p>
    <w:p>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pPr>
              <w:widowControl/>
              <w:jc w:val="both"/>
              <w:rPr>
                <w:rFonts w:hint="eastAsia"/>
                <w:color w:val="000000"/>
                <w:kern w:val="0"/>
                <w:sz w:val="28"/>
                <w:szCs w:val="28"/>
                <w:lang w:val="en-US" w:eastAsia="zh-CN"/>
              </w:rPr>
            </w:pPr>
            <w:r>
              <w:rPr>
                <w:rFonts w:hint="eastAsia"/>
                <w:color w:val="000000"/>
                <w:kern w:val="0"/>
                <w:sz w:val="28"/>
                <w:szCs w:val="28"/>
                <w:lang w:val="en-US" w:eastAsia="zh-CN"/>
              </w:rPr>
              <w:t>说明：</w:t>
            </w:r>
          </w:p>
          <w:p>
            <w:pPr>
              <w:widowControl/>
              <w:ind w:firstLine="560"/>
              <w:jc w:val="both"/>
              <w:rPr>
                <w:rFonts w:hint="eastAsia"/>
                <w:color w:val="000000"/>
                <w:kern w:val="0"/>
                <w:sz w:val="28"/>
                <w:szCs w:val="28"/>
                <w:lang w:val="en-US" w:eastAsia="zh-CN"/>
              </w:rPr>
            </w:pPr>
            <w:r>
              <w:rPr>
                <w:rFonts w:hint="eastAsia"/>
                <w:color w:val="000000"/>
                <w:kern w:val="0"/>
                <w:sz w:val="28"/>
                <w:szCs w:val="28"/>
                <w:lang w:val="en-US" w:eastAsia="zh-CN"/>
              </w:rPr>
              <w:t>1.“2024年预算数”的单位范围包括本单位1个预算单位。</w:t>
            </w:r>
          </w:p>
          <w:p>
            <w:pPr>
              <w:widowControl/>
              <w:ind w:firstLine="560" w:firstLineChars="200"/>
              <w:jc w:val="both"/>
              <w:rPr>
                <w:rFonts w:hint="eastAsia" w:eastAsia="仿宋_GB2312"/>
                <w:color w:val="000000"/>
                <w:kern w:val="0"/>
                <w:sz w:val="28"/>
                <w:szCs w:val="28"/>
                <w:lang w:val="en-US" w:eastAsia="zh-CN"/>
              </w:rPr>
            </w:pPr>
            <w:r>
              <w:rPr>
                <w:rFonts w:hint="eastAsia"/>
                <w:color w:val="000000"/>
                <w:kern w:val="0"/>
                <w:sz w:val="28"/>
                <w:szCs w:val="28"/>
                <w:lang w:val="en-US" w:eastAsia="zh-CN"/>
              </w:rPr>
              <w:t>2.“2024年预算数”的实有人员4人，其中：在职人员3人，离退休人员1人。</w:t>
            </w: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r>
        <w:rPr>
          <w:rFonts w:eastAsia="楷体"/>
          <w:kern w:val="0"/>
          <w:szCs w:val="32"/>
        </w:rPr>
        <w:t xml:space="preserve">    </w:t>
      </w:r>
    </w:p>
    <w:p>
      <w:pPr>
        <w:spacing w:line="700" w:lineRule="exact"/>
        <w:rPr>
          <w:rFonts w:eastAsia="楷体_GB2312"/>
          <w:kern w:val="0"/>
          <w:szCs w:val="32"/>
        </w:rPr>
      </w:pPr>
      <w:r>
        <w:rPr>
          <w:rFonts w:eastAsia="楷体_GB2312"/>
          <w:kern w:val="0"/>
          <w:szCs w:val="32"/>
        </w:rPr>
        <w:t xml:space="preserve">    </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bl>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spacing w:line="700" w:lineRule="exact"/>
        <w:jc w:val="center"/>
        <w:rPr>
          <w:rFonts w:eastAsia="楷体"/>
          <w:kern w:val="0"/>
          <w:szCs w:val="32"/>
        </w:rPr>
      </w:pPr>
    </w:p>
    <w:p>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333"/>
        <w:gridCol w:w="650"/>
        <w:gridCol w:w="933"/>
        <w:gridCol w:w="783"/>
        <w:gridCol w:w="400"/>
        <w:gridCol w:w="467"/>
        <w:gridCol w:w="367"/>
        <w:gridCol w:w="350"/>
        <w:gridCol w:w="633"/>
        <w:gridCol w:w="550"/>
        <w:gridCol w:w="633"/>
        <w:gridCol w:w="384"/>
        <w:gridCol w:w="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pPr>
              <w:autoSpaceDN w:val="0"/>
              <w:jc w:val="center"/>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72"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333"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650"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933"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367" w:type="dxa"/>
            <w:gridSpan w:val="5"/>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554" w:type="dxa"/>
            <w:gridSpan w:val="5"/>
            <w:tcBorders>
              <w:top w:val="nil"/>
              <w:left w:val="nil"/>
              <w:right w:val="nil"/>
            </w:tcBorders>
            <w:noWrap w:val="0"/>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72" w:type="dxa"/>
            <w:vMerge w:val="restart"/>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700" w:type="dxa"/>
            <w:gridSpan w:val="3"/>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650" w:type="dxa"/>
            <w:vMerge w:val="restart"/>
            <w:noWrap w:val="0"/>
            <w:textDirection w:val="tbRlV"/>
            <w:vAlign w:val="center"/>
          </w:tcPr>
          <w:p>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933" w:type="dxa"/>
            <w:vMerge w:val="restart"/>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367" w:type="dxa"/>
            <w:gridSpan w:val="5"/>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554" w:type="dxa"/>
            <w:gridSpan w:val="5"/>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472" w:type="dxa"/>
            <w:vMerge w:val="continue"/>
            <w:noWrap w:val="0"/>
            <w:vAlign w:val="center"/>
          </w:tcPr>
          <w:p>
            <w:pPr>
              <w:autoSpaceDN w:val="0"/>
              <w:jc w:val="center"/>
              <w:textAlignment w:val="center"/>
              <w:rPr>
                <w:rFonts w:hint="eastAsia" w:ascii="Calibri" w:hAnsi="Calibri" w:eastAsia="华文细黑"/>
                <w:color w:val="000000"/>
                <w:sz w:val="20"/>
                <w:szCs w:val="22"/>
              </w:rPr>
            </w:pPr>
          </w:p>
        </w:tc>
        <w:tc>
          <w:tcPr>
            <w:tcW w:w="780" w:type="dxa"/>
            <w:vMerge w:val="restart"/>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920" w:type="dxa"/>
            <w:gridSpan w:val="2"/>
            <w:vMerge w:val="restart"/>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650" w:type="dxa"/>
            <w:vMerge w:val="continue"/>
            <w:noWrap w:val="0"/>
            <w:textDirection w:val="tbLrV"/>
            <w:vAlign w:val="center"/>
          </w:tcPr>
          <w:p>
            <w:pPr>
              <w:autoSpaceDN w:val="0"/>
              <w:ind w:left="113" w:right="113"/>
              <w:jc w:val="center"/>
              <w:textAlignment w:val="center"/>
              <w:rPr>
                <w:rFonts w:hint="eastAsia" w:ascii="Calibri" w:hAnsi="Calibri" w:eastAsia="华文细黑"/>
                <w:color w:val="000000"/>
                <w:sz w:val="20"/>
                <w:szCs w:val="22"/>
                <w:lang w:eastAsia="zh-CN"/>
              </w:rPr>
            </w:pPr>
          </w:p>
        </w:tc>
        <w:tc>
          <w:tcPr>
            <w:tcW w:w="933" w:type="dxa"/>
            <w:vMerge w:val="continue"/>
            <w:noWrap w:val="0"/>
            <w:vAlign w:val="center"/>
          </w:tcPr>
          <w:p>
            <w:pPr>
              <w:autoSpaceDN w:val="0"/>
              <w:jc w:val="center"/>
              <w:textAlignment w:val="center"/>
              <w:rPr>
                <w:rFonts w:hint="eastAsia" w:ascii="Calibri" w:hAnsi="Calibri" w:eastAsia="华文细黑"/>
                <w:color w:val="000000"/>
                <w:sz w:val="20"/>
                <w:szCs w:val="22"/>
              </w:rPr>
            </w:pPr>
          </w:p>
        </w:tc>
        <w:tc>
          <w:tcPr>
            <w:tcW w:w="1650" w:type="dxa"/>
            <w:gridSpan w:val="3"/>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367" w:type="dxa"/>
            <w:vMerge w:val="restart"/>
            <w:noWrap w:val="0"/>
            <w:textDirection w:val="tbLrV"/>
            <w:vAlign w:val="center"/>
          </w:tcPr>
          <w:p>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50" w:type="dxa"/>
            <w:vMerge w:val="restart"/>
            <w:noWrap w:val="0"/>
            <w:textDirection w:val="tbLrV"/>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816" w:type="dxa"/>
            <w:gridSpan w:val="3"/>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738" w:type="dxa"/>
            <w:gridSpan w:val="2"/>
            <w:noWrap w:val="0"/>
            <w:vAlign w:val="center"/>
          </w:tcPr>
          <w:p>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pPr>
              <w:autoSpaceDN w:val="0"/>
              <w:jc w:val="center"/>
              <w:textAlignment w:val="center"/>
              <w:rPr>
                <w:rFonts w:ascii="Calibri" w:hAnsi="Calibri" w:eastAsia="华文细黑"/>
                <w:color w:val="000000"/>
                <w:sz w:val="20"/>
                <w:szCs w:val="22"/>
              </w:rPr>
            </w:pPr>
          </w:p>
        </w:tc>
        <w:tc>
          <w:tcPr>
            <w:tcW w:w="780" w:type="dxa"/>
            <w:vMerge w:val="continue"/>
            <w:noWrap w:val="0"/>
            <w:vAlign w:val="center"/>
          </w:tcPr>
          <w:p>
            <w:pPr>
              <w:autoSpaceDN w:val="0"/>
              <w:jc w:val="center"/>
              <w:textAlignment w:val="center"/>
              <w:rPr>
                <w:rFonts w:ascii="Calibri" w:hAnsi="Calibri" w:eastAsia="华文细黑"/>
                <w:color w:val="000000"/>
                <w:sz w:val="20"/>
                <w:szCs w:val="22"/>
              </w:rPr>
            </w:pPr>
          </w:p>
        </w:tc>
        <w:tc>
          <w:tcPr>
            <w:tcW w:w="920" w:type="dxa"/>
            <w:gridSpan w:val="2"/>
            <w:vMerge w:val="continue"/>
            <w:noWrap w:val="0"/>
            <w:vAlign w:val="center"/>
          </w:tcPr>
          <w:p>
            <w:pPr>
              <w:autoSpaceDN w:val="0"/>
              <w:jc w:val="center"/>
              <w:textAlignment w:val="center"/>
              <w:rPr>
                <w:rFonts w:hint="eastAsia" w:ascii="Calibri" w:hAnsi="Calibri" w:eastAsia="华文细黑"/>
                <w:color w:val="000000"/>
                <w:sz w:val="20"/>
                <w:szCs w:val="22"/>
              </w:rPr>
            </w:pPr>
          </w:p>
        </w:tc>
        <w:tc>
          <w:tcPr>
            <w:tcW w:w="650" w:type="dxa"/>
            <w:vMerge w:val="continue"/>
            <w:noWrap w:val="0"/>
            <w:vAlign w:val="center"/>
          </w:tcPr>
          <w:p>
            <w:pPr>
              <w:autoSpaceDN w:val="0"/>
              <w:jc w:val="center"/>
              <w:textAlignment w:val="center"/>
              <w:rPr>
                <w:rFonts w:ascii="Calibri" w:hAnsi="Calibri" w:eastAsia="华文细黑"/>
                <w:color w:val="000000"/>
                <w:sz w:val="20"/>
                <w:szCs w:val="22"/>
              </w:rPr>
            </w:pPr>
          </w:p>
        </w:tc>
        <w:tc>
          <w:tcPr>
            <w:tcW w:w="933" w:type="dxa"/>
            <w:vMerge w:val="continue"/>
            <w:noWrap w:val="0"/>
            <w:vAlign w:val="center"/>
          </w:tcPr>
          <w:p>
            <w:pPr>
              <w:autoSpaceDN w:val="0"/>
              <w:jc w:val="center"/>
              <w:textAlignment w:val="center"/>
              <w:rPr>
                <w:rFonts w:ascii="Calibri" w:hAnsi="Calibri" w:eastAsia="华文细黑"/>
                <w:color w:val="000000"/>
                <w:sz w:val="20"/>
                <w:szCs w:val="22"/>
              </w:rPr>
            </w:pPr>
          </w:p>
        </w:tc>
        <w:tc>
          <w:tcPr>
            <w:tcW w:w="783" w:type="dxa"/>
            <w:noWrap w:val="0"/>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00" w:type="dxa"/>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67" w:type="dxa"/>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367" w:type="dxa"/>
            <w:vMerge w:val="continue"/>
            <w:noWrap w:val="0"/>
            <w:textDirection w:val="tbLrV"/>
            <w:vAlign w:val="center"/>
          </w:tcPr>
          <w:p>
            <w:pPr>
              <w:autoSpaceDN w:val="0"/>
              <w:ind w:left="113" w:right="113"/>
              <w:jc w:val="center"/>
              <w:textAlignment w:val="center"/>
              <w:rPr>
                <w:rFonts w:hint="eastAsia" w:ascii="Calibri" w:hAnsi="Calibri" w:eastAsia="华文细黑"/>
                <w:color w:val="000000"/>
                <w:sz w:val="20"/>
                <w:szCs w:val="22"/>
                <w:lang w:eastAsia="zh-CN"/>
              </w:rPr>
            </w:pPr>
          </w:p>
        </w:tc>
        <w:tc>
          <w:tcPr>
            <w:tcW w:w="350" w:type="dxa"/>
            <w:vMerge w:val="continue"/>
            <w:noWrap w:val="0"/>
            <w:textDirection w:val="tbLrV"/>
            <w:vAlign w:val="center"/>
          </w:tcPr>
          <w:p>
            <w:pPr>
              <w:autoSpaceDN w:val="0"/>
              <w:ind w:left="113" w:right="113"/>
              <w:jc w:val="center"/>
              <w:textAlignment w:val="center"/>
              <w:rPr>
                <w:rFonts w:hint="eastAsia" w:ascii="Calibri" w:hAnsi="Calibri" w:eastAsia="华文细黑"/>
                <w:color w:val="000000"/>
                <w:sz w:val="20"/>
                <w:szCs w:val="22"/>
              </w:rPr>
            </w:pPr>
          </w:p>
        </w:tc>
        <w:tc>
          <w:tcPr>
            <w:tcW w:w="633" w:type="dxa"/>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一般</w:t>
            </w:r>
          </w:p>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公共</w:t>
            </w:r>
          </w:p>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550" w:type="dxa"/>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政府性</w:t>
            </w:r>
          </w:p>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基金</w:t>
            </w:r>
          </w:p>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633" w:type="dxa"/>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国有资本经营</w:t>
            </w:r>
          </w:p>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384" w:type="dxa"/>
            <w:noWrap w:val="0"/>
            <w:textDirection w:val="tbRlV"/>
            <w:vAlign w:val="center"/>
          </w:tcPr>
          <w:p>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54" w:type="dxa"/>
            <w:noWrap w:val="0"/>
            <w:textDirection w:val="tbRlV"/>
            <w:vAlign w:val="center"/>
          </w:tcPr>
          <w:p>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pPr>
              <w:spacing w:line="240" w:lineRule="auto"/>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专项业务支出</w:t>
            </w:r>
          </w:p>
        </w:tc>
        <w:tc>
          <w:tcPr>
            <w:tcW w:w="780"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920" w:type="dxa"/>
            <w:gridSpan w:val="2"/>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650"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933" w:type="dxa"/>
            <w:noWrap w:val="0"/>
            <w:vAlign w:val="center"/>
          </w:tcPr>
          <w:p>
            <w:pPr>
              <w:spacing w:line="700" w:lineRule="exact"/>
              <w:jc w:val="center"/>
              <w:rPr>
                <w:rFonts w:hint="default" w:ascii="Times New Roman" w:hAnsi="Times New Roman" w:eastAsia="楷体" w:cs="Times New Roman"/>
                <w:kern w:val="0"/>
                <w:sz w:val="20"/>
                <w:szCs w:val="20"/>
                <w:lang w:val="en-US" w:eastAsia="zh-CN" w:bidi="ar-SA"/>
              </w:rPr>
            </w:pPr>
            <w:r>
              <w:rPr>
                <w:rFonts w:hint="eastAsia" w:eastAsia="楷体" w:cs="Times New Roman"/>
                <w:kern w:val="0"/>
                <w:sz w:val="20"/>
                <w:szCs w:val="20"/>
                <w:lang w:val="en-US" w:eastAsia="zh-CN"/>
              </w:rPr>
              <w:t>21.00</w:t>
            </w:r>
          </w:p>
        </w:tc>
        <w:tc>
          <w:tcPr>
            <w:tcW w:w="783" w:type="dxa"/>
            <w:noWrap w:val="0"/>
            <w:vAlign w:val="center"/>
          </w:tcPr>
          <w:p>
            <w:pPr>
              <w:spacing w:line="700" w:lineRule="exact"/>
              <w:jc w:val="center"/>
              <w:rPr>
                <w:rFonts w:hint="default" w:ascii="Times New Roman" w:hAnsi="Times New Roman" w:eastAsia="楷体" w:cs="Times New Roman"/>
                <w:kern w:val="0"/>
                <w:sz w:val="20"/>
                <w:szCs w:val="20"/>
                <w:lang w:val="en-US" w:eastAsia="zh-CN" w:bidi="ar-SA"/>
              </w:rPr>
            </w:pPr>
            <w:r>
              <w:rPr>
                <w:rFonts w:hint="eastAsia" w:eastAsia="楷体" w:cs="Times New Roman"/>
                <w:kern w:val="0"/>
                <w:sz w:val="20"/>
                <w:szCs w:val="20"/>
                <w:lang w:val="en-US" w:eastAsia="zh-CN"/>
              </w:rPr>
              <w:t>21.00</w:t>
            </w:r>
          </w:p>
        </w:tc>
        <w:tc>
          <w:tcPr>
            <w:tcW w:w="400"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p>
        </w:tc>
        <w:tc>
          <w:tcPr>
            <w:tcW w:w="4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p>
        </w:tc>
        <w:tc>
          <w:tcPr>
            <w:tcW w:w="5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4" w:type="dxa"/>
            <w:noWrap w:val="0"/>
            <w:vAlign w:val="center"/>
          </w:tcPr>
          <w:p>
            <w:pPr>
              <w:spacing w:line="700" w:lineRule="exact"/>
              <w:jc w:val="center"/>
              <w:rPr>
                <w:rFonts w:hint="default" w:ascii="Times New Roman" w:hAnsi="Times New Roman" w:eastAsia="楷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472"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780" w:type="dxa"/>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统计抽样调查</w:t>
            </w:r>
          </w:p>
        </w:tc>
        <w:tc>
          <w:tcPr>
            <w:tcW w:w="920" w:type="dxa"/>
            <w:gridSpan w:val="2"/>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650" w:type="dxa"/>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933" w:type="dxa"/>
            <w:noWrap w:val="0"/>
            <w:vAlign w:val="center"/>
          </w:tcPr>
          <w:p>
            <w:pPr>
              <w:spacing w:line="700" w:lineRule="exact"/>
              <w:jc w:val="center"/>
              <w:rPr>
                <w:rFonts w:hint="default" w:ascii="Times New Roman" w:hAnsi="Times New Roman" w:eastAsia="楷体" w:cs="Times New Roman"/>
                <w:kern w:val="0"/>
                <w:sz w:val="20"/>
                <w:szCs w:val="20"/>
                <w:lang w:val="en-US" w:eastAsia="zh-CN" w:bidi="ar-SA"/>
              </w:rPr>
            </w:pPr>
            <w:r>
              <w:rPr>
                <w:rFonts w:hint="eastAsia" w:eastAsia="楷体" w:cs="Times New Roman"/>
                <w:kern w:val="0"/>
                <w:sz w:val="20"/>
                <w:szCs w:val="20"/>
                <w:lang w:val="en-US" w:eastAsia="zh-CN"/>
              </w:rPr>
              <w:t>21.00</w:t>
            </w:r>
          </w:p>
        </w:tc>
        <w:tc>
          <w:tcPr>
            <w:tcW w:w="783" w:type="dxa"/>
            <w:noWrap w:val="0"/>
            <w:vAlign w:val="center"/>
          </w:tcPr>
          <w:p>
            <w:pPr>
              <w:spacing w:line="700" w:lineRule="exact"/>
              <w:jc w:val="center"/>
              <w:rPr>
                <w:rFonts w:hint="default" w:ascii="Times New Roman" w:hAnsi="Times New Roman" w:eastAsia="楷体" w:cs="Times New Roman"/>
                <w:kern w:val="0"/>
                <w:sz w:val="20"/>
                <w:szCs w:val="20"/>
                <w:lang w:val="en-US" w:eastAsia="zh-CN" w:bidi="ar-SA"/>
              </w:rPr>
            </w:pPr>
            <w:r>
              <w:rPr>
                <w:rFonts w:hint="eastAsia" w:eastAsia="楷体" w:cs="Times New Roman"/>
                <w:kern w:val="0"/>
                <w:sz w:val="20"/>
                <w:szCs w:val="20"/>
                <w:lang w:val="en-US" w:eastAsia="zh-CN"/>
              </w:rPr>
              <w:t>21.00</w:t>
            </w:r>
          </w:p>
        </w:tc>
        <w:tc>
          <w:tcPr>
            <w:tcW w:w="40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4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5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4" w:type="dxa"/>
            <w:noWrap w:val="0"/>
            <w:vAlign w:val="center"/>
          </w:tcPr>
          <w:p>
            <w:pPr>
              <w:spacing w:line="700" w:lineRule="exact"/>
              <w:jc w:val="center"/>
              <w:rPr>
                <w:rFonts w:hint="default" w:ascii="Times New Roman" w:hAnsi="Times New Roman" w:eastAsia="楷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472"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780" w:type="dxa"/>
            <w:noWrap w:val="0"/>
            <w:vAlign w:val="center"/>
          </w:tcPr>
          <w:p>
            <w:pPr>
              <w:spacing w:line="240" w:lineRule="auto"/>
              <w:jc w:val="center"/>
              <w:rPr>
                <w:rFonts w:hint="eastAsia" w:ascii="宋体" w:hAnsi="宋体" w:eastAsia="宋体" w:cs="宋体"/>
                <w:kern w:val="0"/>
                <w:sz w:val="20"/>
                <w:szCs w:val="20"/>
                <w:lang w:eastAsia="zh-CN"/>
              </w:rPr>
            </w:pPr>
          </w:p>
        </w:tc>
        <w:tc>
          <w:tcPr>
            <w:tcW w:w="920" w:type="dxa"/>
            <w:gridSpan w:val="2"/>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全省地方点城乡居民住户调查及专项调查工作经费</w:t>
            </w:r>
          </w:p>
        </w:tc>
        <w:tc>
          <w:tcPr>
            <w:tcW w:w="650" w:type="dxa"/>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吉林省统计局辉南县农村社会经济调查队</w:t>
            </w:r>
          </w:p>
        </w:tc>
        <w:tc>
          <w:tcPr>
            <w:tcW w:w="933" w:type="dxa"/>
            <w:noWrap w:val="0"/>
            <w:vAlign w:val="center"/>
          </w:tcPr>
          <w:p>
            <w:pPr>
              <w:spacing w:line="700" w:lineRule="exact"/>
              <w:jc w:val="center"/>
              <w:rPr>
                <w:rFonts w:hint="default" w:ascii="Times New Roman" w:hAnsi="Times New Roman" w:eastAsia="楷体" w:cs="Times New Roman"/>
                <w:kern w:val="0"/>
                <w:sz w:val="20"/>
                <w:szCs w:val="20"/>
                <w:lang w:val="en-US" w:eastAsia="zh-CN" w:bidi="ar-SA"/>
              </w:rPr>
            </w:pPr>
            <w:r>
              <w:rPr>
                <w:rFonts w:hint="eastAsia" w:eastAsia="楷体" w:cs="Times New Roman"/>
                <w:kern w:val="0"/>
                <w:sz w:val="20"/>
                <w:szCs w:val="20"/>
                <w:lang w:val="en-US" w:eastAsia="zh-CN"/>
              </w:rPr>
              <w:t>21.00</w:t>
            </w:r>
          </w:p>
        </w:tc>
        <w:tc>
          <w:tcPr>
            <w:tcW w:w="783" w:type="dxa"/>
            <w:noWrap w:val="0"/>
            <w:vAlign w:val="center"/>
          </w:tcPr>
          <w:p>
            <w:pPr>
              <w:spacing w:line="700" w:lineRule="exact"/>
              <w:jc w:val="center"/>
              <w:rPr>
                <w:rFonts w:hint="default" w:ascii="Times New Roman" w:hAnsi="Times New Roman" w:eastAsia="楷体" w:cs="Times New Roman"/>
                <w:kern w:val="0"/>
                <w:sz w:val="20"/>
                <w:szCs w:val="20"/>
                <w:lang w:val="en-US" w:eastAsia="zh-CN" w:bidi="ar-SA"/>
              </w:rPr>
            </w:pPr>
            <w:r>
              <w:rPr>
                <w:rFonts w:hint="eastAsia" w:eastAsia="楷体" w:cs="Times New Roman"/>
                <w:kern w:val="0"/>
                <w:sz w:val="20"/>
                <w:szCs w:val="20"/>
                <w:lang w:val="en-US" w:eastAsia="zh-CN"/>
              </w:rPr>
              <w:t>21.00</w:t>
            </w:r>
          </w:p>
        </w:tc>
        <w:tc>
          <w:tcPr>
            <w:tcW w:w="40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4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5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4" w:type="dxa"/>
            <w:noWrap w:val="0"/>
            <w:vAlign w:val="center"/>
          </w:tcPr>
          <w:p>
            <w:pPr>
              <w:spacing w:line="700" w:lineRule="exact"/>
              <w:jc w:val="center"/>
              <w:rPr>
                <w:rFonts w:hint="default" w:ascii="Times New Roman" w:hAnsi="Times New Roman" w:eastAsia="楷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780" w:type="dxa"/>
            <w:noWrap w:val="0"/>
            <w:vAlign w:val="center"/>
          </w:tcPr>
          <w:p>
            <w:pPr>
              <w:autoSpaceDN w:val="0"/>
              <w:jc w:val="center"/>
              <w:textAlignment w:val="center"/>
              <w:rPr>
                <w:rFonts w:hint="default" w:ascii="宋体" w:hAnsi="宋体" w:eastAsia="宋体" w:cs="宋体"/>
                <w:color w:val="000000"/>
                <w:sz w:val="20"/>
                <w:szCs w:val="22"/>
                <w:lang w:val="en-US" w:eastAsia="zh-CN"/>
              </w:rPr>
            </w:pPr>
          </w:p>
        </w:tc>
        <w:tc>
          <w:tcPr>
            <w:tcW w:w="920" w:type="dxa"/>
            <w:gridSpan w:val="2"/>
            <w:noWrap w:val="0"/>
            <w:vAlign w:val="center"/>
          </w:tcPr>
          <w:p>
            <w:pPr>
              <w:spacing w:line="700" w:lineRule="exact"/>
              <w:jc w:val="center"/>
              <w:rPr>
                <w:rFonts w:hint="eastAsia" w:ascii="宋体" w:hAnsi="宋体" w:eastAsia="宋体" w:cs="宋体"/>
                <w:kern w:val="0"/>
                <w:szCs w:val="32"/>
              </w:rPr>
            </w:pPr>
          </w:p>
        </w:tc>
        <w:tc>
          <w:tcPr>
            <w:tcW w:w="650" w:type="dxa"/>
            <w:noWrap w:val="0"/>
            <w:vAlign w:val="center"/>
          </w:tcPr>
          <w:p>
            <w:pPr>
              <w:spacing w:line="700" w:lineRule="exact"/>
              <w:jc w:val="center"/>
              <w:rPr>
                <w:rFonts w:hint="eastAsia" w:ascii="宋体" w:hAnsi="宋体" w:eastAsia="宋体" w:cs="宋体"/>
                <w:kern w:val="0"/>
                <w:szCs w:val="32"/>
              </w:rPr>
            </w:pPr>
          </w:p>
        </w:tc>
        <w:tc>
          <w:tcPr>
            <w:tcW w:w="933"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21.00</w:t>
            </w:r>
          </w:p>
        </w:tc>
        <w:tc>
          <w:tcPr>
            <w:tcW w:w="783"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21.00</w:t>
            </w:r>
          </w:p>
        </w:tc>
        <w:tc>
          <w:tcPr>
            <w:tcW w:w="40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4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67"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lang w:val="en-US" w:eastAsia="zh-CN"/>
              </w:rPr>
            </w:pPr>
          </w:p>
        </w:tc>
        <w:tc>
          <w:tcPr>
            <w:tcW w:w="550"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633"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84" w:type="dxa"/>
            <w:noWrap w:val="0"/>
            <w:vAlign w:val="center"/>
          </w:tcPr>
          <w:p>
            <w:pPr>
              <w:spacing w:line="700" w:lineRule="exact"/>
              <w:jc w:val="center"/>
              <w:rPr>
                <w:rFonts w:hint="default" w:ascii="Times New Roman" w:hAnsi="Times New Roman" w:eastAsia="楷体" w:cs="Times New Roman"/>
                <w:kern w:val="0"/>
                <w:sz w:val="20"/>
                <w:szCs w:val="20"/>
              </w:rPr>
            </w:pPr>
          </w:p>
        </w:tc>
        <w:tc>
          <w:tcPr>
            <w:tcW w:w="354" w:type="dxa"/>
            <w:noWrap w:val="0"/>
            <w:vAlign w:val="center"/>
          </w:tcPr>
          <w:p>
            <w:pPr>
              <w:spacing w:line="700" w:lineRule="exact"/>
              <w:jc w:val="center"/>
              <w:rPr>
                <w:rFonts w:hint="default" w:ascii="Times New Roman" w:hAnsi="Times New Roman" w:eastAsia="楷体" w:cs="Times New Roman"/>
                <w:kern w:val="0"/>
                <w:sz w:val="20"/>
                <w:szCs w:val="20"/>
              </w:rPr>
            </w:pPr>
          </w:p>
        </w:tc>
      </w:tr>
    </w:tbl>
    <w:p>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bl>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pPr>
        <w:ind w:firstLine="640" w:firstLineChars="200"/>
        <w:rPr>
          <w:rFonts w:hAnsi="楷体" w:eastAsia="楷体"/>
        </w:rPr>
      </w:pPr>
    </w:p>
    <w:tbl>
      <w:tblPr>
        <w:tblStyle w:val="10"/>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973"/>
        <w:gridCol w:w="1633"/>
        <w:gridCol w:w="717"/>
        <w:gridCol w:w="616"/>
        <w:gridCol w:w="800"/>
        <w:gridCol w:w="844"/>
        <w:gridCol w:w="1023"/>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299"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63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吉林省统计局辉南县农村社会经济调查队</w:t>
            </w:r>
          </w:p>
        </w:tc>
        <w:tc>
          <w:tcPr>
            <w:tcW w:w="1038"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全省地方点城乡居民住户调查及专项调查工作经费</w:t>
            </w:r>
          </w:p>
        </w:tc>
        <w:tc>
          <w:tcPr>
            <w:tcW w:w="973" w:type="dxa"/>
            <w:vMerge w:val="restart"/>
            <w:tcBorders>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21.00</w:t>
            </w:r>
          </w:p>
        </w:tc>
        <w:tc>
          <w:tcPr>
            <w:tcW w:w="1633"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依据国家统计局及吉林省统计局有关农村、城镇等住户抽样调查方案、制度，了解农村住户的生产、收入、消费、积累情况和社会活动情况，研究农民收入及其构成、消费水平和结构，对全县的地方社会经济进行调查、数据整理、分析各项报表。为各级党政领导研究农村社会经济问题，制定农村政策，指导农村工作，制定国民经济发展计划提供依据。</w:t>
            </w:r>
          </w:p>
        </w:tc>
        <w:tc>
          <w:tcPr>
            <w:tcW w:w="717" w:type="dxa"/>
            <w:vMerge w:val="restart"/>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616"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00"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调查户登记补贴发放人数</w:t>
            </w:r>
          </w:p>
        </w:tc>
        <w:tc>
          <w:tcPr>
            <w:tcW w:w="844"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反映发放调查户登记补贴的人数情况。</w:t>
            </w:r>
          </w:p>
        </w:tc>
        <w:tc>
          <w:tcPr>
            <w:tcW w:w="1023"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Arial" w:hAnsi="Arial" w:eastAsia="华文细黑" w:cs="Arial"/>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170人</w:t>
            </w:r>
          </w:p>
        </w:tc>
        <w:tc>
          <w:tcPr>
            <w:tcW w:w="617"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7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63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717" w:type="dxa"/>
            <w:vMerge w:val="continue"/>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16"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800"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调查户登记补贴发放准确率</w:t>
            </w:r>
          </w:p>
        </w:tc>
        <w:tc>
          <w:tcPr>
            <w:tcW w:w="844"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反映调查户登记补贴发放对象和数额准确的情况</w:t>
            </w:r>
          </w:p>
        </w:tc>
        <w:tc>
          <w:tcPr>
            <w:tcW w:w="1023"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=100%</w:t>
            </w:r>
          </w:p>
        </w:tc>
        <w:tc>
          <w:tcPr>
            <w:tcW w:w="617"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7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63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717" w:type="dxa"/>
            <w:vMerge w:val="continue"/>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16"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800"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发放补助费时间</w:t>
            </w:r>
          </w:p>
        </w:tc>
        <w:tc>
          <w:tcPr>
            <w:tcW w:w="844"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反映12月31日前发放记账户、辅助调查员补助费时间</w:t>
            </w:r>
          </w:p>
        </w:tc>
        <w:tc>
          <w:tcPr>
            <w:tcW w:w="1023"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12月31日前</w:t>
            </w:r>
          </w:p>
        </w:tc>
        <w:tc>
          <w:tcPr>
            <w:tcW w:w="617"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97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633"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效益指标</w:t>
            </w:r>
          </w:p>
        </w:tc>
        <w:tc>
          <w:tcPr>
            <w:tcW w:w="616" w:type="dxa"/>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800" w:type="dxa"/>
            <w:noWrap w:val="0"/>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调查户登记补贴发放覆盖率</w:t>
            </w:r>
          </w:p>
        </w:tc>
        <w:tc>
          <w:tcPr>
            <w:tcW w:w="844" w:type="dxa"/>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default" w:ascii="华文细黑" w:hAnsi="华文细黑" w:eastAsia="华文细黑" w:cs="华文细黑"/>
                <w:i w:val="0"/>
                <w:iCs w:val="0"/>
                <w:color w:val="000000"/>
                <w:kern w:val="0"/>
                <w:sz w:val="20"/>
                <w:szCs w:val="20"/>
                <w:u w:val="none"/>
                <w:lang w:val="en-US" w:eastAsia="zh-CN" w:bidi="ar"/>
              </w:rPr>
              <w:t>反映调查户登记补贴发放覆盖的情况</w:t>
            </w:r>
          </w:p>
        </w:tc>
        <w:tc>
          <w:tcPr>
            <w:tcW w:w="1023" w:type="dxa"/>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=100%</w:t>
            </w:r>
          </w:p>
        </w:tc>
        <w:tc>
          <w:tcPr>
            <w:tcW w:w="617" w:type="dxa"/>
            <w:noWrap w:val="0"/>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pPr>
        <w:spacing w:line="700" w:lineRule="exact"/>
        <w:rPr>
          <w:rFonts w:hint="eastAsia" w:eastAsia="楷体"/>
          <w:kern w:val="0"/>
          <w:szCs w:val="32"/>
        </w:rPr>
      </w:pPr>
      <w:r>
        <w:rPr>
          <w:rFonts w:hint="eastAsia" w:eastAsia="楷体"/>
          <w:kern w:val="0"/>
          <w:szCs w:val="32"/>
        </w:rPr>
        <w:br w:type="page"/>
      </w: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预算管理。收入包括：一般公共预算拨款收入、上年结转；支出包括：一般公共服务支出、社会保障和就业支出、</w:t>
      </w:r>
      <w:r>
        <w:rPr>
          <w:rFonts w:hint="eastAsia" w:ascii="仿宋_GB2312" w:hAnsi="仿宋_GB2312" w:eastAsia="仿宋_GB2312" w:cs="仿宋_GB2312"/>
          <w:color w:val="000000"/>
          <w:sz w:val="32"/>
          <w:szCs w:val="32"/>
        </w:rPr>
        <w:t>卫生健康支出</w:t>
      </w:r>
      <w:r>
        <w:rPr>
          <w:rFonts w:hint="eastAsia" w:ascii="仿宋_GB2312" w:hAnsi="仿宋_GB2312" w:eastAsia="仿宋_GB2312" w:cs="仿宋_GB2312"/>
          <w:color w:val="000000"/>
          <w:sz w:val="32"/>
          <w:szCs w:val="32"/>
          <w:lang w:eastAsia="zh-CN"/>
        </w:rPr>
        <w:t>、</w:t>
      </w:r>
      <w:r>
        <w:rPr>
          <w:szCs w:val="32"/>
        </w:rPr>
        <w:t>住房保障支出等。20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69.25</w:t>
      </w:r>
      <w:r>
        <w:rPr>
          <w:szCs w:val="32"/>
        </w:rPr>
        <w:t>万元</w:t>
      </w:r>
      <w:r>
        <w:rPr>
          <w:rFonts w:hint="eastAsia"/>
          <w:szCs w:val="32"/>
          <w:lang w:eastAsia="zh-CN"/>
        </w:rPr>
        <w:t>，其中：本年预算</w:t>
      </w:r>
      <w:r>
        <w:rPr>
          <w:rFonts w:hint="eastAsia"/>
          <w:szCs w:val="32"/>
          <w:lang w:val="en-US" w:eastAsia="zh-CN"/>
        </w:rPr>
        <w:t>69.08</w:t>
      </w:r>
      <w:r>
        <w:rPr>
          <w:rFonts w:hint="eastAsia"/>
          <w:szCs w:val="32"/>
          <w:lang w:eastAsia="zh-CN"/>
        </w:rPr>
        <w:t>万元；上年结转</w:t>
      </w:r>
      <w:r>
        <w:rPr>
          <w:rFonts w:hint="eastAsia"/>
          <w:szCs w:val="32"/>
          <w:lang w:val="en-US" w:eastAsia="zh-CN"/>
        </w:rPr>
        <w:t>0.17</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0.35</w:t>
      </w:r>
      <w:r>
        <w:rPr>
          <w:szCs w:val="32"/>
        </w:rPr>
        <w:t>万元，主要原因是</w:t>
      </w:r>
      <w:r>
        <w:rPr>
          <w:rFonts w:hint="eastAsia"/>
          <w:szCs w:val="32"/>
          <w:lang w:eastAsia="zh-CN"/>
        </w:rPr>
        <w:t>本年基本支出经费预算增加</w:t>
      </w:r>
      <w:r>
        <w:rPr>
          <w:szCs w:val="32"/>
        </w:rPr>
        <w:t>。</w:t>
      </w:r>
    </w:p>
    <w:p>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69.25</w:t>
      </w:r>
      <w:r>
        <w:rPr>
          <w:szCs w:val="32"/>
        </w:rPr>
        <w:t>万元，其中：本年收入</w:t>
      </w:r>
      <w:r>
        <w:rPr>
          <w:rFonts w:hint="eastAsia"/>
          <w:szCs w:val="32"/>
          <w:lang w:val="en-US" w:eastAsia="zh-CN"/>
        </w:rPr>
        <w:t>69.08</w:t>
      </w:r>
      <w:r>
        <w:rPr>
          <w:szCs w:val="32"/>
        </w:rPr>
        <w:t>万元，占</w:t>
      </w:r>
      <w:r>
        <w:rPr>
          <w:rFonts w:hint="eastAsia"/>
          <w:szCs w:val="32"/>
          <w:lang w:val="en-US" w:eastAsia="zh-CN"/>
        </w:rPr>
        <w:t>99.75</w:t>
      </w:r>
      <w:r>
        <w:rPr>
          <w:szCs w:val="32"/>
        </w:rPr>
        <w:t>%；上年结转</w:t>
      </w:r>
      <w:r>
        <w:rPr>
          <w:rFonts w:hint="eastAsia"/>
          <w:szCs w:val="32"/>
          <w:lang w:eastAsia="zh-CN"/>
        </w:rPr>
        <w:t>结余</w:t>
      </w:r>
      <w:r>
        <w:rPr>
          <w:rFonts w:hint="eastAsia"/>
          <w:szCs w:val="32"/>
          <w:lang w:val="en-US" w:eastAsia="zh-CN"/>
        </w:rPr>
        <w:t>0.17</w:t>
      </w:r>
      <w:r>
        <w:rPr>
          <w:szCs w:val="32"/>
        </w:rPr>
        <w:t>万元，占</w:t>
      </w:r>
      <w:r>
        <w:rPr>
          <w:rFonts w:hint="eastAsia"/>
          <w:szCs w:val="32"/>
          <w:lang w:val="en-US" w:eastAsia="zh-CN"/>
        </w:rPr>
        <w:t>0.25</w:t>
      </w:r>
      <w:r>
        <w:rPr>
          <w:szCs w:val="32"/>
        </w:rPr>
        <w:t>%。本年收入中，一般公共预算拨款收入</w:t>
      </w:r>
      <w:r>
        <w:rPr>
          <w:rFonts w:hint="eastAsia"/>
          <w:szCs w:val="32"/>
          <w:lang w:val="en-US" w:eastAsia="zh-CN"/>
        </w:rPr>
        <w:t>69.08</w:t>
      </w:r>
      <w:r>
        <w:rPr>
          <w:szCs w:val="32"/>
        </w:rPr>
        <w:t>万元，占</w:t>
      </w:r>
      <w:r>
        <w:rPr>
          <w:rFonts w:hint="eastAsia"/>
          <w:szCs w:val="32"/>
          <w:lang w:val="en-US" w:eastAsia="zh-CN"/>
        </w:rPr>
        <w:t>100</w:t>
      </w:r>
      <w:r>
        <w:rPr>
          <w:szCs w:val="32"/>
        </w:rPr>
        <w:t>%</w:t>
      </w:r>
      <w:r>
        <w:rPr>
          <w:rFonts w:hint="eastAsia"/>
          <w:szCs w:val="32"/>
          <w:lang w:eastAsia="zh-CN"/>
        </w:rPr>
        <w:t>。</w:t>
      </w:r>
      <w:r>
        <w:rPr>
          <w:szCs w:val="32"/>
        </w:rPr>
        <w:t>上年结转</w:t>
      </w:r>
      <w:r>
        <w:rPr>
          <w:rFonts w:hint="eastAsia"/>
          <w:szCs w:val="32"/>
        </w:rPr>
        <w:t>中，一般公共预算拨款结转</w:t>
      </w:r>
      <w:r>
        <w:rPr>
          <w:rFonts w:hint="eastAsia"/>
          <w:szCs w:val="32"/>
          <w:lang w:val="en-US" w:eastAsia="zh-CN"/>
        </w:rPr>
        <w:t>0.17</w:t>
      </w:r>
      <w:r>
        <w:rPr>
          <w:szCs w:val="32"/>
        </w:rPr>
        <w:t>万元，占</w:t>
      </w:r>
      <w:r>
        <w:rPr>
          <w:rFonts w:hint="eastAsia"/>
          <w:szCs w:val="32"/>
          <w:lang w:val="en-US" w:eastAsia="zh-CN"/>
        </w:rPr>
        <w:t>100</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69.25</w:t>
      </w:r>
      <w:r>
        <w:rPr>
          <w:szCs w:val="32"/>
        </w:rPr>
        <w:t>万元，其中：基本支出</w:t>
      </w:r>
      <w:r>
        <w:rPr>
          <w:rFonts w:hint="eastAsia"/>
          <w:szCs w:val="32"/>
          <w:lang w:val="en-US" w:eastAsia="zh-CN"/>
        </w:rPr>
        <w:t>48.25</w:t>
      </w:r>
      <w:r>
        <w:rPr>
          <w:szCs w:val="32"/>
        </w:rPr>
        <w:t>万元，占</w:t>
      </w:r>
      <w:r>
        <w:rPr>
          <w:rFonts w:hint="eastAsia"/>
          <w:szCs w:val="32"/>
          <w:lang w:val="en-US" w:eastAsia="zh-CN"/>
        </w:rPr>
        <w:t>69.68</w:t>
      </w:r>
      <w:r>
        <w:rPr>
          <w:szCs w:val="32"/>
        </w:rPr>
        <w:t>%；项目支出</w:t>
      </w:r>
      <w:r>
        <w:rPr>
          <w:rFonts w:hint="eastAsia"/>
          <w:szCs w:val="32"/>
          <w:lang w:val="en-US" w:eastAsia="zh-CN"/>
        </w:rPr>
        <w:t>21.00</w:t>
      </w:r>
      <w:r>
        <w:rPr>
          <w:szCs w:val="32"/>
        </w:rPr>
        <w:t>万元，占</w:t>
      </w:r>
      <w:r>
        <w:rPr>
          <w:rFonts w:hint="eastAsia"/>
          <w:szCs w:val="32"/>
          <w:lang w:val="en-US" w:eastAsia="zh-CN"/>
        </w:rPr>
        <w:t>30.32</w:t>
      </w:r>
      <w:r>
        <w:rPr>
          <w:szCs w:val="32"/>
        </w:rPr>
        <w:t>%。</w:t>
      </w:r>
    </w:p>
    <w:p>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69.25</w:t>
      </w:r>
      <w:r>
        <w:rPr>
          <w:szCs w:val="32"/>
        </w:rPr>
        <w:t>万元，其中：</w:t>
      </w:r>
      <w:r>
        <w:rPr>
          <w:rFonts w:hint="eastAsia"/>
          <w:szCs w:val="32"/>
        </w:rPr>
        <w:t>本年</w:t>
      </w:r>
      <w:r>
        <w:rPr>
          <w:rFonts w:hint="eastAsia"/>
          <w:szCs w:val="32"/>
          <w:lang w:eastAsia="zh-CN"/>
        </w:rPr>
        <w:t>预算</w:t>
      </w:r>
      <w:r>
        <w:rPr>
          <w:rFonts w:hint="eastAsia"/>
          <w:szCs w:val="32"/>
          <w:lang w:val="en-US" w:eastAsia="zh-CN"/>
        </w:rPr>
        <w:t>69.08</w:t>
      </w:r>
      <w:r>
        <w:rPr>
          <w:szCs w:val="32"/>
        </w:rPr>
        <w:t>万元</w:t>
      </w:r>
      <w:r>
        <w:rPr>
          <w:rFonts w:hint="eastAsia"/>
          <w:szCs w:val="32"/>
        </w:rPr>
        <w:t>，上年结转</w:t>
      </w:r>
      <w:r>
        <w:rPr>
          <w:rFonts w:hint="eastAsia"/>
          <w:szCs w:val="32"/>
          <w:lang w:val="en-US" w:eastAsia="zh-CN"/>
        </w:rPr>
        <w:t>0.17</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58.50</w:t>
      </w:r>
      <w:r>
        <w:rPr>
          <w:szCs w:val="32"/>
        </w:rPr>
        <w:t>万元，</w:t>
      </w:r>
      <w:r>
        <w:rPr>
          <w:kern w:val="0"/>
          <w:szCs w:val="32"/>
        </w:rPr>
        <w:t>社会保障和就业支出</w:t>
      </w:r>
      <w:r>
        <w:rPr>
          <w:rFonts w:hint="eastAsia"/>
          <w:szCs w:val="32"/>
          <w:lang w:val="en-US" w:eastAsia="zh-CN"/>
        </w:rPr>
        <w:t>5.84</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1.46</w:t>
      </w:r>
      <w:r>
        <w:rPr>
          <w:szCs w:val="32"/>
        </w:rPr>
        <w:t>万元，</w:t>
      </w:r>
      <w:r>
        <w:rPr>
          <w:kern w:val="0"/>
          <w:szCs w:val="32"/>
        </w:rPr>
        <w:t>住房保障支出</w:t>
      </w:r>
      <w:r>
        <w:rPr>
          <w:rFonts w:hint="eastAsia"/>
          <w:szCs w:val="32"/>
          <w:lang w:val="en-US" w:eastAsia="zh-CN"/>
        </w:rPr>
        <w:t>3.45</w:t>
      </w:r>
      <w:r>
        <w:rPr>
          <w:szCs w:val="32"/>
        </w:rPr>
        <w:t>万元。</w:t>
      </w:r>
    </w:p>
    <w:p>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69.25</w:t>
      </w:r>
      <w:r>
        <w:rPr>
          <w:szCs w:val="32"/>
        </w:rPr>
        <w:t>万元，其中：基本支出</w:t>
      </w:r>
      <w:r>
        <w:rPr>
          <w:rFonts w:hint="eastAsia"/>
          <w:szCs w:val="32"/>
          <w:lang w:val="en-US" w:eastAsia="zh-CN"/>
        </w:rPr>
        <w:t>48.25</w:t>
      </w:r>
      <w:r>
        <w:rPr>
          <w:szCs w:val="32"/>
        </w:rPr>
        <w:t>万元，占</w:t>
      </w:r>
      <w:r>
        <w:rPr>
          <w:rFonts w:hint="eastAsia"/>
          <w:szCs w:val="32"/>
          <w:lang w:val="en-US" w:eastAsia="zh-CN"/>
        </w:rPr>
        <w:t>69.68</w:t>
      </w:r>
      <w:r>
        <w:rPr>
          <w:szCs w:val="32"/>
        </w:rPr>
        <w:t>%；项目支出</w:t>
      </w:r>
      <w:r>
        <w:rPr>
          <w:rFonts w:hint="eastAsia"/>
          <w:szCs w:val="32"/>
          <w:lang w:val="en-US" w:eastAsia="zh-CN"/>
        </w:rPr>
        <w:t>21.00</w:t>
      </w:r>
      <w:r>
        <w:rPr>
          <w:szCs w:val="32"/>
        </w:rPr>
        <w:t>万元，占</w:t>
      </w:r>
      <w:r>
        <w:rPr>
          <w:rFonts w:hint="eastAsia"/>
          <w:szCs w:val="32"/>
          <w:lang w:val="en-US" w:eastAsia="zh-CN"/>
        </w:rPr>
        <w:t>30.32</w:t>
      </w:r>
      <w:r>
        <w:rPr>
          <w:szCs w:val="32"/>
        </w:rPr>
        <w:t>%。基本支出中，人员经费</w:t>
      </w:r>
      <w:r>
        <w:rPr>
          <w:rFonts w:hint="eastAsia"/>
          <w:szCs w:val="32"/>
          <w:lang w:val="en-US" w:eastAsia="zh-CN"/>
        </w:rPr>
        <w:t>40.91</w:t>
      </w:r>
      <w:r>
        <w:rPr>
          <w:szCs w:val="32"/>
        </w:rPr>
        <w:t>万元，占</w:t>
      </w:r>
      <w:r>
        <w:rPr>
          <w:rFonts w:hint="eastAsia"/>
          <w:szCs w:val="32"/>
          <w:lang w:val="en-US" w:eastAsia="zh-CN"/>
        </w:rPr>
        <w:t>84.79</w:t>
      </w:r>
      <w:r>
        <w:rPr>
          <w:szCs w:val="32"/>
        </w:rPr>
        <w:t>%；公用经费</w:t>
      </w:r>
      <w:r>
        <w:rPr>
          <w:rFonts w:hint="eastAsia"/>
          <w:szCs w:val="32"/>
          <w:lang w:val="en-US" w:eastAsia="zh-CN"/>
        </w:rPr>
        <w:t>7.34</w:t>
      </w:r>
      <w:r>
        <w:rPr>
          <w:szCs w:val="32"/>
        </w:rPr>
        <w:t>万元，占</w:t>
      </w:r>
      <w:r>
        <w:rPr>
          <w:rFonts w:hint="eastAsia"/>
          <w:szCs w:val="32"/>
          <w:lang w:val="en-US" w:eastAsia="zh-CN"/>
        </w:rPr>
        <w:t>15.21</w:t>
      </w:r>
      <w:r>
        <w:rPr>
          <w:szCs w:val="32"/>
        </w:rPr>
        <w:t>%。</w:t>
      </w:r>
    </w:p>
    <w:p>
      <w:pPr>
        <w:spacing w:line="520" w:lineRule="exact"/>
        <w:ind w:firstLine="640" w:firstLineChars="200"/>
        <w:rPr>
          <w:szCs w:val="32"/>
        </w:rPr>
      </w:pPr>
      <w:r>
        <w:rPr>
          <w:szCs w:val="32"/>
        </w:rPr>
        <w:t>一般公共服务（类）支出</w:t>
      </w:r>
      <w:r>
        <w:rPr>
          <w:rFonts w:hint="eastAsia"/>
          <w:szCs w:val="32"/>
          <w:lang w:val="en-US" w:eastAsia="zh-CN"/>
        </w:rPr>
        <w:t>58.50</w:t>
      </w:r>
      <w:r>
        <w:rPr>
          <w:szCs w:val="32"/>
        </w:rPr>
        <w:t>万元，占</w:t>
      </w:r>
      <w:r>
        <w:rPr>
          <w:rFonts w:hint="eastAsia"/>
          <w:szCs w:val="32"/>
          <w:lang w:val="en-US" w:eastAsia="zh-CN"/>
        </w:rPr>
        <w:t>84.48</w:t>
      </w:r>
      <w:r>
        <w:rPr>
          <w:szCs w:val="32"/>
        </w:rPr>
        <w:t>%，主要用于</w:t>
      </w:r>
      <w:r>
        <w:rPr>
          <w:rFonts w:hint="eastAsia" w:ascii="仿宋_GB2312" w:hAnsi="仿宋"/>
          <w:szCs w:val="32"/>
        </w:rPr>
        <w:t>保障职工工资，维持</w:t>
      </w:r>
      <w:r>
        <w:rPr>
          <w:rFonts w:hint="eastAsia" w:ascii="仿宋_GB2312" w:hAnsi="仿宋"/>
          <w:szCs w:val="32"/>
          <w:lang w:eastAsia="zh-CN"/>
        </w:rPr>
        <w:t>单位</w:t>
      </w:r>
      <w:r>
        <w:rPr>
          <w:rFonts w:hint="eastAsia" w:ascii="仿宋_GB2312" w:hAnsi="仿宋"/>
          <w:szCs w:val="32"/>
        </w:rPr>
        <w:t>正常运转，完成年度统计工作任务</w:t>
      </w:r>
      <w:r>
        <w:rPr>
          <w:szCs w:val="32"/>
        </w:rPr>
        <w:t>。</w:t>
      </w:r>
    </w:p>
    <w:p>
      <w:pPr>
        <w:spacing w:line="520" w:lineRule="exact"/>
        <w:ind w:firstLine="640" w:firstLineChars="200"/>
        <w:rPr>
          <w:szCs w:val="32"/>
        </w:rPr>
      </w:pPr>
      <w:r>
        <w:rPr>
          <w:szCs w:val="32"/>
        </w:rPr>
        <w:t>社会保障和就业（类）支出</w:t>
      </w:r>
      <w:r>
        <w:rPr>
          <w:rFonts w:hint="eastAsia"/>
          <w:szCs w:val="32"/>
          <w:lang w:val="en-US" w:eastAsia="zh-CN"/>
        </w:rPr>
        <w:t>5.84</w:t>
      </w:r>
      <w:r>
        <w:rPr>
          <w:szCs w:val="32"/>
        </w:rPr>
        <w:t>万元，占</w:t>
      </w:r>
      <w:r>
        <w:rPr>
          <w:rFonts w:hint="eastAsia"/>
          <w:szCs w:val="32"/>
          <w:lang w:val="en-US" w:eastAsia="zh-CN"/>
        </w:rPr>
        <w:t>8.43</w:t>
      </w:r>
      <w:r>
        <w:rPr>
          <w:szCs w:val="32"/>
        </w:rPr>
        <w:t>%，主要用于</w:t>
      </w:r>
      <w:r>
        <w:rPr>
          <w:rFonts w:hint="eastAsia"/>
          <w:szCs w:val="32"/>
          <w:lang w:eastAsia="zh-CN"/>
        </w:rPr>
        <w:t>机关事业单位基本养老保险缴费</w:t>
      </w:r>
      <w:r>
        <w:rPr>
          <w:szCs w:val="32"/>
        </w:rPr>
        <w:t>。</w:t>
      </w:r>
    </w:p>
    <w:p>
      <w:pPr>
        <w:spacing w:line="520" w:lineRule="exact"/>
        <w:ind w:firstLine="640" w:firstLineChars="200"/>
        <w:rPr>
          <w:szCs w:val="32"/>
        </w:rPr>
      </w:pPr>
      <w:r>
        <w:rPr>
          <w:rFonts w:hint="eastAsia"/>
          <w:szCs w:val="32"/>
          <w:lang w:eastAsia="zh-CN"/>
        </w:rPr>
        <w:t>卫生健康</w:t>
      </w:r>
      <w:r>
        <w:rPr>
          <w:szCs w:val="32"/>
        </w:rPr>
        <w:t>支出（类）支出</w:t>
      </w:r>
      <w:r>
        <w:rPr>
          <w:rFonts w:hint="eastAsia"/>
          <w:szCs w:val="32"/>
          <w:lang w:val="en-US" w:eastAsia="zh-CN"/>
        </w:rPr>
        <w:t>1.46</w:t>
      </w:r>
      <w:r>
        <w:rPr>
          <w:szCs w:val="32"/>
        </w:rPr>
        <w:t>万元，占</w:t>
      </w:r>
      <w:r>
        <w:rPr>
          <w:rFonts w:hint="eastAsia"/>
          <w:szCs w:val="32"/>
          <w:lang w:val="en-US" w:eastAsia="zh-CN"/>
        </w:rPr>
        <w:t>2.11</w:t>
      </w:r>
      <w:r>
        <w:rPr>
          <w:szCs w:val="32"/>
        </w:rPr>
        <w:t>%，主要用于</w:t>
      </w:r>
      <w:r>
        <w:rPr>
          <w:rFonts w:hint="eastAsia"/>
          <w:szCs w:val="32"/>
          <w:lang w:eastAsia="zh-CN"/>
        </w:rPr>
        <w:t>行政单位医疗缴费</w:t>
      </w:r>
      <w:r>
        <w:rPr>
          <w:szCs w:val="32"/>
        </w:rPr>
        <w:t>。</w:t>
      </w:r>
    </w:p>
    <w:p>
      <w:pPr>
        <w:spacing w:line="520" w:lineRule="exact"/>
        <w:ind w:firstLine="640" w:firstLineChars="200"/>
        <w:rPr>
          <w:szCs w:val="32"/>
        </w:rPr>
      </w:pPr>
      <w:r>
        <w:rPr>
          <w:szCs w:val="32"/>
        </w:rPr>
        <w:t>住房保障（类）支出</w:t>
      </w:r>
      <w:r>
        <w:rPr>
          <w:rFonts w:hint="eastAsia"/>
          <w:szCs w:val="32"/>
          <w:lang w:val="en-US" w:eastAsia="zh-CN"/>
        </w:rPr>
        <w:t>3.45</w:t>
      </w:r>
      <w:r>
        <w:rPr>
          <w:szCs w:val="32"/>
        </w:rPr>
        <w:t>万元，占</w:t>
      </w:r>
      <w:r>
        <w:rPr>
          <w:rFonts w:hint="eastAsia"/>
          <w:szCs w:val="32"/>
          <w:lang w:val="en-US" w:eastAsia="zh-CN"/>
        </w:rPr>
        <w:t>4.98</w:t>
      </w:r>
      <w:r>
        <w:rPr>
          <w:szCs w:val="32"/>
        </w:rPr>
        <w:t>%，主要用于</w:t>
      </w:r>
      <w:r>
        <w:rPr>
          <w:rFonts w:hint="eastAsia"/>
          <w:szCs w:val="32"/>
          <w:lang w:eastAsia="zh-CN"/>
        </w:rPr>
        <w:t>住房公积金缴费</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48.25</w:t>
      </w:r>
      <w:r>
        <w:rPr>
          <w:szCs w:val="32"/>
        </w:rPr>
        <w:t>万元，其中：</w:t>
      </w:r>
    </w:p>
    <w:p>
      <w:pPr>
        <w:ind w:firstLine="640" w:firstLineChars="200"/>
        <w:rPr>
          <w:kern w:val="0"/>
          <w:szCs w:val="32"/>
        </w:rPr>
      </w:pPr>
      <w:r>
        <w:rPr>
          <w:szCs w:val="32"/>
        </w:rPr>
        <w:t>人员经费</w:t>
      </w:r>
      <w:r>
        <w:rPr>
          <w:rFonts w:hint="eastAsia"/>
          <w:szCs w:val="32"/>
          <w:lang w:val="en-US" w:eastAsia="zh-CN"/>
        </w:rPr>
        <w:t>40.91</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w:t>
      </w:r>
      <w:r>
        <w:rPr>
          <w:szCs w:val="32"/>
        </w:rPr>
        <w:t>、</w:t>
      </w:r>
      <w:r>
        <w:rPr>
          <w:rFonts w:hint="eastAsia"/>
          <w:szCs w:val="32"/>
          <w:lang w:eastAsia="zh-CN"/>
        </w:rPr>
        <w:t>职工基本医疗保险缴费、其他社会保障缴费、</w:t>
      </w:r>
      <w:r>
        <w:rPr>
          <w:kern w:val="0"/>
          <w:szCs w:val="32"/>
        </w:rPr>
        <w:t>住房公积金</w:t>
      </w:r>
      <w:r>
        <w:rPr>
          <w:szCs w:val="32"/>
        </w:rPr>
        <w:t>、</w:t>
      </w:r>
      <w:r>
        <w:rPr>
          <w:rFonts w:hint="eastAsia"/>
          <w:szCs w:val="32"/>
          <w:lang w:eastAsia="zh-CN"/>
        </w:rPr>
        <w:t>医疗费、</w:t>
      </w:r>
      <w:r>
        <w:rPr>
          <w:kern w:val="0"/>
          <w:szCs w:val="32"/>
        </w:rPr>
        <w:t>其他工资福利支出</w:t>
      </w:r>
      <w:r>
        <w:rPr>
          <w:szCs w:val="32"/>
        </w:rPr>
        <w:t>、</w:t>
      </w:r>
      <w:r>
        <w:rPr>
          <w:kern w:val="0"/>
          <w:szCs w:val="32"/>
        </w:rPr>
        <w:t>退休费</w:t>
      </w:r>
      <w:r>
        <w:rPr>
          <w:szCs w:val="32"/>
        </w:rPr>
        <w:t>、</w:t>
      </w:r>
      <w:r>
        <w:rPr>
          <w:kern w:val="0"/>
          <w:szCs w:val="32"/>
        </w:rPr>
        <w:t>其他对个人和家庭的补助支出。</w:t>
      </w:r>
    </w:p>
    <w:p>
      <w:pPr>
        <w:ind w:firstLine="640" w:firstLineChars="200"/>
        <w:rPr>
          <w:szCs w:val="32"/>
        </w:rPr>
      </w:pPr>
      <w:r>
        <w:rPr>
          <w:kern w:val="0"/>
          <w:szCs w:val="32"/>
        </w:rPr>
        <w:t>公用经费</w:t>
      </w:r>
      <w:r>
        <w:rPr>
          <w:rFonts w:hint="eastAsia"/>
          <w:szCs w:val="32"/>
          <w:lang w:val="en-US" w:eastAsia="zh-CN"/>
        </w:rPr>
        <w:t>7.34</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0.08</w:t>
      </w:r>
      <w:r>
        <w:rPr>
          <w:szCs w:val="32"/>
        </w:rPr>
        <w:t>万元。其中：</w:t>
      </w:r>
    </w:p>
    <w:p>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w:t>
      </w:r>
      <w:r>
        <w:rPr>
          <w:rFonts w:hint="eastAsia"/>
          <w:szCs w:val="32"/>
          <w:lang w:eastAsia="zh-CN"/>
        </w:rPr>
        <w:t>持平。</w:t>
      </w:r>
    </w:p>
    <w:p>
      <w:pPr>
        <w:ind w:firstLine="640" w:firstLineChars="200"/>
        <w:rPr>
          <w:rFonts w:hint="eastAsia" w:eastAsia="仿宋_GB2312"/>
          <w:szCs w:val="32"/>
          <w:lang w:eastAsia="zh-CN"/>
        </w:rPr>
      </w:pPr>
      <w:r>
        <w:rPr>
          <w:szCs w:val="32"/>
        </w:rPr>
        <w:t>2.公务接待费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0.08</w:t>
      </w:r>
      <w:r>
        <w:rPr>
          <w:szCs w:val="32"/>
        </w:rPr>
        <w:t>万元，主要原因是</w:t>
      </w:r>
      <w:r>
        <w:rPr>
          <w:rFonts w:hint="eastAsia"/>
          <w:szCs w:val="32"/>
          <w:lang w:eastAsia="zh-CN"/>
        </w:rPr>
        <w:t>认真贯彻落实中央八项规定精神和省财政厅“过紧日子”有关要求，厉行节约，压减公务接待费预算。</w:t>
      </w:r>
    </w:p>
    <w:p>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w:t>
      </w:r>
      <w:r>
        <w:rPr>
          <w:rFonts w:hint="eastAsia"/>
          <w:szCs w:val="32"/>
          <w:lang w:eastAsia="zh-CN"/>
        </w:rPr>
        <w:t>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w:t>
      </w:r>
      <w:r>
        <w:rPr>
          <w:rFonts w:hint="eastAsia"/>
          <w:szCs w:val="32"/>
          <w:lang w:eastAsia="zh-CN"/>
        </w:rPr>
        <w:t>持平；</w:t>
      </w:r>
      <w:r>
        <w:rPr>
          <w:szCs w:val="32"/>
        </w:rPr>
        <w:t>公务用车购置费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w:t>
      </w:r>
      <w:r>
        <w:rPr>
          <w:rFonts w:hint="eastAsia"/>
          <w:szCs w:val="32"/>
          <w:lang w:eastAsia="zh-CN"/>
        </w:rPr>
        <w:t>持平</w:t>
      </w:r>
      <w:r>
        <w:rPr>
          <w:szCs w:val="32"/>
        </w:rPr>
        <w:t>。</w:t>
      </w:r>
      <w:r>
        <w:rPr>
          <w:rFonts w:hint="eastAsia"/>
          <w:szCs w:val="32"/>
          <w:lang w:val="en-US" w:eastAsia="zh-CN"/>
        </w:rPr>
        <w:t xml:space="preserve">         </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pPr>
        <w:ind w:firstLine="640"/>
        <w:rPr>
          <w:rFonts w:eastAsia="楷体"/>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无政府性基金预算拨款</w:t>
      </w:r>
      <w:r>
        <w:rPr>
          <w:rFonts w:hint="eastAsia" w:ascii="仿宋_GB2312" w:hAnsi="仿宋_GB2312" w:eastAsia="仿宋_GB2312" w:cs="仿宋_GB2312"/>
          <w:szCs w:val="32"/>
          <w:lang w:eastAsia="zh-CN"/>
        </w:rPr>
        <w:t>。</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pPr>
        <w:ind w:firstLine="640"/>
        <w:rPr>
          <w:rFonts w:hint="eastAsia" w:ascii="仿宋_GB2312" w:hAnsi="仿宋_GB2312" w:cs="仿宋_GB2312"/>
          <w:szCs w:val="32"/>
          <w:lang w:eastAsia="zh-CN"/>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无国有资本经营预算拨款</w:t>
      </w:r>
      <w:r>
        <w:rPr>
          <w:rFonts w:hint="eastAsia" w:ascii="仿宋_GB2312" w:hAnsi="仿宋_GB2312" w:cs="仿宋_GB2312"/>
          <w:szCs w:val="32"/>
          <w:lang w:eastAsia="zh-CN"/>
        </w:rPr>
        <w:t>。</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ascii="仿宋_GB2312" w:hAnsi="仿宋_GB2312" w:eastAsia="仿宋_GB2312" w:cs="仿宋_GB2312"/>
          <w:szCs w:val="32"/>
          <w:lang w:eastAsia="zh-CN"/>
        </w:rPr>
        <w:t>吉林省统计局辉南县农村社会经济调查队</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家</w:t>
      </w:r>
      <w:r>
        <w:rPr>
          <w:rFonts w:hint="eastAsia" w:ascii="仿宋_GB2312" w:hAnsi="仿宋_GB2312" w:eastAsia="仿宋_GB2312" w:cs="仿宋_GB2312"/>
          <w:szCs w:val="32"/>
          <w:lang w:eastAsia="zh-CN"/>
        </w:rPr>
        <w:t>参照公务员法管理事业</w:t>
      </w:r>
      <w:r>
        <w:rPr>
          <w:rFonts w:hint="eastAsia" w:ascii="仿宋_GB2312" w:hAnsi="仿宋_GB2312" w:eastAsia="仿宋_GB2312" w:cs="仿宋_GB2312"/>
          <w:szCs w:val="32"/>
        </w:rPr>
        <w:t>单位的机关运行经费财政拨款预算</w:t>
      </w:r>
      <w:r>
        <w:rPr>
          <w:rFonts w:hint="eastAsia" w:ascii="仿宋_GB2312" w:hAnsi="仿宋_GB2312" w:cs="仿宋_GB2312"/>
          <w:szCs w:val="32"/>
          <w:lang w:val="en-US" w:eastAsia="zh-CN"/>
        </w:rPr>
        <w:t>7.34</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0.57</w:t>
      </w:r>
      <w:r>
        <w:rPr>
          <w:szCs w:val="32"/>
        </w:rPr>
        <w:t>万元，下降</w:t>
      </w:r>
      <w:r>
        <w:rPr>
          <w:rFonts w:hint="eastAsia"/>
          <w:szCs w:val="32"/>
          <w:lang w:val="en-US" w:eastAsia="zh-CN"/>
        </w:rPr>
        <w:t>7.21</w:t>
      </w:r>
      <w:r>
        <w:rPr>
          <w:szCs w:val="32"/>
        </w:rPr>
        <w:t>%</w:t>
      </w:r>
      <w:r>
        <w:rPr>
          <w:rFonts w:hint="eastAsia"/>
          <w:szCs w:val="32"/>
        </w:rPr>
        <w:t>，主要原因是</w:t>
      </w:r>
      <w:r>
        <w:rPr>
          <w:rFonts w:hint="eastAsia"/>
          <w:szCs w:val="32"/>
          <w:lang w:eastAsia="zh-CN"/>
        </w:rPr>
        <w:t>压减机关运行经费预算</w:t>
      </w:r>
      <w:r>
        <w:rPr>
          <w:szCs w:val="32"/>
        </w:rPr>
        <w:t>。</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无</w:t>
      </w:r>
      <w:r>
        <w:rPr>
          <w:rFonts w:hint="eastAsia" w:ascii="仿宋_GB2312" w:hAnsi="仿宋_GB2312" w:eastAsia="仿宋_GB2312" w:cs="仿宋_GB2312"/>
          <w:szCs w:val="32"/>
          <w:lang w:eastAsia="zh-CN"/>
        </w:rPr>
        <w:t>政府采购。</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rFonts w:hint="eastAsia"/>
          <w:szCs w:val="32"/>
        </w:rPr>
      </w:pPr>
      <w:r>
        <w:rPr>
          <w:rFonts w:hint="eastAsia"/>
          <w:szCs w:val="32"/>
        </w:rPr>
        <w:t>截至202</w:t>
      </w:r>
      <w:r>
        <w:rPr>
          <w:rFonts w:hint="eastAsia"/>
          <w:szCs w:val="32"/>
          <w:lang w:val="en-US" w:eastAsia="zh-CN"/>
        </w:rPr>
        <w:t>3</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pPr>
        <w:spacing w:line="540" w:lineRule="exact"/>
        <w:ind w:firstLine="640" w:firstLineChars="200"/>
        <w:rPr>
          <w:szCs w:val="32"/>
        </w:rPr>
      </w:pPr>
      <w:r>
        <w:rPr>
          <w:rFonts w:hint="eastAsia"/>
          <w:szCs w:val="32"/>
        </w:rPr>
        <w:t>202</w:t>
      </w:r>
      <w:r>
        <w:rPr>
          <w:rFonts w:hint="eastAsia"/>
          <w:szCs w:val="32"/>
          <w:lang w:val="en-US" w:eastAsia="zh-CN"/>
        </w:rPr>
        <w:t>4</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pPr>
      <w:r>
        <w:t>202</w:t>
      </w:r>
      <w:r>
        <w:rPr>
          <w:rFonts w:hint="eastAsia"/>
          <w:lang w:val="en-US" w:eastAsia="zh-CN"/>
        </w:rPr>
        <w:t>4</w:t>
      </w:r>
      <w:r>
        <w:t>年</w:t>
      </w:r>
      <w:r>
        <w:rPr>
          <w:rFonts w:hint="eastAsia"/>
          <w:lang w:eastAsia="zh-CN"/>
        </w:rPr>
        <w:t>单位</w:t>
      </w:r>
      <w:r>
        <w:t>项目支出</w:t>
      </w:r>
      <w:r>
        <w:rPr>
          <w:rFonts w:hint="eastAsia"/>
          <w:szCs w:val="32"/>
          <w:lang w:val="en-US" w:eastAsia="zh-CN"/>
        </w:rPr>
        <w:t>21.00</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21.00</w:t>
      </w:r>
      <w:r>
        <w:rPr>
          <w:szCs w:val="32"/>
        </w:rPr>
        <w:t>万元。</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ascii="宋体" w:hAnsi="宋体"/>
          <w:lang w:val="en-US" w:eastAsia="zh-CN"/>
        </w:rPr>
        <w:t>1</w:t>
      </w:r>
      <w:r>
        <w:rPr>
          <w:rFonts w:hint="eastAsia" w:ascii="宋体" w:hAnsi="宋体"/>
        </w:rPr>
        <w:t>个项目支出的绩效目标和指标向社会公开，涉及金额</w:t>
      </w:r>
      <w:r>
        <w:rPr>
          <w:rFonts w:hint="eastAsia"/>
          <w:szCs w:val="32"/>
          <w:lang w:val="en-US" w:eastAsia="zh-CN"/>
        </w:rPr>
        <w:t>21.00</w:t>
      </w:r>
      <w:r>
        <w:rPr>
          <w:rFonts w:hint="eastAsia" w:ascii="宋体" w:hAnsi="宋体"/>
        </w:rPr>
        <w:t>万元。</w:t>
      </w:r>
    </w:p>
    <w:p>
      <w:pPr>
        <w:ind w:firstLine="645"/>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ind w:firstLine="640" w:firstLineChars="200"/>
        <w:rPr>
          <w:szCs w:val="32"/>
        </w:rPr>
      </w:pPr>
    </w:p>
    <w:p>
      <w:pPr>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MjVjZWQyMjUwOWRhMDllMWNmZjFmNzEzOWQ3ZmUifQ=="/>
    <w:docVar w:name="KSO_WPS_MARK_KEY" w:val="e1634a0f-4446-4a85-bb94-ab419128b0d6"/>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486486A"/>
    <w:rsid w:val="04954460"/>
    <w:rsid w:val="04B818D1"/>
    <w:rsid w:val="050D06DA"/>
    <w:rsid w:val="05310B72"/>
    <w:rsid w:val="05513E94"/>
    <w:rsid w:val="056F5A6D"/>
    <w:rsid w:val="059B3770"/>
    <w:rsid w:val="05A951BF"/>
    <w:rsid w:val="05F5112A"/>
    <w:rsid w:val="05FA4971"/>
    <w:rsid w:val="061D5927"/>
    <w:rsid w:val="063949A0"/>
    <w:rsid w:val="06A01F07"/>
    <w:rsid w:val="06BD5BC7"/>
    <w:rsid w:val="06F008FF"/>
    <w:rsid w:val="079E5032"/>
    <w:rsid w:val="09015F14"/>
    <w:rsid w:val="091C5C63"/>
    <w:rsid w:val="09421190"/>
    <w:rsid w:val="096244EC"/>
    <w:rsid w:val="09A0082A"/>
    <w:rsid w:val="0A00435B"/>
    <w:rsid w:val="0AAA1697"/>
    <w:rsid w:val="0ABA06FE"/>
    <w:rsid w:val="0B49202F"/>
    <w:rsid w:val="0B5F5ADA"/>
    <w:rsid w:val="0C2A5C84"/>
    <w:rsid w:val="0C4F64D9"/>
    <w:rsid w:val="0C583939"/>
    <w:rsid w:val="0C6D1BAE"/>
    <w:rsid w:val="0D2A2435"/>
    <w:rsid w:val="0DA001B0"/>
    <w:rsid w:val="0DEB170B"/>
    <w:rsid w:val="0E4C7841"/>
    <w:rsid w:val="0E97506F"/>
    <w:rsid w:val="0EFC0AA1"/>
    <w:rsid w:val="0F2C7FC2"/>
    <w:rsid w:val="0F3E0406"/>
    <w:rsid w:val="0F980230"/>
    <w:rsid w:val="0FB1033A"/>
    <w:rsid w:val="0FD62F63"/>
    <w:rsid w:val="0FDE2A27"/>
    <w:rsid w:val="105E2918"/>
    <w:rsid w:val="10AE7F82"/>
    <w:rsid w:val="10C93B35"/>
    <w:rsid w:val="11177619"/>
    <w:rsid w:val="112605C8"/>
    <w:rsid w:val="113B63DC"/>
    <w:rsid w:val="119B0566"/>
    <w:rsid w:val="11A6707B"/>
    <w:rsid w:val="11B35B2F"/>
    <w:rsid w:val="12E711B7"/>
    <w:rsid w:val="136D62BD"/>
    <w:rsid w:val="136E4388"/>
    <w:rsid w:val="13F21722"/>
    <w:rsid w:val="1441443C"/>
    <w:rsid w:val="14770A82"/>
    <w:rsid w:val="14A56839"/>
    <w:rsid w:val="14C12787"/>
    <w:rsid w:val="14DC1A93"/>
    <w:rsid w:val="150A5F97"/>
    <w:rsid w:val="153100E0"/>
    <w:rsid w:val="15593E10"/>
    <w:rsid w:val="159F7E25"/>
    <w:rsid w:val="15F848D0"/>
    <w:rsid w:val="160E1FA5"/>
    <w:rsid w:val="160F2600"/>
    <w:rsid w:val="16C829AB"/>
    <w:rsid w:val="16DD34F5"/>
    <w:rsid w:val="16FA09A5"/>
    <w:rsid w:val="173104C2"/>
    <w:rsid w:val="17765BCA"/>
    <w:rsid w:val="17A027D8"/>
    <w:rsid w:val="17CC2625"/>
    <w:rsid w:val="17E44EC6"/>
    <w:rsid w:val="186D1CFF"/>
    <w:rsid w:val="19132BE0"/>
    <w:rsid w:val="191F4716"/>
    <w:rsid w:val="193E794C"/>
    <w:rsid w:val="1954649C"/>
    <w:rsid w:val="1A1A5B91"/>
    <w:rsid w:val="1A817DF8"/>
    <w:rsid w:val="1A8A6135"/>
    <w:rsid w:val="1ADC594E"/>
    <w:rsid w:val="1AEB5252"/>
    <w:rsid w:val="1B136CE7"/>
    <w:rsid w:val="1B8A03E4"/>
    <w:rsid w:val="1B9C1459"/>
    <w:rsid w:val="1C852172"/>
    <w:rsid w:val="1CA40C0C"/>
    <w:rsid w:val="1CFF4A32"/>
    <w:rsid w:val="1D833200"/>
    <w:rsid w:val="1E3A3FD0"/>
    <w:rsid w:val="1EB55C07"/>
    <w:rsid w:val="1F351A10"/>
    <w:rsid w:val="1F857EA5"/>
    <w:rsid w:val="1FED47E9"/>
    <w:rsid w:val="206816AC"/>
    <w:rsid w:val="21134335"/>
    <w:rsid w:val="211663DC"/>
    <w:rsid w:val="21D30729"/>
    <w:rsid w:val="226E581D"/>
    <w:rsid w:val="22814BC5"/>
    <w:rsid w:val="22A4003E"/>
    <w:rsid w:val="23135C25"/>
    <w:rsid w:val="23962576"/>
    <w:rsid w:val="23EC61F6"/>
    <w:rsid w:val="244C543C"/>
    <w:rsid w:val="24624768"/>
    <w:rsid w:val="246758CC"/>
    <w:rsid w:val="24830F63"/>
    <w:rsid w:val="2513335E"/>
    <w:rsid w:val="259B5BC5"/>
    <w:rsid w:val="25F62C4E"/>
    <w:rsid w:val="26643D6C"/>
    <w:rsid w:val="267850D7"/>
    <w:rsid w:val="26FE109D"/>
    <w:rsid w:val="27073E1E"/>
    <w:rsid w:val="27B04AB3"/>
    <w:rsid w:val="282C3BA1"/>
    <w:rsid w:val="28A63332"/>
    <w:rsid w:val="28C96E8E"/>
    <w:rsid w:val="29C45F24"/>
    <w:rsid w:val="2D056387"/>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1A532AF"/>
    <w:rsid w:val="31FF3857"/>
    <w:rsid w:val="32332703"/>
    <w:rsid w:val="32CF2C5D"/>
    <w:rsid w:val="32EE2C61"/>
    <w:rsid w:val="335402B5"/>
    <w:rsid w:val="339466B2"/>
    <w:rsid w:val="33CA3782"/>
    <w:rsid w:val="33F0696D"/>
    <w:rsid w:val="34555AF5"/>
    <w:rsid w:val="34B26A18"/>
    <w:rsid w:val="34FF687B"/>
    <w:rsid w:val="354C4987"/>
    <w:rsid w:val="35616772"/>
    <w:rsid w:val="35EA1663"/>
    <w:rsid w:val="364C598E"/>
    <w:rsid w:val="367C4675"/>
    <w:rsid w:val="368A3622"/>
    <w:rsid w:val="36B543E5"/>
    <w:rsid w:val="36CC2B0F"/>
    <w:rsid w:val="36FC762F"/>
    <w:rsid w:val="3838492F"/>
    <w:rsid w:val="383A009B"/>
    <w:rsid w:val="3887374F"/>
    <w:rsid w:val="38CB0ABC"/>
    <w:rsid w:val="39041A07"/>
    <w:rsid w:val="39043B77"/>
    <w:rsid w:val="39601918"/>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E8108D"/>
    <w:rsid w:val="3F8201A3"/>
    <w:rsid w:val="402675EA"/>
    <w:rsid w:val="40B80EFF"/>
    <w:rsid w:val="41A35364"/>
    <w:rsid w:val="41C31686"/>
    <w:rsid w:val="41C837BC"/>
    <w:rsid w:val="421643AC"/>
    <w:rsid w:val="42982B4E"/>
    <w:rsid w:val="429F5D0C"/>
    <w:rsid w:val="42D83665"/>
    <w:rsid w:val="434A6B47"/>
    <w:rsid w:val="436B1E42"/>
    <w:rsid w:val="456D114B"/>
    <w:rsid w:val="45941E41"/>
    <w:rsid w:val="45EB670F"/>
    <w:rsid w:val="46AB7C0D"/>
    <w:rsid w:val="46D44808"/>
    <w:rsid w:val="46ED776B"/>
    <w:rsid w:val="477C0C7C"/>
    <w:rsid w:val="479D2523"/>
    <w:rsid w:val="47CF49E6"/>
    <w:rsid w:val="48674ED2"/>
    <w:rsid w:val="487708E6"/>
    <w:rsid w:val="48B540F2"/>
    <w:rsid w:val="493F6F72"/>
    <w:rsid w:val="49645F71"/>
    <w:rsid w:val="49843F7B"/>
    <w:rsid w:val="499F5C68"/>
    <w:rsid w:val="49A04DA3"/>
    <w:rsid w:val="49B20AE8"/>
    <w:rsid w:val="4A52465C"/>
    <w:rsid w:val="4A5C4AC6"/>
    <w:rsid w:val="4A662FBF"/>
    <w:rsid w:val="4AF16062"/>
    <w:rsid w:val="4B0A57E5"/>
    <w:rsid w:val="4B646DDD"/>
    <w:rsid w:val="4B7F44F8"/>
    <w:rsid w:val="4BAC24C5"/>
    <w:rsid w:val="4BFA0656"/>
    <w:rsid w:val="4C81261C"/>
    <w:rsid w:val="4C913C33"/>
    <w:rsid w:val="4D3439E8"/>
    <w:rsid w:val="4D4E2809"/>
    <w:rsid w:val="4D730507"/>
    <w:rsid w:val="4D741DD3"/>
    <w:rsid w:val="4DC93207"/>
    <w:rsid w:val="4E010C4C"/>
    <w:rsid w:val="4E214B2B"/>
    <w:rsid w:val="4E8D5761"/>
    <w:rsid w:val="4EF54A85"/>
    <w:rsid w:val="4EF972C6"/>
    <w:rsid w:val="501B3C66"/>
    <w:rsid w:val="504B40C5"/>
    <w:rsid w:val="50561A69"/>
    <w:rsid w:val="50987DC2"/>
    <w:rsid w:val="50A4703E"/>
    <w:rsid w:val="50D92DFE"/>
    <w:rsid w:val="51282B99"/>
    <w:rsid w:val="5136104F"/>
    <w:rsid w:val="51465EDE"/>
    <w:rsid w:val="5151745B"/>
    <w:rsid w:val="51FC7F35"/>
    <w:rsid w:val="52071113"/>
    <w:rsid w:val="52085509"/>
    <w:rsid w:val="522774C4"/>
    <w:rsid w:val="522A7431"/>
    <w:rsid w:val="525A440D"/>
    <w:rsid w:val="52626449"/>
    <w:rsid w:val="544E511A"/>
    <w:rsid w:val="54741940"/>
    <w:rsid w:val="54810E66"/>
    <w:rsid w:val="54A3044D"/>
    <w:rsid w:val="54C063E4"/>
    <w:rsid w:val="54C2556E"/>
    <w:rsid w:val="55480EEF"/>
    <w:rsid w:val="554A6079"/>
    <w:rsid w:val="569B7F91"/>
    <w:rsid w:val="56D21BED"/>
    <w:rsid w:val="572651B2"/>
    <w:rsid w:val="57AE5C26"/>
    <w:rsid w:val="57DD75A9"/>
    <w:rsid w:val="5801059F"/>
    <w:rsid w:val="58256ABD"/>
    <w:rsid w:val="58B709F7"/>
    <w:rsid w:val="58C27FDB"/>
    <w:rsid w:val="59123351"/>
    <w:rsid w:val="59472AC7"/>
    <w:rsid w:val="59B32E8D"/>
    <w:rsid w:val="59D514A6"/>
    <w:rsid w:val="59EC6E09"/>
    <w:rsid w:val="5AA84B33"/>
    <w:rsid w:val="5AB343F7"/>
    <w:rsid w:val="5ABF50F2"/>
    <w:rsid w:val="5AF25D13"/>
    <w:rsid w:val="5AF76904"/>
    <w:rsid w:val="5B052E7A"/>
    <w:rsid w:val="5B3D7F7E"/>
    <w:rsid w:val="5B7C7777"/>
    <w:rsid w:val="5BEC6771"/>
    <w:rsid w:val="5C3962C0"/>
    <w:rsid w:val="5CA506B9"/>
    <w:rsid w:val="5CF74CE4"/>
    <w:rsid w:val="5D5A7C63"/>
    <w:rsid w:val="5E256F6F"/>
    <w:rsid w:val="5F6235A9"/>
    <w:rsid w:val="5FCA437E"/>
    <w:rsid w:val="5FFE462F"/>
    <w:rsid w:val="60DC439E"/>
    <w:rsid w:val="614125C2"/>
    <w:rsid w:val="61AA1D1F"/>
    <w:rsid w:val="624C5C52"/>
    <w:rsid w:val="62D677C3"/>
    <w:rsid w:val="63DF08E4"/>
    <w:rsid w:val="64C04AFD"/>
    <w:rsid w:val="655B219F"/>
    <w:rsid w:val="658A7250"/>
    <w:rsid w:val="661A7B69"/>
    <w:rsid w:val="663A7DB3"/>
    <w:rsid w:val="66455323"/>
    <w:rsid w:val="664909C1"/>
    <w:rsid w:val="66635AE4"/>
    <w:rsid w:val="66C63EB5"/>
    <w:rsid w:val="66D2243C"/>
    <w:rsid w:val="67592674"/>
    <w:rsid w:val="679461D3"/>
    <w:rsid w:val="67C20AF9"/>
    <w:rsid w:val="6858287E"/>
    <w:rsid w:val="68593A1E"/>
    <w:rsid w:val="68C04D52"/>
    <w:rsid w:val="68D33DE9"/>
    <w:rsid w:val="69157114"/>
    <w:rsid w:val="691A443E"/>
    <w:rsid w:val="69E203A0"/>
    <w:rsid w:val="6A5B6D7D"/>
    <w:rsid w:val="6A765FBC"/>
    <w:rsid w:val="6A80735F"/>
    <w:rsid w:val="6A943830"/>
    <w:rsid w:val="6AC17181"/>
    <w:rsid w:val="6ACC5E47"/>
    <w:rsid w:val="6AD43ED1"/>
    <w:rsid w:val="6B11024D"/>
    <w:rsid w:val="6B7D5B36"/>
    <w:rsid w:val="6C1017D6"/>
    <w:rsid w:val="6C1A0813"/>
    <w:rsid w:val="6C834DAA"/>
    <w:rsid w:val="6C993CCE"/>
    <w:rsid w:val="6CF120A8"/>
    <w:rsid w:val="6D72413D"/>
    <w:rsid w:val="6E730FA1"/>
    <w:rsid w:val="6FF50B81"/>
    <w:rsid w:val="70330B9C"/>
    <w:rsid w:val="714213DD"/>
    <w:rsid w:val="717F272E"/>
    <w:rsid w:val="721263AA"/>
    <w:rsid w:val="72783A23"/>
    <w:rsid w:val="728027C6"/>
    <w:rsid w:val="72E32A52"/>
    <w:rsid w:val="73D62FA6"/>
    <w:rsid w:val="73FE7ACC"/>
    <w:rsid w:val="74556746"/>
    <w:rsid w:val="74743258"/>
    <w:rsid w:val="7476713C"/>
    <w:rsid w:val="761B13C4"/>
    <w:rsid w:val="764B6A8A"/>
    <w:rsid w:val="76C17E06"/>
    <w:rsid w:val="76CA67BD"/>
    <w:rsid w:val="774E6400"/>
    <w:rsid w:val="775B0046"/>
    <w:rsid w:val="789567F0"/>
    <w:rsid w:val="79700BEF"/>
    <w:rsid w:val="79811973"/>
    <w:rsid w:val="798D552B"/>
    <w:rsid w:val="7A090695"/>
    <w:rsid w:val="7A094EC9"/>
    <w:rsid w:val="7A1D5951"/>
    <w:rsid w:val="7A5275FA"/>
    <w:rsid w:val="7AE175F4"/>
    <w:rsid w:val="7B417685"/>
    <w:rsid w:val="7B5220F0"/>
    <w:rsid w:val="7BA169C0"/>
    <w:rsid w:val="7BC55243"/>
    <w:rsid w:val="7C2C2FA3"/>
    <w:rsid w:val="7C2F4A9A"/>
    <w:rsid w:val="7CAD595B"/>
    <w:rsid w:val="7CD9190C"/>
    <w:rsid w:val="7CF65D07"/>
    <w:rsid w:val="7D2975D1"/>
    <w:rsid w:val="7D2F3083"/>
    <w:rsid w:val="7D315E1D"/>
    <w:rsid w:val="7D906046"/>
    <w:rsid w:val="7DCC0CD6"/>
    <w:rsid w:val="7FB331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字符"/>
    <w:link w:val="6"/>
    <w:qFormat/>
    <w:uiPriority w:val="0"/>
    <w:rPr>
      <w:rFonts w:eastAsia="仿宋_GB2312"/>
      <w:kern w:val="2"/>
      <w:sz w:val="18"/>
    </w:rPr>
  </w:style>
  <w:style w:type="character" w:customStyle="1" w:styleId="17">
    <w:name w:val="批注框文本 字符"/>
    <w:link w:val="5"/>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5495</Words>
  <Characters>6575</Characters>
  <Lines>71</Lines>
  <Paragraphs>20</Paragraphs>
  <TotalTime>1</TotalTime>
  <ScaleCrop>false</ScaleCrop>
  <LinksUpToDate>false</LinksUpToDate>
  <CharactersWithSpaces>7166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听雨</cp:lastModifiedBy>
  <cp:lastPrinted>2024-01-23T03:39:00Z</cp:lastPrinted>
  <dcterms:modified xsi:type="dcterms:W3CDTF">2026-03-10T06:24:03Z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5373A76AEBF448CEA23376681536FABC</vt:lpwstr>
  </property>
</Properties>
</file>