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hint="eastAsia" w:eastAsia="方正小标宋简体"/>
          <w:sz w:val="44"/>
          <w:szCs w:val="44"/>
          <w:u w:val="none"/>
        </w:rPr>
      </w:pPr>
      <w:r>
        <w:rPr>
          <w:rFonts w:hint="eastAsia" w:eastAsia="方正小标宋简体"/>
          <w:sz w:val="44"/>
          <w:szCs w:val="44"/>
          <w:u w:val="none"/>
        </w:rPr>
        <w:t>长春市统计局宽城区分局</w:t>
      </w:r>
    </w:p>
    <w:p>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pPr>
        <w:ind w:firstLine="640" w:firstLineChars="20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pPr>
        <w:ind w:firstLine="640" w:firstLineChars="20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pPr>
        <w:ind w:firstLine="640" w:firstLineChars="200"/>
        <w:rPr>
          <w:rFonts w:hint="eastAsia"/>
          <w:color w:val="000000"/>
          <w:szCs w:val="32"/>
        </w:rPr>
      </w:pPr>
      <w:r>
        <w:rPr>
          <w:rFonts w:hint="eastAsia"/>
          <w:color w:val="000000"/>
          <w:szCs w:val="32"/>
        </w:rPr>
        <w:t>（五）根据市统计局的统一安排，建立、完善和管理区统计分局统计信息自动化网络和数据库系统建设。</w:t>
      </w:r>
    </w:p>
    <w:p>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ind w:firstLine="640" w:firstLineChars="20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pPr>
        <w:ind w:firstLine="640" w:firstLineChars="200"/>
        <w:rPr>
          <w:rFonts w:hint="eastAsia"/>
          <w:color w:val="000000"/>
          <w:szCs w:val="32"/>
        </w:rPr>
      </w:pPr>
      <w:r>
        <w:rPr>
          <w:rFonts w:hint="eastAsia"/>
          <w:color w:val="000000"/>
          <w:szCs w:val="32"/>
        </w:rPr>
        <w:t>（八）承办省、市统计局和宽城区政府交办的其他事项。</w:t>
      </w:r>
    </w:p>
    <w:p>
      <w:pPr>
        <w:ind w:firstLine="640" w:firstLineChars="200"/>
      </w:pPr>
      <w:r>
        <w:rPr>
          <w:rFonts w:eastAsia="楷体_GB2312"/>
        </w:rPr>
        <w:t>二、机构设置</w:t>
      </w:r>
    </w:p>
    <w:p>
      <w:pPr>
        <w:pStyle w:val="48"/>
        <w:ind w:firstLine="640" w:firstLineChars="200"/>
        <w:rPr>
          <w:rFonts w:eastAsia="楷体"/>
        </w:rPr>
      </w:pPr>
      <w:r>
        <w:rPr>
          <w:rFonts w:hint="eastAsia" w:eastAsia="仿宋_GB2312"/>
        </w:rPr>
        <w:t>根据上述职责，长春市统计局宽城区分局内设2个机构，分别为综合科、社会经济统计科。本单位无下设预算单位。</w:t>
      </w:r>
    </w:p>
    <w:p>
      <w:pPr>
        <w:pStyle w:val="48"/>
        <w:ind w:firstLine="640" w:firstLineChars="200"/>
        <w:rPr>
          <w:rFonts w:eastAsia="楷体"/>
        </w:rPr>
      </w:pPr>
    </w:p>
    <w:p>
      <w:pPr>
        <w:pStyle w:val="48"/>
        <w:ind w:firstLine="640" w:firstLineChars="200"/>
        <w:rPr>
          <w:rFonts w:hAnsi="楷体" w:eastAsia="楷体"/>
        </w:rPr>
      </w:pPr>
    </w:p>
    <w:p>
      <w:pPr>
        <w:pStyle w:val="48"/>
        <w:ind w:firstLine="640" w:firstLineChars="200"/>
        <w:rPr>
          <w:rFonts w:hAnsi="楷体" w:eastAsia="楷体"/>
        </w:rPr>
      </w:pPr>
    </w:p>
    <w:p>
      <w:pPr>
        <w:pStyle w:val="48"/>
        <w:ind w:firstLine="640" w:firstLineChars="200"/>
        <w:rPr>
          <w:rFonts w:hAnsi="楷体" w:eastAsia="楷体"/>
        </w:rPr>
      </w:pPr>
    </w:p>
    <w:p>
      <w:pPr>
        <w:pStyle w:val="48"/>
        <w:ind w:firstLine="640" w:firstLineChars="200"/>
        <w:rPr>
          <w:rFonts w:hAnsi="楷体" w:eastAsia="楷体"/>
        </w:rPr>
      </w:pPr>
    </w:p>
    <w:p>
      <w:pPr>
        <w:pStyle w:val="48"/>
        <w:ind w:firstLine="640" w:firstLineChars="200"/>
        <w:rPr>
          <w:rFonts w:hAnsi="楷体" w:eastAsia="楷体"/>
        </w:rPr>
      </w:pPr>
    </w:p>
    <w:p>
      <w:pPr>
        <w:pStyle w:val="48"/>
        <w:ind w:firstLine="640" w:firstLineChars="200"/>
        <w:rPr>
          <w:rFonts w:hAnsi="楷体" w:eastAsia="楷体"/>
        </w:rPr>
      </w:pPr>
    </w:p>
    <w:p>
      <w:pPr>
        <w:pStyle w:val="48"/>
        <w:ind w:firstLine="640" w:firstLineChars="200"/>
        <w:rPr>
          <w:rFonts w:hint="eastAsia" w:hAnsi="楷体" w:eastAsia="楷体"/>
        </w:rPr>
      </w:pPr>
    </w:p>
    <w:p>
      <w:pPr>
        <w:pStyle w:val="48"/>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34"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243.17</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13.02</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34"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21.95</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2.83</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7.84</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2.09</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ascii="宋体" w:eastAsia="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58" w:type="dxa"/>
            <w:tcBorders>
              <w:top w:val="nil"/>
              <w:left w:val="nil"/>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34"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34"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742" w:type="dxa"/>
        <w:jc w:val="center"/>
        <w:tblLayout w:type="fixed"/>
        <w:tblCellMar>
          <w:top w:w="0" w:type="dxa"/>
          <w:left w:w="108" w:type="dxa"/>
          <w:bottom w:w="0" w:type="dxa"/>
          <w:right w:w="108" w:type="dxa"/>
        </w:tblCellMar>
      </w:tblPr>
      <w:tblGrid>
        <w:gridCol w:w="1382"/>
        <w:gridCol w:w="826"/>
        <w:gridCol w:w="802"/>
        <w:gridCol w:w="816"/>
        <w:gridCol w:w="360"/>
        <w:gridCol w:w="384"/>
        <w:gridCol w:w="348"/>
        <w:gridCol w:w="335"/>
        <w:gridCol w:w="349"/>
        <w:gridCol w:w="360"/>
        <w:gridCol w:w="348"/>
        <w:gridCol w:w="360"/>
        <w:gridCol w:w="720"/>
        <w:gridCol w:w="708"/>
        <w:gridCol w:w="316"/>
        <w:gridCol w:w="112"/>
        <w:gridCol w:w="384"/>
        <w:gridCol w:w="432"/>
        <w:gridCol w:w="400"/>
      </w:tblGrid>
      <w:tr>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val="0"/>
            <w:vAlign w:val="top"/>
          </w:tcPr>
          <w:p>
            <w:pPr>
              <w:autoSpaceDN w:val="0"/>
              <w:jc w:val="left"/>
              <w:textAlignment w:val="center"/>
              <w:rPr>
                <w:rFonts w:eastAsia="华文细黑"/>
                <w:color w:val="000000"/>
                <w:sz w:val="20"/>
              </w:rPr>
            </w:pPr>
          </w:p>
        </w:tc>
        <w:tc>
          <w:tcPr>
            <w:tcW w:w="3871" w:type="dxa"/>
            <w:gridSpan w:val="7"/>
            <w:tcBorders>
              <w:bottom w:val="single" w:color="000000" w:sz="4" w:space="0"/>
            </w:tcBorders>
            <w:noWrap w:val="0"/>
            <w:vAlign w:val="center"/>
          </w:tcPr>
          <w:p>
            <w:pPr>
              <w:autoSpaceDN w:val="0"/>
              <w:jc w:val="left"/>
              <w:textAlignment w:val="center"/>
              <w:rPr>
                <w:rFonts w:eastAsia="华文细黑"/>
                <w:color w:val="000000"/>
                <w:sz w:val="20"/>
              </w:rPr>
            </w:pPr>
          </w:p>
        </w:tc>
        <w:tc>
          <w:tcPr>
            <w:tcW w:w="1057" w:type="dxa"/>
            <w:gridSpan w:val="3"/>
            <w:noWrap w:val="0"/>
            <w:vAlign w:val="center"/>
          </w:tcPr>
          <w:p>
            <w:pPr>
              <w:autoSpaceDN w:val="0"/>
              <w:jc w:val="left"/>
              <w:textAlignment w:val="center"/>
              <w:rPr>
                <w:rFonts w:eastAsia="华文细黑"/>
                <w:color w:val="000000"/>
                <w:sz w:val="20"/>
              </w:rPr>
            </w:pPr>
          </w:p>
        </w:tc>
        <w:tc>
          <w:tcPr>
            <w:tcW w:w="360" w:type="dxa"/>
            <w:noWrap w:val="0"/>
            <w:vAlign w:val="center"/>
          </w:tcPr>
          <w:p>
            <w:pPr>
              <w:autoSpaceDN w:val="0"/>
              <w:jc w:val="left"/>
              <w:textAlignment w:val="center"/>
              <w:rPr>
                <w:rFonts w:eastAsia="华文细黑"/>
                <w:color w:val="000000"/>
                <w:sz w:val="20"/>
              </w:rPr>
            </w:pPr>
          </w:p>
        </w:tc>
        <w:tc>
          <w:tcPr>
            <w:tcW w:w="1428" w:type="dxa"/>
            <w:gridSpan w:val="2"/>
            <w:noWrap w:val="0"/>
            <w:vAlign w:val="center"/>
          </w:tcPr>
          <w:p>
            <w:pPr>
              <w:autoSpaceDN w:val="0"/>
              <w:jc w:val="left"/>
              <w:textAlignment w:val="center"/>
              <w:rPr>
                <w:rFonts w:eastAsia="华文细黑"/>
                <w:color w:val="000000"/>
                <w:sz w:val="20"/>
              </w:rPr>
            </w:pPr>
          </w:p>
        </w:tc>
        <w:tc>
          <w:tcPr>
            <w:tcW w:w="316" w:type="dxa"/>
            <w:noWrap w:val="0"/>
            <w:vAlign w:val="bottom"/>
          </w:tcPr>
          <w:p>
            <w:pPr>
              <w:autoSpaceDN w:val="0"/>
              <w:jc w:val="right"/>
              <w:textAlignment w:val="bottom"/>
              <w:rPr>
                <w:rFonts w:eastAsia="宋体"/>
                <w:color w:val="000000"/>
                <w:sz w:val="20"/>
              </w:rPr>
            </w:pPr>
          </w:p>
        </w:tc>
        <w:tc>
          <w:tcPr>
            <w:tcW w:w="1328" w:type="dxa"/>
            <w:gridSpan w:val="4"/>
            <w:noWrap w:val="0"/>
            <w:vAlign w:val="bottom"/>
          </w:tcPr>
          <w:p>
            <w:pPr>
              <w:wordWrap/>
              <w:autoSpaceDN w:val="0"/>
              <w:jc w:val="both"/>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382" w:type="dxa"/>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26"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62" w:type="dxa"/>
            <w:gridSpan w:val="10"/>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072" w:type="dxa"/>
            <w:gridSpan w:val="7"/>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tblPrEx>
          <w:tblCellMar>
            <w:top w:w="0" w:type="dxa"/>
            <w:left w:w="108" w:type="dxa"/>
            <w:bottom w:w="0" w:type="dxa"/>
            <w:right w:w="108" w:type="dxa"/>
          </w:tblCellMar>
        </w:tblPrEx>
        <w:trPr>
          <w:trHeight w:val="517" w:hRule="atLeast"/>
          <w:jc w:val="center"/>
        </w:trPr>
        <w:tc>
          <w:tcPr>
            <w:tcW w:w="1382"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000000"/>
                <w:sz w:val="20"/>
                <w:lang w:eastAsia="zh-CN"/>
              </w:rPr>
            </w:pPr>
          </w:p>
        </w:tc>
        <w:tc>
          <w:tcPr>
            <w:tcW w:w="826" w:type="dxa"/>
            <w:vMerge w:val="continue"/>
            <w:tcBorders>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p>
        </w:tc>
        <w:tc>
          <w:tcPr>
            <w:tcW w:w="802" w:type="dxa"/>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60" w:type="dxa"/>
            <w:gridSpan w:val="3"/>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348" w:type="dxa"/>
            <w:vMerge w:val="restart"/>
            <w:tcBorders>
              <w:top w:val="single" w:color="000000" w:sz="4" w:space="0"/>
              <w:left w:val="single" w:color="auto"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52" w:type="dxa"/>
            <w:gridSpan w:val="5"/>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20" w:type="dxa"/>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20" w:type="dxa"/>
            <w:gridSpan w:val="4"/>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832" w:type="dxa"/>
            <w:gridSpan w:val="2"/>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tblPrEx>
          <w:tblCellMar>
            <w:top w:w="0" w:type="dxa"/>
            <w:left w:w="108" w:type="dxa"/>
            <w:bottom w:w="0" w:type="dxa"/>
            <w:right w:w="108" w:type="dxa"/>
          </w:tblCellMar>
        </w:tblPrEx>
        <w:trPr>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26" w:type="dxa"/>
            <w:vMerge w:val="continue"/>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0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1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48"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8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3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r>
              <w:rPr>
                <w:rFonts w:hint="eastAsia" w:ascii="宋体" w:hAnsi="宋体" w:eastAsia="宋体" w:cs="宋体"/>
                <w:color w:val="000000"/>
                <w:kern w:val="0"/>
                <w:sz w:val="20"/>
                <w:lang w:bidi="ar"/>
              </w:rPr>
              <w:t>长春市统计局宽城区分局</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8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284.68</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284.68</w:t>
            </w: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r>
      <w:tr>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8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default" w:ascii="Times New Roman" w:hAnsi="Times New Roman" w:eastAsia="宋体" w:cs="Times New Roman"/>
                <w:i w:val="0"/>
                <w:color w:val="000000"/>
                <w:kern w:val="0"/>
                <w:sz w:val="20"/>
                <w:szCs w:val="20"/>
                <w:u w:val="none"/>
                <w:lang w:val="en-US" w:eastAsia="zh-CN" w:bidi="ar"/>
              </w:rPr>
              <w:t>284.68</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default" w:ascii="Times New Roman" w:hAnsi="Times New Roman" w:eastAsia="宋体" w:cs="Times New Roman"/>
                <w:i w:val="0"/>
                <w:color w:val="000000"/>
                <w:kern w:val="0"/>
                <w:sz w:val="20"/>
                <w:szCs w:val="20"/>
                <w:u w:val="none"/>
                <w:lang w:val="en-US" w:eastAsia="zh-CN" w:bidi="ar"/>
              </w:rPr>
              <w:t>284.68</w:t>
            </w: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8"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3999"/>
              <w:gridCol w:w="1284"/>
              <w:gridCol w:w="984"/>
              <w:gridCol w:w="864"/>
              <w:gridCol w:w="1044"/>
              <w:gridCol w:w="320"/>
              <w:gridCol w:w="544"/>
              <w:gridCol w:w="753"/>
              <w:gridCol w:w="48"/>
            </w:tblGrid>
            <w:tr>
              <w:tblPrEx>
                <w:tblCellMar>
                  <w:top w:w="15" w:type="dxa"/>
                  <w:left w:w="15" w:type="dxa"/>
                  <w:bottom w:w="15" w:type="dxa"/>
                  <w:right w:w="15" w:type="dxa"/>
                </w:tblCellMar>
              </w:tblPrEx>
              <w:trPr>
                <w:gridAfter w:val="1"/>
                <w:wAfter w:w="48" w:type="dxa"/>
                <w:trHeight w:val="636" w:hRule="atLeast"/>
              </w:trPr>
              <w:tc>
                <w:tcPr>
                  <w:tcW w:w="7131" w:type="dxa"/>
                  <w:gridSpan w:val="4"/>
                  <w:tcBorders>
                    <w:bottom w:val="single" w:color="000000" w:sz="4" w:space="0"/>
                  </w:tcBorders>
                  <w:noWrap w:val="0"/>
                  <w:vAlign w:val="center"/>
                </w:tcPr>
                <w:p>
                  <w:pPr>
                    <w:widowControl/>
                    <w:jc w:val="left"/>
                    <w:rPr>
                      <w:rFonts w:eastAsia="华文细黑"/>
                      <w:color w:val="000000"/>
                      <w:kern w:val="0"/>
                      <w:sz w:val="20"/>
                    </w:rPr>
                  </w:pPr>
                </w:p>
              </w:tc>
              <w:tc>
                <w:tcPr>
                  <w:tcW w:w="1044" w:type="dxa"/>
                  <w:tcBorders>
                    <w:bottom w:val="single" w:color="000000" w:sz="4" w:space="0"/>
                  </w:tcBorders>
                  <w:noWrap w:val="0"/>
                  <w:vAlign w:val="center"/>
                </w:tcPr>
                <w:p>
                  <w:pPr>
                    <w:widowControl/>
                    <w:jc w:val="right"/>
                    <w:rPr>
                      <w:rFonts w:eastAsia="华文细黑"/>
                      <w:color w:val="000000"/>
                      <w:kern w:val="0"/>
                      <w:sz w:val="20"/>
                    </w:rPr>
                  </w:pPr>
                </w:p>
              </w:tc>
              <w:tc>
                <w:tcPr>
                  <w:tcW w:w="320" w:type="dxa"/>
                  <w:tcBorders>
                    <w:bottom w:val="single" w:color="000000" w:sz="4" w:space="0"/>
                  </w:tcBorders>
                  <w:noWrap w:val="0"/>
                  <w:vAlign w:val="center"/>
                </w:tcPr>
                <w:p>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2211" w:hRule="atLeast"/>
              </w:trPr>
              <w:tc>
                <w:tcPr>
                  <w:tcW w:w="399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84"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8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hint="eastAsia" w:eastAsia="宋体"/>
                      <w:color w:val="000000"/>
                      <w:kern w:val="0"/>
                      <w:sz w:val="20"/>
                      <w:lang w:val="en-US" w:eastAsia="zh-CN"/>
                    </w:rPr>
                  </w:pPr>
                  <w:r>
                    <w:rPr>
                      <w:rFonts w:hint="eastAsia" w:ascii="宋体" w:eastAsia="宋体"/>
                      <w:sz w:val="20"/>
                    </w:rPr>
                    <w:t>一、一般公共服务</w:t>
                  </w:r>
                  <w:r>
                    <w:rPr>
                      <w:rFonts w:hint="eastAsia" w:ascii="宋体" w:eastAsia="宋体"/>
                      <w:sz w:val="20"/>
                      <w:lang w:val="en-US" w:eastAsia="zh-CN"/>
                    </w:rPr>
                    <w:t>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统计信息事务</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行政运行</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一般行政管理事务</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华文细黑" w:hAnsi="华文细黑" w:eastAsia="华文细黑" w:cs="华文细黑"/>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专项普查活动</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116.42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116.42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eastAsia="宋体"/>
                      <w:sz w:val="20"/>
                    </w:rPr>
                    <w:t>二、社会保障和就业支出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行政事业单位养老支出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行政单位离退休</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ind w:firstLine="600" w:firstLineChars="300"/>
                    <w:rPr>
                      <w:rFonts w:eastAsia="宋体"/>
                      <w:color w:val="000000"/>
                      <w:kern w:val="0"/>
                      <w:sz w:val="20"/>
                    </w:rPr>
                  </w:pPr>
                  <w:r>
                    <w:rPr>
                      <w:rFonts w:hint="eastAsia" w:ascii="宋体" w:eastAsia="宋体"/>
                      <w:sz w:val="20"/>
                    </w:rPr>
                    <w:t>机关事业单位基本养老保险缴费支出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华文细黑"/>
                      <w:color w:val="000000"/>
                      <w:kern w:val="0"/>
                      <w:sz w:val="20"/>
                    </w:rPr>
                  </w:pPr>
                  <w:r>
                    <w:rPr>
                      <w:rFonts w:hint="eastAsia" w:ascii="宋体" w:eastAsia="宋体"/>
                      <w:sz w:val="20"/>
                    </w:rPr>
                    <w:t>三、卫生健康支出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行政事业单位医疗</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行政单位医疗</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eastAsia="宋体"/>
                      <w:sz w:val="20"/>
                    </w:rPr>
                    <w:t>四、住房保障支出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住房改革支出</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住房公积金</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exact"/>
              </w:trPr>
              <w:tc>
                <w:tcPr>
                  <w:tcW w:w="399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2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302.62</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165.61</w:t>
                  </w:r>
                </w:p>
              </w:tc>
              <w:tc>
                <w:tcPr>
                  <w:tcW w:w="8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0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p>
      <w:pPr>
        <w:ind w:firstLine="640" w:firstLineChars="200"/>
      </w:pPr>
    </w:p>
    <w:p>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243.17</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13.02</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eastAsia="宋体"/>
                      <w:sz w:val="20"/>
                    </w:rPr>
                    <w:t>（二）社会保障和就业支出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21.95</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2.83</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eastAsia="宋体"/>
                      <w:sz w:val="20"/>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7.84</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2.09</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eastAsia="宋体"/>
                      <w:sz w:val="20"/>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default"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default" w:ascii="Times New Roman" w:hAnsi="Times New Roman" w:eastAsia="宋体" w:cs="Times New Roman"/>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302.6</w:t>
                  </w:r>
                  <w:r>
                    <w:rPr>
                      <w:rFonts w:hint="eastAsia" w:eastAsia="宋体" w:cs="Times New Roman"/>
                      <w:i w:val="0"/>
                      <w:color w:val="000000"/>
                      <w:kern w:val="0"/>
                      <w:sz w:val="20"/>
                      <w:szCs w:val="20"/>
                      <w:u w:val="none"/>
                      <w:lang w:val="en-US" w:eastAsia="zh-CN" w:bidi="ar"/>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284.68</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17.9</w:t>
                  </w:r>
                  <w:r>
                    <w:rPr>
                      <w:rFonts w:hint="eastAsia" w:eastAsia="宋体" w:cs="Times New Roman"/>
                      <w:i w:val="0"/>
                      <w:color w:val="000000"/>
                      <w:kern w:val="0"/>
                      <w:sz w:val="20"/>
                      <w:szCs w:val="20"/>
                      <w:u w:val="none"/>
                      <w:lang w:val="en-US" w:eastAsia="zh-CN" w:bidi="ar"/>
                    </w:rPr>
                    <w:t>5</w:t>
                  </w: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919"/>
              <w:gridCol w:w="972"/>
              <w:gridCol w:w="840"/>
              <w:gridCol w:w="1116"/>
              <w:gridCol w:w="1008"/>
              <w:gridCol w:w="934"/>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3919"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972"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29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3919"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97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9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3919"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97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97.77</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21.41</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统计信息事务</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256.19</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97.77</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21.41</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行政运行</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119.18</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97.77</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21.41</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一般行政管理事务</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600" w:firstLineChars="300"/>
                    <w:rPr>
                      <w:rFonts w:hint="default" w:ascii="宋体" w:eastAsia="宋体"/>
                      <w:sz w:val="20"/>
                      <w:lang w:val="en-US" w:eastAsia="zh-CN"/>
                    </w:rPr>
                  </w:pPr>
                  <w:r>
                    <w:rPr>
                      <w:rFonts w:hint="eastAsia" w:ascii="宋体" w:eastAsia="宋体"/>
                      <w:sz w:val="20"/>
                      <w:lang w:val="en-US" w:eastAsia="zh-CN"/>
                    </w:rPr>
                    <w:t>专项普查活动</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eastAsia="宋体"/>
                      <w:sz w:val="20"/>
                    </w:rPr>
                    <w:t>二、社会保障和就业支出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行政事业单位养老支出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24.78</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600" w:firstLineChars="300"/>
                    <w:rPr>
                      <w:rFonts w:eastAsia="宋体"/>
                      <w:color w:val="000000"/>
                      <w:kern w:val="0"/>
                      <w:sz w:val="20"/>
                    </w:rPr>
                  </w:pPr>
                  <w:r>
                    <w:rPr>
                      <w:rFonts w:hint="eastAsia" w:ascii="宋体" w:eastAsia="宋体"/>
                      <w:sz w:val="20"/>
                    </w:rPr>
                    <w:t>行政单位离退休</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600" w:firstLineChars="300"/>
                    <w:rPr>
                      <w:rFonts w:eastAsia="宋体"/>
                      <w:color w:val="000000"/>
                      <w:kern w:val="0"/>
                      <w:sz w:val="20"/>
                    </w:rPr>
                  </w:pPr>
                  <w:r>
                    <w:rPr>
                      <w:rFonts w:hint="eastAsia" w:ascii="宋体" w:eastAsia="宋体"/>
                      <w:sz w:val="20"/>
                    </w:rPr>
                    <w:t>机关事业单位基本养老保险缴费支出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eastAsia="宋体"/>
                      <w:sz w:val="20"/>
                    </w:rPr>
                    <w:t>三、卫生健康支出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9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行政事业单位医疗</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华文细黑"/>
                      <w:color w:val="000000"/>
                      <w:kern w:val="0"/>
                      <w:sz w:val="20"/>
                    </w:rPr>
                  </w:pPr>
                  <w:r>
                    <w:rPr>
                      <w:rFonts w:hint="eastAsia" w:ascii="宋体" w:eastAsia="宋体"/>
                      <w:sz w:val="20"/>
                    </w:rPr>
                    <w:t>　　  行政单位医疗</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9.93</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eastAsia="宋体"/>
                      <w:sz w:val="20"/>
                    </w:rPr>
                    <w:t>四、住房保障支出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住房改革支出</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eastAsia="宋体"/>
                      <w:sz w:val="20"/>
                    </w:rPr>
                    <w:t>　　  住房公积金</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Times New Roman" w:hAnsi="Times New Roman" w:eastAsia="宋体" w:cs="Times New Roman"/>
                      <w:color w:val="000000"/>
                      <w:kern w:val="0"/>
                      <w:sz w:val="20"/>
                      <w:szCs w:val="20"/>
                    </w:rPr>
                  </w:pPr>
                </w:p>
              </w:tc>
            </w:tr>
            <w:tr>
              <w:tblPrEx>
                <w:tblCellMar>
                  <w:top w:w="15" w:type="dxa"/>
                  <w:left w:w="15" w:type="dxa"/>
                  <w:bottom w:w="15" w:type="dxa"/>
                  <w:right w:w="15" w:type="dxa"/>
                </w:tblCellMar>
              </w:tblPrEx>
              <w:trPr>
                <w:trHeight w:val="330" w:hRule="atLeast"/>
              </w:trPr>
              <w:tc>
                <w:tcPr>
                  <w:tcW w:w="391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9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302.62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165.61</w:t>
                  </w:r>
                </w:p>
              </w:tc>
              <w:tc>
                <w:tcPr>
                  <w:tcW w:w="11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144.20</w:t>
                  </w:r>
                </w:p>
              </w:tc>
              <w:tc>
                <w:tcPr>
                  <w:tcW w:w="10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21.41</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77"/>
        <w:gridCol w:w="1919"/>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477"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919"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477"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19"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134.74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134.74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基本工资</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40.84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40.84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津贴补贴</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22.23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22.23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奖金</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30.63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30.63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15.77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职工基本医疗保险缴费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公务员医疗补助缴费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5.45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5.45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其他社会保障缴费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住房公积金</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医疗费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其他工资福利支出</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kern w:val="0"/>
                <w:sz w:val="20"/>
              </w:rPr>
            </w:pPr>
            <w:r>
              <w:rPr>
                <w:rFonts w:eastAsia="宋体"/>
                <w:color w:val="000000"/>
                <w:sz w:val="20"/>
              </w:rPr>
              <w:t>二、商品和服务支出</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20.21</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办公费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0.97</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咨询费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0.20</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手续费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邮电费</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0.54</w:t>
            </w:r>
          </w:p>
        </w:tc>
      </w:tr>
    </w:tbl>
    <w:p>
      <w:pPr>
        <w:rPr>
          <w:sz w:val="16"/>
          <w:szCs w:val="16"/>
        </w:rPr>
      </w:pPr>
    </w:p>
    <w:tbl>
      <w:tblPr>
        <w:tblStyle w:val="9"/>
        <w:tblW w:w="0" w:type="auto"/>
        <w:jc w:val="center"/>
        <w:tblLayout w:type="fixed"/>
        <w:tblCellMar>
          <w:top w:w="0" w:type="dxa"/>
          <w:left w:w="108" w:type="dxa"/>
          <w:bottom w:w="0" w:type="dxa"/>
          <w:right w:w="108" w:type="dxa"/>
        </w:tblCellMar>
      </w:tblPr>
      <w:tblGrid>
        <w:gridCol w:w="3477"/>
        <w:gridCol w:w="1919"/>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r>
              <w:rPr>
                <w:rFonts w:hint="eastAsia" w:eastAsia="方正小标宋简体"/>
                <w:kern w:val="0"/>
                <w:sz w:val="44"/>
                <w:szCs w:val="44"/>
                <w:lang w:val="en-US" w:eastAsia="zh-CN"/>
              </w:rPr>
              <w:t>续表</w:t>
            </w:r>
          </w:p>
        </w:tc>
      </w:tr>
      <w:tr>
        <w:tblPrEx>
          <w:tblCellMar>
            <w:top w:w="0" w:type="dxa"/>
            <w:left w:w="108" w:type="dxa"/>
            <w:bottom w:w="0" w:type="dxa"/>
            <w:right w:w="108" w:type="dxa"/>
          </w:tblCellMar>
        </w:tblPrEx>
        <w:trPr>
          <w:trHeight w:val="390" w:hRule="atLeast"/>
          <w:jc w:val="center"/>
        </w:trPr>
        <w:tc>
          <w:tcPr>
            <w:tcW w:w="3477"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919"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477"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19"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维修（护）费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3.60</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工会经费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1.32</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福利费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其他交通费用</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6.35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6.35</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其他商品和服务支出</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对个人和家庭的补助</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9.47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9.47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退休费</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9.01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其他对个人和家庭的补助</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hint="eastAsia" w:ascii="宋体" w:hAnsi="宋体" w:eastAsia="宋体" w:cs="宋体"/>
                <w:color w:val="000000"/>
                <w:kern w:val="0"/>
                <w:sz w:val="20"/>
                <w:szCs w:val="20"/>
              </w:rPr>
            </w:pPr>
            <w:r>
              <w:rPr>
                <w:rFonts w:hint="eastAsia" w:ascii="宋体" w:eastAsia="宋体"/>
                <w:color w:val="000000"/>
                <w:kern w:val="0"/>
                <w:sz w:val="20"/>
              </w:rPr>
              <w:t>四、资本性支出</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600" w:hRule="atLeast"/>
          <w:jc w:val="center"/>
        </w:trPr>
        <w:tc>
          <w:tcPr>
            <w:tcW w:w="3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宋体" w:hAnsi="宋体" w:eastAsia="宋体" w:cs="宋体"/>
                <w:kern w:val="0"/>
                <w:sz w:val="20"/>
                <w:szCs w:val="20"/>
              </w:rPr>
            </w:pPr>
            <w:r>
              <w:rPr>
                <w:rFonts w:hint="eastAsia" w:ascii="宋体" w:eastAsia="宋体"/>
                <w:color w:val="000000"/>
                <w:kern w:val="0"/>
                <w:sz w:val="20"/>
              </w:rPr>
              <w:t>办公设备购置</w:t>
            </w:r>
          </w:p>
        </w:tc>
        <w:tc>
          <w:tcPr>
            <w:tcW w:w="19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r>
    </w:tbl>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说明：</w:t>
            </w:r>
          </w:p>
          <w:p>
            <w:pPr>
              <w:widowControl/>
              <w:numPr>
                <w:ilvl w:val="0"/>
                <w:numId w:val="1"/>
              </w:numPr>
              <w:ind w:left="420" w:leftChars="0"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“2024年预算数”的单位范围包括本单位1个预算单位。</w:t>
            </w:r>
          </w:p>
          <w:p>
            <w:pPr>
              <w:widowControl/>
              <w:numPr>
                <w:ilvl w:val="0"/>
                <w:numId w:val="1"/>
              </w:numPr>
              <w:ind w:left="420" w:leftChars="0"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“2024年预算数”的实有人员10人，其中：在职人员7人，退休人</w:t>
            </w:r>
          </w:p>
          <w:p>
            <w:pPr>
              <w:widowControl/>
              <w:jc w:val="both"/>
              <w:rPr>
                <w:rFonts w:hint="eastAsia" w:eastAsia="仿宋_GB2312"/>
                <w:color w:val="000000"/>
                <w:kern w:val="0"/>
                <w:sz w:val="28"/>
                <w:szCs w:val="28"/>
                <w:lang w:val="en-US" w:eastAsia="zh-CN"/>
              </w:rPr>
            </w:pPr>
            <w:r>
              <w:rPr>
                <w:rFonts w:hint="eastAsia" w:ascii="宋体" w:hAnsi="宋体" w:eastAsia="宋体" w:cs="宋体"/>
                <w:color w:val="000000"/>
                <w:kern w:val="0"/>
                <w:sz w:val="21"/>
                <w:szCs w:val="21"/>
                <w:lang w:val="en-US" w:eastAsia="zh-CN"/>
              </w:rPr>
              <w:t>员3人。</w:t>
            </w:r>
          </w:p>
        </w:tc>
      </w:tr>
    </w:tbl>
    <w:p>
      <w:pPr>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26"/>
        <w:gridCol w:w="587"/>
        <w:gridCol w:w="431"/>
        <w:gridCol w:w="1068"/>
        <w:gridCol w:w="792"/>
        <w:gridCol w:w="804"/>
        <w:gridCol w:w="396"/>
        <w:gridCol w:w="384"/>
        <w:gridCol w:w="360"/>
        <w:gridCol w:w="360"/>
        <w:gridCol w:w="636"/>
        <w:gridCol w:w="384"/>
        <w:gridCol w:w="360"/>
        <w:gridCol w:w="504"/>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6"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213"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431"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068"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9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304"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242"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6"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44"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1068" w:type="dxa"/>
            <w:vMerge w:val="restart"/>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92"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04" w:type="dxa"/>
            <w:gridSpan w:val="5"/>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242" w:type="dxa"/>
            <w:gridSpan w:val="5"/>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6"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626" w:type="dxa"/>
            <w:vMerge w:val="restart"/>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18" w:type="dxa"/>
            <w:gridSpan w:val="2"/>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1068"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792"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584" w:type="dxa"/>
            <w:gridSpan w:val="3"/>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60" w:type="dxa"/>
            <w:vMerge w:val="restart"/>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60" w:type="dxa"/>
            <w:vMerge w:val="restart"/>
            <w:noWrap w:val="0"/>
            <w:textDirection w:val="tbLrV"/>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80"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862" w:type="dxa"/>
            <w:gridSpan w:val="2"/>
            <w:noWrap w:val="0"/>
            <w:vAlign w:val="center"/>
          </w:tcPr>
          <w:p>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26" w:type="dxa"/>
            <w:vMerge w:val="continue"/>
            <w:noWrap w:val="0"/>
            <w:vAlign w:val="center"/>
          </w:tcPr>
          <w:p>
            <w:pPr>
              <w:autoSpaceDN w:val="0"/>
              <w:jc w:val="center"/>
              <w:textAlignment w:val="center"/>
              <w:rPr>
                <w:rFonts w:ascii="Calibri" w:hAnsi="Calibri" w:eastAsia="华文细黑"/>
                <w:color w:val="000000"/>
                <w:sz w:val="20"/>
                <w:szCs w:val="22"/>
              </w:rPr>
            </w:pPr>
          </w:p>
        </w:tc>
        <w:tc>
          <w:tcPr>
            <w:tcW w:w="626" w:type="dxa"/>
            <w:vMerge w:val="continue"/>
            <w:noWrap w:val="0"/>
            <w:vAlign w:val="center"/>
          </w:tcPr>
          <w:p>
            <w:pPr>
              <w:autoSpaceDN w:val="0"/>
              <w:jc w:val="center"/>
              <w:textAlignment w:val="center"/>
              <w:rPr>
                <w:rFonts w:ascii="Calibri" w:hAnsi="Calibri" w:eastAsia="华文细黑"/>
                <w:color w:val="000000"/>
                <w:sz w:val="20"/>
                <w:szCs w:val="22"/>
              </w:rPr>
            </w:pPr>
          </w:p>
        </w:tc>
        <w:tc>
          <w:tcPr>
            <w:tcW w:w="1018" w:type="dxa"/>
            <w:gridSpan w:val="2"/>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068" w:type="dxa"/>
            <w:vMerge w:val="continue"/>
            <w:noWrap w:val="0"/>
            <w:vAlign w:val="center"/>
          </w:tcPr>
          <w:p>
            <w:pPr>
              <w:autoSpaceDN w:val="0"/>
              <w:jc w:val="center"/>
              <w:textAlignment w:val="center"/>
              <w:rPr>
                <w:rFonts w:ascii="Calibri" w:hAnsi="Calibri" w:eastAsia="华文细黑"/>
                <w:color w:val="000000"/>
                <w:sz w:val="20"/>
                <w:szCs w:val="22"/>
              </w:rPr>
            </w:pPr>
          </w:p>
        </w:tc>
        <w:tc>
          <w:tcPr>
            <w:tcW w:w="792" w:type="dxa"/>
            <w:vMerge w:val="continue"/>
            <w:noWrap w:val="0"/>
            <w:vAlign w:val="center"/>
          </w:tcPr>
          <w:p>
            <w:pPr>
              <w:autoSpaceDN w:val="0"/>
              <w:jc w:val="center"/>
              <w:textAlignment w:val="center"/>
              <w:rPr>
                <w:rFonts w:ascii="Calibri" w:hAnsi="Calibri" w:eastAsia="华文细黑"/>
                <w:color w:val="000000"/>
                <w:sz w:val="20"/>
                <w:szCs w:val="22"/>
              </w:rPr>
            </w:pPr>
          </w:p>
        </w:tc>
        <w:tc>
          <w:tcPr>
            <w:tcW w:w="804"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96"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84"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6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36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rPr>
            </w:pPr>
          </w:p>
        </w:tc>
        <w:tc>
          <w:tcPr>
            <w:tcW w:w="636"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84"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60"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04" w:type="dxa"/>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8" w:type="dxa"/>
            <w:noWrap w:val="0"/>
            <w:textDirection w:val="tbRlV"/>
            <w:vAlign w:val="center"/>
          </w:tcPr>
          <w:p>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专项业务支出</w:t>
            </w:r>
          </w:p>
        </w:tc>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1018" w:type="dxa"/>
            <w:gridSpan w:val="2"/>
            <w:noWrap w:val="0"/>
            <w:vAlign w:val="center"/>
          </w:tcPr>
          <w:p>
            <w:pPr>
              <w:jc w:val="left"/>
              <w:rPr>
                <w:rFonts w:hint="eastAsia" w:asciiTheme="minorEastAsia" w:hAnsiTheme="minorEastAsia" w:eastAsiaTheme="minorEastAsia" w:cstheme="minorEastAsia"/>
                <w:kern w:val="0"/>
                <w:sz w:val="20"/>
                <w:szCs w:val="20"/>
              </w:rPr>
            </w:pPr>
          </w:p>
        </w:tc>
        <w:tc>
          <w:tcPr>
            <w:tcW w:w="1068" w:type="dxa"/>
            <w:noWrap w:val="0"/>
            <w:vAlign w:val="center"/>
          </w:tcPr>
          <w:p>
            <w:pPr>
              <w:jc w:val="left"/>
              <w:rPr>
                <w:rFonts w:hint="eastAsia" w:asciiTheme="minorEastAsia" w:hAnsiTheme="minorEastAsia" w:eastAsiaTheme="minorEastAsia" w:cstheme="minorEastAsia"/>
                <w:kern w:val="0"/>
                <w:sz w:val="20"/>
                <w:szCs w:val="20"/>
              </w:rPr>
            </w:pP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136.92</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0.09</w:t>
            </w: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62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专项普查活动</w:t>
            </w:r>
          </w:p>
        </w:tc>
        <w:tc>
          <w:tcPr>
            <w:tcW w:w="1018" w:type="dxa"/>
            <w:gridSpan w:val="2"/>
            <w:noWrap w:val="0"/>
            <w:vAlign w:val="center"/>
          </w:tcPr>
          <w:p>
            <w:pPr>
              <w:jc w:val="left"/>
              <w:rPr>
                <w:rFonts w:hint="eastAsia" w:asciiTheme="minorEastAsia" w:hAnsiTheme="minorEastAsia" w:eastAsiaTheme="minorEastAsia" w:cstheme="minorEastAsia"/>
                <w:kern w:val="0"/>
                <w:sz w:val="20"/>
                <w:szCs w:val="20"/>
              </w:rPr>
            </w:pPr>
          </w:p>
        </w:tc>
        <w:tc>
          <w:tcPr>
            <w:tcW w:w="1068" w:type="dxa"/>
            <w:noWrap w:val="0"/>
            <w:vAlign w:val="center"/>
          </w:tcPr>
          <w:p>
            <w:pPr>
              <w:jc w:val="left"/>
              <w:rPr>
                <w:rFonts w:hint="eastAsia" w:asciiTheme="minorEastAsia" w:hAnsiTheme="minorEastAsia" w:eastAsiaTheme="minorEastAsia" w:cstheme="minorEastAsia"/>
                <w:kern w:val="0"/>
                <w:sz w:val="20"/>
                <w:szCs w:val="20"/>
              </w:rPr>
            </w:pP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jc w:val="right"/>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1018" w:type="dxa"/>
            <w:gridSpan w:val="2"/>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第五次全国经济普查经费</w:t>
            </w:r>
          </w:p>
        </w:tc>
        <w:tc>
          <w:tcPr>
            <w:tcW w:w="1068"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长春市统计局宽城区分局</w:t>
            </w: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116.42</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jc w:val="right"/>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62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专项统计业务</w:t>
            </w:r>
          </w:p>
        </w:tc>
        <w:tc>
          <w:tcPr>
            <w:tcW w:w="1018" w:type="dxa"/>
            <w:gridSpan w:val="2"/>
            <w:noWrap w:val="0"/>
            <w:vAlign w:val="center"/>
          </w:tcPr>
          <w:p>
            <w:pPr>
              <w:jc w:val="left"/>
              <w:rPr>
                <w:rFonts w:hint="eastAsia" w:asciiTheme="minorEastAsia" w:hAnsiTheme="minorEastAsia" w:eastAsiaTheme="minorEastAsia" w:cstheme="minorEastAsia"/>
                <w:kern w:val="0"/>
                <w:sz w:val="20"/>
                <w:szCs w:val="20"/>
              </w:rPr>
            </w:pPr>
          </w:p>
        </w:tc>
        <w:tc>
          <w:tcPr>
            <w:tcW w:w="1068" w:type="dxa"/>
            <w:noWrap w:val="0"/>
            <w:vAlign w:val="center"/>
          </w:tcPr>
          <w:p>
            <w:pPr>
              <w:jc w:val="left"/>
              <w:rPr>
                <w:rFonts w:hint="eastAsia" w:asciiTheme="minorEastAsia" w:hAnsiTheme="minorEastAsia" w:eastAsiaTheme="minorEastAsia" w:cstheme="minorEastAsia"/>
                <w:kern w:val="0"/>
                <w:sz w:val="20"/>
                <w:szCs w:val="20"/>
              </w:rPr>
            </w:pP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20.50</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0.09</w:t>
            </w: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626" w:type="dxa"/>
            <w:noWrap w:val="0"/>
            <w:vAlign w:val="center"/>
          </w:tcPr>
          <w:p>
            <w:pPr>
              <w:jc w:val="left"/>
              <w:rPr>
                <w:rFonts w:hint="eastAsia" w:asciiTheme="minorEastAsia" w:hAnsiTheme="minorEastAsia" w:eastAsiaTheme="minorEastAsia" w:cstheme="minorEastAsia"/>
                <w:kern w:val="0"/>
                <w:sz w:val="20"/>
                <w:szCs w:val="20"/>
              </w:rPr>
            </w:pPr>
          </w:p>
        </w:tc>
        <w:tc>
          <w:tcPr>
            <w:tcW w:w="1018" w:type="dxa"/>
            <w:gridSpan w:val="2"/>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统计调查经费</w:t>
            </w:r>
          </w:p>
        </w:tc>
        <w:tc>
          <w:tcPr>
            <w:tcW w:w="1068"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长春市统计局宽城区分局</w:t>
            </w: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20.59</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20.50</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0.09</w:t>
            </w: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26" w:type="dxa"/>
            <w:noWrap w:val="0"/>
            <w:vAlign w:val="center"/>
          </w:tcPr>
          <w:p>
            <w:pPr>
              <w:autoSpaceDN w:val="0"/>
              <w:jc w:val="center"/>
              <w:textAlignment w:val="center"/>
              <w:rPr>
                <w:rFonts w:ascii="Calibri" w:hAnsi="Calibri" w:eastAsia="华文细黑"/>
                <w:color w:val="000000"/>
                <w:sz w:val="20"/>
                <w:szCs w:val="22"/>
              </w:rPr>
            </w:pPr>
          </w:p>
        </w:tc>
        <w:tc>
          <w:tcPr>
            <w:tcW w:w="1018" w:type="dxa"/>
            <w:gridSpan w:val="2"/>
            <w:noWrap w:val="0"/>
            <w:vAlign w:val="center"/>
          </w:tcPr>
          <w:p>
            <w:pPr>
              <w:spacing w:line="700" w:lineRule="exact"/>
              <w:jc w:val="center"/>
              <w:rPr>
                <w:rFonts w:ascii="Calibri" w:hAnsi="Calibri" w:eastAsia="楷体"/>
                <w:kern w:val="0"/>
                <w:szCs w:val="32"/>
              </w:rPr>
            </w:pPr>
          </w:p>
        </w:tc>
        <w:tc>
          <w:tcPr>
            <w:tcW w:w="1068" w:type="dxa"/>
            <w:noWrap w:val="0"/>
            <w:vAlign w:val="center"/>
          </w:tcPr>
          <w:p>
            <w:pPr>
              <w:spacing w:line="700" w:lineRule="exact"/>
              <w:jc w:val="center"/>
              <w:rPr>
                <w:rFonts w:ascii="Calibri" w:hAnsi="Calibri" w:eastAsia="楷体"/>
                <w:kern w:val="0"/>
                <w:szCs w:val="32"/>
              </w:rPr>
            </w:pPr>
          </w:p>
        </w:tc>
        <w:tc>
          <w:tcPr>
            <w:tcW w:w="792"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137.01</w:t>
            </w:r>
          </w:p>
        </w:tc>
        <w:tc>
          <w:tcPr>
            <w:tcW w:w="804" w:type="dxa"/>
            <w:noWrap w:val="0"/>
            <w:vAlign w:val="center"/>
          </w:tcPr>
          <w:p>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136.92</w:t>
            </w:r>
          </w:p>
        </w:tc>
        <w:tc>
          <w:tcPr>
            <w:tcW w:w="396"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0.09</w:t>
            </w:r>
          </w:p>
        </w:tc>
        <w:tc>
          <w:tcPr>
            <w:tcW w:w="384" w:type="dxa"/>
            <w:noWrap w:val="0"/>
            <w:vAlign w:val="center"/>
          </w:tcPr>
          <w:p>
            <w:pPr>
              <w:spacing w:line="700" w:lineRule="exact"/>
              <w:jc w:val="center"/>
              <w:rPr>
                <w:rFonts w:ascii="Calibri" w:hAnsi="Calibri" w:eastAsia="楷体"/>
                <w:kern w:val="0"/>
                <w:szCs w:val="32"/>
              </w:rPr>
            </w:pPr>
          </w:p>
        </w:tc>
        <w:tc>
          <w:tcPr>
            <w:tcW w:w="360" w:type="dxa"/>
            <w:noWrap w:val="0"/>
            <w:vAlign w:val="center"/>
          </w:tcPr>
          <w:p>
            <w:pPr>
              <w:spacing w:line="700" w:lineRule="exact"/>
              <w:jc w:val="center"/>
              <w:rPr>
                <w:rFonts w:ascii="Calibri" w:hAnsi="Calibri" w:eastAsia="楷体"/>
                <w:kern w:val="0"/>
                <w:szCs w:val="32"/>
              </w:rPr>
            </w:pPr>
          </w:p>
        </w:tc>
        <w:tc>
          <w:tcPr>
            <w:tcW w:w="504" w:type="dxa"/>
            <w:noWrap w:val="0"/>
            <w:vAlign w:val="center"/>
          </w:tcPr>
          <w:p>
            <w:pPr>
              <w:spacing w:line="700" w:lineRule="exact"/>
              <w:jc w:val="center"/>
              <w:rPr>
                <w:rFonts w:ascii="Calibri" w:hAnsi="Calibri" w:eastAsia="楷体"/>
                <w:kern w:val="0"/>
                <w:szCs w:val="32"/>
              </w:rPr>
            </w:pPr>
          </w:p>
        </w:tc>
        <w:tc>
          <w:tcPr>
            <w:tcW w:w="358" w:type="dxa"/>
            <w:noWrap w:val="0"/>
            <w:vAlign w:val="center"/>
          </w:tcPr>
          <w:p>
            <w:pPr>
              <w:spacing w:line="700" w:lineRule="exact"/>
              <w:jc w:val="center"/>
              <w:rPr>
                <w:rFonts w:ascii="Calibri" w:hAnsi="Calibri" w:eastAsia="楷体"/>
                <w:kern w:val="0"/>
                <w:szCs w:val="32"/>
              </w:rPr>
            </w:pP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08"/>
        <w:gridCol w:w="960"/>
        <w:gridCol w:w="1980"/>
        <w:gridCol w:w="666"/>
        <w:gridCol w:w="726"/>
        <w:gridCol w:w="816"/>
        <w:gridCol w:w="1056"/>
        <w:gridCol w:w="936"/>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金总额（万元）</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长春市统计局宽城区分局</w:t>
            </w:r>
          </w:p>
        </w:tc>
        <w:tc>
          <w:tcPr>
            <w:tcW w:w="70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统计调查经费</w:t>
            </w:r>
          </w:p>
        </w:tc>
        <w:tc>
          <w:tcPr>
            <w:tcW w:w="96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20.50</w:t>
            </w:r>
          </w:p>
        </w:tc>
        <w:tc>
          <w:tcPr>
            <w:tcW w:w="19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完成2024年统计调查任务，做好宽城区经济运行监测，为社会公众需要和政府决策提供翔实统计数据。</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一是充分发挥统计部门“晴雨表”作用，根据定期统计报表数据上报情况，撰写月度统计专报，为党委、政府宏观决策提供参考依据；</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二是充分发挥统计部门“信息库”作用，做好数据审核汇总、管理、发布、提供及开发利用，完成月度、季度统计专业报表；</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三是推进统计系统人才培养，开展基层统计调查员培训，12月前完成1次统计综合业务培训；</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四是加强统计法治建设，9月份、12月份开展统计法治宣传，提高公众对统计工作认知度，12月前完成统计双随机执法检查，夯实企业统计数据质量；</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五是加强统计信息化建设，12月前完成统计专网系统及设备运行维护。</w:t>
            </w:r>
          </w:p>
        </w:tc>
        <w:tc>
          <w:tcPr>
            <w:tcW w:w="6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产出指标</w:t>
            </w:r>
          </w:p>
        </w:tc>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培训开展次数</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反映培训开展次数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&gt;=2次</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726" w:type="dxa"/>
            <w:vMerge w:val="continue"/>
            <w:tcBorders>
              <w:top w:val="single" w:color="000000" w:sz="4" w:space="0"/>
            </w:tcBorders>
            <w:noWrap w:val="0"/>
            <w:vAlign w:val="center"/>
          </w:tcPr>
          <w:p>
            <w:pPr>
              <w:jc w:val="center"/>
              <w:rPr>
                <w:rFonts w:hint="eastAsia" w:ascii="华文细黑" w:hAnsi="华文细黑" w:eastAsia="华文细黑" w:cs="华文细黑"/>
                <w:kern w:val="0"/>
                <w:sz w:val="16"/>
                <w:szCs w:val="16"/>
                <w:vertAlign w:val="baseline"/>
                <w:lang w:eastAsia="zh-CN"/>
              </w:rPr>
            </w:pPr>
          </w:p>
        </w:tc>
        <w:tc>
          <w:tcPr>
            <w:tcW w:w="816" w:type="dxa"/>
            <w:tcBorders>
              <w:top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双随机执法检查企业数</w:t>
            </w:r>
          </w:p>
        </w:tc>
        <w:tc>
          <w:tcPr>
            <w:tcW w:w="1056"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反映双随机执法检查企业数量情况</w:t>
            </w:r>
          </w:p>
        </w:tc>
        <w:tc>
          <w:tcPr>
            <w:tcW w:w="936"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&gt;=10户</w:t>
            </w:r>
          </w:p>
        </w:tc>
        <w:tc>
          <w:tcPr>
            <w:tcW w:w="477"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726" w:type="dxa"/>
            <w:vMerge w:val="continue"/>
            <w:noWrap w:val="0"/>
            <w:vAlign w:val="center"/>
          </w:tcPr>
          <w:p>
            <w:pPr>
              <w:jc w:val="center"/>
              <w:rPr>
                <w:rFonts w:hint="eastAsia" w:ascii="华文细黑" w:hAnsi="华文细黑" w:eastAsia="华文细黑" w:cs="华文细黑"/>
                <w:kern w:val="0"/>
                <w:sz w:val="16"/>
                <w:szCs w:val="16"/>
                <w:vertAlign w:val="baseline"/>
                <w:lang w:eastAsia="zh-CN"/>
              </w:rPr>
            </w:pP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统计专报篇数</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反映统计专报篇数情况</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&gt;=4篇</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noWrap w:val="0"/>
            <w:vAlign w:val="center"/>
          </w:tcPr>
          <w:p>
            <w:pPr>
              <w:jc w:val="center"/>
              <w:rPr>
                <w:rFonts w:hint="eastAsia" w:ascii="华文细黑" w:hAnsi="华文细黑" w:eastAsia="华文细黑" w:cs="华文细黑"/>
                <w:kern w:val="0"/>
                <w:sz w:val="16"/>
                <w:szCs w:val="16"/>
                <w:vertAlign w:val="baseline"/>
                <w:lang w:eastAsia="zh-CN"/>
              </w:rPr>
            </w:pPr>
          </w:p>
        </w:tc>
        <w:tc>
          <w:tcPr>
            <w:tcW w:w="726" w:type="dxa"/>
            <w:vMerge w:val="continue"/>
            <w:noWrap w:val="0"/>
            <w:vAlign w:val="center"/>
          </w:tcPr>
          <w:p>
            <w:pPr>
              <w:jc w:val="center"/>
              <w:rPr>
                <w:rFonts w:hint="eastAsia" w:ascii="华文细黑" w:hAnsi="华文细黑" w:eastAsia="华文细黑" w:cs="华文细黑"/>
                <w:kern w:val="0"/>
                <w:sz w:val="16"/>
                <w:szCs w:val="16"/>
                <w:vertAlign w:val="baseline"/>
                <w:lang w:eastAsia="zh-CN"/>
              </w:rPr>
            </w:pP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开展统计普法宣传</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在全区范围内开展统计普法宣传</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=2次</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noWrap w:val="0"/>
            <w:vAlign w:val="center"/>
          </w:tcPr>
          <w:p>
            <w:pPr>
              <w:jc w:val="center"/>
              <w:rPr>
                <w:rFonts w:hint="eastAsia" w:ascii="华文细黑" w:hAnsi="华文细黑" w:eastAsia="华文细黑" w:cs="华文细黑"/>
                <w:kern w:val="0"/>
                <w:sz w:val="16"/>
                <w:szCs w:val="16"/>
                <w:vertAlign w:val="baseline"/>
              </w:rPr>
            </w:pP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质量指标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调查单位审核通过率</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反映调查单位强制性审核通过率。</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=100%</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noWrap w:val="0"/>
            <w:vAlign w:val="center"/>
          </w:tcPr>
          <w:p>
            <w:pPr>
              <w:jc w:val="center"/>
              <w:rPr>
                <w:rFonts w:hint="eastAsia" w:ascii="华文细黑" w:hAnsi="华文细黑" w:eastAsia="华文细黑" w:cs="华文细黑"/>
                <w:kern w:val="0"/>
                <w:sz w:val="16"/>
                <w:szCs w:val="16"/>
                <w:vertAlign w:val="baseline"/>
              </w:rPr>
            </w:pP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系统运维及时率</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反映系统运维及时情况。</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12月31日 前完成</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效益指标</w:t>
            </w: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向社会公众提供统计公报篇数</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=1篇</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第五次全国经济普查经费</w:t>
            </w:r>
          </w:p>
        </w:tc>
        <w:tc>
          <w:tcPr>
            <w:tcW w:w="960"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116.42</w:t>
            </w:r>
          </w:p>
        </w:tc>
        <w:tc>
          <w:tcPr>
            <w:tcW w:w="1980" w:type="dxa"/>
            <w:vMerge w:val="restart"/>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color w:val="000000"/>
                <w:kern w:val="0"/>
                <w:sz w:val="16"/>
                <w:szCs w:val="16"/>
                <w:u w:val="none"/>
                <w:lang w:val="en-US" w:eastAsia="zh-CN" w:bidi="ar"/>
              </w:rPr>
              <w:t>全面、及时、准确地完成2024年宽城区第五次全国经济普查正式登记阶段工作任务，为社会公众需要和政府决策提供翔实统计数据。</w:t>
            </w:r>
          </w:p>
        </w:tc>
        <w:tc>
          <w:tcPr>
            <w:tcW w:w="666" w:type="dxa"/>
            <w:vMerge w:val="restart"/>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产出指标</w:t>
            </w: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数量指标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聘用普查人员数</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反映普查员人员数量。</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&gt;=800人</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vMerge w:val="continue"/>
            <w:noWrap w:val="0"/>
            <w:vAlign w:val="center"/>
          </w:tcPr>
          <w:p>
            <w:pPr>
              <w:jc w:val="center"/>
              <w:rPr>
                <w:rFonts w:hint="eastAsia" w:ascii="华文细黑" w:hAnsi="华文细黑" w:eastAsia="华文细黑" w:cs="华文细黑"/>
                <w:i w:val="0"/>
                <w:color w:val="000000"/>
                <w:kern w:val="0"/>
                <w:sz w:val="16"/>
                <w:szCs w:val="16"/>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时效指标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普查员、普查指导员补助发放及时率</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普查员、普查指导员补助发放及时情况</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6月30日前</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70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96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16"/>
                <w:szCs w:val="16"/>
                <w:vertAlign w:val="baseline"/>
              </w:rPr>
            </w:pPr>
          </w:p>
        </w:tc>
        <w:tc>
          <w:tcPr>
            <w:tcW w:w="66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效益指标</w:t>
            </w:r>
          </w:p>
        </w:tc>
        <w:tc>
          <w:tcPr>
            <w:tcW w:w="72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816"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完成经济普查技术工作总结</w:t>
            </w:r>
          </w:p>
        </w:tc>
        <w:tc>
          <w:tcPr>
            <w:tcW w:w="105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形成经济普查各阶段技术工作总结，便于指导今后工作。</w:t>
            </w:r>
          </w:p>
        </w:tc>
        <w:tc>
          <w:tcPr>
            <w:tcW w:w="936"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=1篇</w:t>
            </w:r>
          </w:p>
        </w:tc>
        <w:tc>
          <w:tcPr>
            <w:tcW w:w="477"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40</w:t>
            </w:r>
          </w:p>
        </w:tc>
      </w:tr>
    </w:tbl>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302.63</w:t>
      </w:r>
      <w:r>
        <w:rPr>
          <w:szCs w:val="32"/>
        </w:rPr>
        <w:t>万元</w:t>
      </w:r>
      <w:r>
        <w:rPr>
          <w:rFonts w:hint="eastAsia"/>
          <w:szCs w:val="32"/>
          <w:lang w:eastAsia="zh-CN"/>
        </w:rPr>
        <w:t>，其中：本年预算</w:t>
      </w:r>
      <w:r>
        <w:rPr>
          <w:rFonts w:hint="eastAsia"/>
          <w:szCs w:val="32"/>
        </w:rPr>
        <w:t>284.68</w:t>
      </w:r>
      <w:r>
        <w:rPr>
          <w:rFonts w:hint="eastAsia"/>
          <w:szCs w:val="32"/>
          <w:lang w:eastAsia="zh-CN"/>
        </w:rPr>
        <w:t>万元；上年结转</w:t>
      </w:r>
      <w:r>
        <w:rPr>
          <w:rFonts w:hint="eastAsia"/>
          <w:szCs w:val="32"/>
        </w:rPr>
        <w:t>17.9</w:t>
      </w:r>
      <w:r>
        <w:rPr>
          <w:rFonts w:hint="eastAsia"/>
          <w:szCs w:val="32"/>
          <w:lang w:val="en-US" w:eastAsia="zh-CN"/>
        </w:rPr>
        <w:t>5</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122.8</w:t>
      </w:r>
      <w:r>
        <w:rPr>
          <w:szCs w:val="32"/>
        </w:rPr>
        <w:t>万元，主要原因是</w:t>
      </w:r>
      <w:r>
        <w:rPr>
          <w:rFonts w:hint="eastAsia"/>
          <w:szCs w:val="32"/>
          <w:lang w:val="en-US" w:eastAsia="zh-CN"/>
        </w:rPr>
        <w:t>2024年增加第五次全国经济普查经费</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302.63</w:t>
      </w:r>
      <w:r>
        <w:rPr>
          <w:szCs w:val="32"/>
        </w:rPr>
        <w:t>万元，其中：本年收入</w:t>
      </w:r>
      <w:r>
        <w:rPr>
          <w:rFonts w:hint="eastAsia"/>
          <w:szCs w:val="32"/>
        </w:rPr>
        <w:t>284.68</w:t>
      </w:r>
      <w:r>
        <w:rPr>
          <w:szCs w:val="32"/>
        </w:rPr>
        <w:t>万元，占</w:t>
      </w:r>
      <w:r>
        <w:rPr>
          <w:rFonts w:hint="eastAsia"/>
          <w:szCs w:val="32"/>
          <w:lang w:val="en-US" w:eastAsia="zh-CN"/>
        </w:rPr>
        <w:t>94.07</w:t>
      </w:r>
      <w:r>
        <w:rPr>
          <w:szCs w:val="32"/>
        </w:rPr>
        <w:t>%；上年结转</w:t>
      </w:r>
      <w:r>
        <w:rPr>
          <w:rFonts w:hint="eastAsia"/>
          <w:szCs w:val="32"/>
          <w:lang w:eastAsia="zh-CN"/>
        </w:rPr>
        <w:t>结余</w:t>
      </w:r>
      <w:r>
        <w:rPr>
          <w:rFonts w:hint="eastAsia"/>
          <w:szCs w:val="32"/>
        </w:rPr>
        <w:t>17.9</w:t>
      </w:r>
      <w:r>
        <w:rPr>
          <w:rFonts w:hint="eastAsia"/>
          <w:szCs w:val="32"/>
          <w:lang w:val="en-US" w:eastAsia="zh-CN"/>
        </w:rPr>
        <w:t>5</w:t>
      </w:r>
      <w:r>
        <w:rPr>
          <w:szCs w:val="32"/>
        </w:rPr>
        <w:t>万元，占</w:t>
      </w:r>
      <w:r>
        <w:rPr>
          <w:rFonts w:hint="eastAsia"/>
          <w:szCs w:val="32"/>
          <w:lang w:val="en-US" w:eastAsia="zh-CN"/>
        </w:rPr>
        <w:t>5.93</w:t>
      </w:r>
      <w:r>
        <w:rPr>
          <w:szCs w:val="32"/>
        </w:rPr>
        <w:t>%。本年收入中，一般公共预算拨款收入</w:t>
      </w:r>
      <w:r>
        <w:rPr>
          <w:rFonts w:hint="eastAsia"/>
          <w:szCs w:val="32"/>
        </w:rPr>
        <w:t>284.68</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中，一般公共预算拨款结转17.9</w:t>
      </w:r>
      <w:r>
        <w:rPr>
          <w:rFonts w:hint="eastAsia"/>
          <w:szCs w:val="32"/>
          <w:lang w:val="en-US" w:eastAsia="zh-CN"/>
        </w:rPr>
        <w:t>5</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302.63</w:t>
      </w:r>
      <w:r>
        <w:rPr>
          <w:szCs w:val="32"/>
        </w:rPr>
        <w:t>万元，其中：基本支出</w:t>
      </w:r>
      <w:r>
        <w:rPr>
          <w:rFonts w:hint="eastAsia"/>
          <w:szCs w:val="32"/>
        </w:rPr>
        <w:t>165.6</w:t>
      </w:r>
      <w:r>
        <w:rPr>
          <w:rFonts w:hint="eastAsia"/>
          <w:szCs w:val="32"/>
          <w:lang w:val="en-US" w:eastAsia="zh-CN"/>
        </w:rPr>
        <w:t>2</w:t>
      </w:r>
      <w:r>
        <w:rPr>
          <w:szCs w:val="32"/>
        </w:rPr>
        <w:t>万元，占</w:t>
      </w:r>
      <w:r>
        <w:rPr>
          <w:rFonts w:hint="eastAsia"/>
          <w:szCs w:val="32"/>
          <w:lang w:val="en-US" w:eastAsia="zh-CN"/>
        </w:rPr>
        <w:t>54.73</w:t>
      </w:r>
      <w:r>
        <w:rPr>
          <w:szCs w:val="32"/>
        </w:rPr>
        <w:t>%；项目支出</w:t>
      </w:r>
      <w:r>
        <w:rPr>
          <w:rFonts w:hint="eastAsia"/>
          <w:szCs w:val="32"/>
        </w:rPr>
        <w:t>137.01</w:t>
      </w:r>
      <w:r>
        <w:rPr>
          <w:szCs w:val="32"/>
        </w:rPr>
        <w:t>万元，占</w:t>
      </w:r>
      <w:r>
        <w:rPr>
          <w:rFonts w:hint="eastAsia"/>
          <w:szCs w:val="32"/>
          <w:lang w:val="en-US" w:eastAsia="zh-CN"/>
        </w:rPr>
        <w:t>45.27</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302.63</w:t>
      </w:r>
      <w:r>
        <w:rPr>
          <w:szCs w:val="32"/>
        </w:rPr>
        <w:t>万元，其中：</w:t>
      </w:r>
      <w:r>
        <w:rPr>
          <w:rFonts w:hint="eastAsia"/>
          <w:szCs w:val="32"/>
        </w:rPr>
        <w:t>本年</w:t>
      </w:r>
      <w:r>
        <w:rPr>
          <w:rFonts w:hint="eastAsia"/>
          <w:szCs w:val="32"/>
          <w:lang w:eastAsia="zh-CN"/>
        </w:rPr>
        <w:t>预算</w:t>
      </w:r>
      <w:r>
        <w:rPr>
          <w:rFonts w:hint="eastAsia"/>
          <w:szCs w:val="32"/>
        </w:rPr>
        <w:t>284.68</w:t>
      </w:r>
      <w:r>
        <w:rPr>
          <w:szCs w:val="32"/>
        </w:rPr>
        <w:t>万元</w:t>
      </w:r>
      <w:r>
        <w:rPr>
          <w:rFonts w:hint="eastAsia"/>
          <w:szCs w:val="32"/>
        </w:rPr>
        <w:t>，上年结转17.9</w:t>
      </w:r>
      <w:r>
        <w:rPr>
          <w:rFonts w:hint="eastAsia"/>
          <w:szCs w:val="32"/>
          <w:lang w:val="en-US" w:eastAsia="zh-CN"/>
        </w:rPr>
        <w:t>5</w:t>
      </w:r>
      <w:r>
        <w:rPr>
          <w:szCs w:val="32"/>
        </w:rPr>
        <w:t>万元</w:t>
      </w:r>
      <w:r>
        <w:rPr>
          <w:rFonts w:hint="eastAsia"/>
          <w:szCs w:val="32"/>
        </w:rPr>
        <w:t>。</w:t>
      </w:r>
      <w:r>
        <w:rPr>
          <w:szCs w:val="32"/>
        </w:rPr>
        <w:t>支出包括：</w:t>
      </w:r>
      <w:r>
        <w:rPr>
          <w:kern w:val="0"/>
          <w:szCs w:val="32"/>
        </w:rPr>
        <w:t>一般公共服务支出</w:t>
      </w:r>
      <w:r>
        <w:rPr>
          <w:rFonts w:hint="eastAsia"/>
          <w:szCs w:val="32"/>
        </w:rPr>
        <w:t>256.19</w:t>
      </w:r>
      <w:r>
        <w:rPr>
          <w:szCs w:val="32"/>
        </w:rPr>
        <w:t>万元，</w:t>
      </w:r>
      <w:r>
        <w:rPr>
          <w:kern w:val="0"/>
          <w:szCs w:val="32"/>
        </w:rPr>
        <w:t>社会保障和就业支出</w:t>
      </w:r>
      <w:r>
        <w:rPr>
          <w:rFonts w:hint="eastAsia"/>
          <w:szCs w:val="32"/>
        </w:rPr>
        <w:t>24.78</w:t>
      </w:r>
      <w:r>
        <w:rPr>
          <w:szCs w:val="32"/>
        </w:rPr>
        <w:t>万元，</w:t>
      </w:r>
      <w:r>
        <w:rPr>
          <w:kern w:val="0"/>
          <w:szCs w:val="32"/>
        </w:rPr>
        <w:t>卫生</w:t>
      </w:r>
      <w:r>
        <w:rPr>
          <w:rFonts w:hint="eastAsia"/>
          <w:kern w:val="0"/>
          <w:szCs w:val="32"/>
        </w:rPr>
        <w:t>健康</w:t>
      </w:r>
      <w:r>
        <w:rPr>
          <w:kern w:val="0"/>
          <w:szCs w:val="32"/>
        </w:rPr>
        <w:t>支出</w:t>
      </w:r>
      <w:r>
        <w:rPr>
          <w:rFonts w:hint="eastAsia"/>
          <w:szCs w:val="32"/>
        </w:rPr>
        <w:t>9.9</w:t>
      </w:r>
      <w:r>
        <w:rPr>
          <w:rFonts w:hint="eastAsia"/>
          <w:szCs w:val="32"/>
          <w:lang w:val="en-US" w:eastAsia="zh-CN"/>
        </w:rPr>
        <w:t>4</w:t>
      </w:r>
      <w:r>
        <w:rPr>
          <w:szCs w:val="32"/>
        </w:rPr>
        <w:t>万元，</w:t>
      </w:r>
      <w:r>
        <w:rPr>
          <w:kern w:val="0"/>
          <w:szCs w:val="32"/>
        </w:rPr>
        <w:t>住房保障支出</w:t>
      </w:r>
      <w:r>
        <w:rPr>
          <w:rFonts w:hint="eastAsia"/>
          <w:szCs w:val="32"/>
        </w:rPr>
        <w:t>11.72</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302.63</w:t>
      </w:r>
      <w:r>
        <w:rPr>
          <w:szCs w:val="32"/>
        </w:rPr>
        <w:t>万元，其中：基本支出</w:t>
      </w:r>
      <w:r>
        <w:rPr>
          <w:rFonts w:hint="eastAsia"/>
          <w:szCs w:val="32"/>
        </w:rPr>
        <w:t>165.6</w:t>
      </w:r>
      <w:r>
        <w:rPr>
          <w:rFonts w:hint="eastAsia"/>
          <w:szCs w:val="32"/>
          <w:lang w:val="en-US" w:eastAsia="zh-CN"/>
        </w:rPr>
        <w:t>2</w:t>
      </w:r>
      <w:r>
        <w:rPr>
          <w:szCs w:val="32"/>
        </w:rPr>
        <w:t>万元，占</w:t>
      </w:r>
      <w:r>
        <w:rPr>
          <w:rFonts w:hint="eastAsia"/>
          <w:szCs w:val="32"/>
          <w:lang w:val="en-US" w:eastAsia="zh-CN"/>
        </w:rPr>
        <w:t>54.73</w:t>
      </w:r>
      <w:r>
        <w:rPr>
          <w:szCs w:val="32"/>
        </w:rPr>
        <w:t>%；项目支出</w:t>
      </w:r>
      <w:r>
        <w:rPr>
          <w:rFonts w:hint="eastAsia"/>
          <w:szCs w:val="32"/>
        </w:rPr>
        <w:t>137.01</w:t>
      </w:r>
      <w:r>
        <w:rPr>
          <w:szCs w:val="32"/>
        </w:rPr>
        <w:t>万元，占</w:t>
      </w:r>
      <w:r>
        <w:rPr>
          <w:rFonts w:hint="eastAsia"/>
          <w:szCs w:val="32"/>
          <w:lang w:val="en-US" w:eastAsia="zh-CN"/>
        </w:rPr>
        <w:t>45.27</w:t>
      </w:r>
      <w:r>
        <w:rPr>
          <w:szCs w:val="32"/>
        </w:rPr>
        <w:t>%。基本支出中，人员经费</w:t>
      </w:r>
      <w:r>
        <w:rPr>
          <w:rFonts w:hint="eastAsia"/>
          <w:szCs w:val="32"/>
        </w:rPr>
        <w:t>144.2</w:t>
      </w:r>
      <w:r>
        <w:rPr>
          <w:rFonts w:hint="eastAsia"/>
          <w:szCs w:val="32"/>
          <w:lang w:val="en-US" w:eastAsia="zh-CN"/>
        </w:rPr>
        <w:t>1</w:t>
      </w:r>
      <w:r>
        <w:rPr>
          <w:szCs w:val="32"/>
        </w:rPr>
        <w:t>万元，占</w:t>
      </w:r>
      <w:r>
        <w:rPr>
          <w:rFonts w:hint="eastAsia"/>
          <w:szCs w:val="32"/>
          <w:lang w:val="en-US" w:eastAsia="zh-CN"/>
        </w:rPr>
        <w:t>87.07</w:t>
      </w:r>
      <w:r>
        <w:rPr>
          <w:szCs w:val="32"/>
        </w:rPr>
        <w:t>%；公用经费</w:t>
      </w:r>
      <w:r>
        <w:rPr>
          <w:rFonts w:hint="eastAsia"/>
          <w:szCs w:val="32"/>
          <w:lang w:val="en-US" w:eastAsia="zh-CN"/>
        </w:rPr>
        <w:t>21.41</w:t>
      </w:r>
      <w:r>
        <w:rPr>
          <w:szCs w:val="32"/>
        </w:rPr>
        <w:t>万元，占</w:t>
      </w:r>
      <w:r>
        <w:rPr>
          <w:rFonts w:hint="eastAsia"/>
          <w:szCs w:val="32"/>
          <w:lang w:val="en-US" w:eastAsia="zh-CN"/>
        </w:rPr>
        <w:t>12.93</w:t>
      </w:r>
      <w:r>
        <w:rPr>
          <w:szCs w:val="32"/>
        </w:rPr>
        <w:t>%。</w:t>
      </w:r>
    </w:p>
    <w:p>
      <w:pPr>
        <w:spacing w:line="520" w:lineRule="exact"/>
        <w:ind w:firstLine="640" w:firstLineChars="200"/>
        <w:rPr>
          <w:szCs w:val="32"/>
        </w:rPr>
      </w:pPr>
      <w:r>
        <w:rPr>
          <w:szCs w:val="32"/>
        </w:rPr>
        <w:t>一般公共服务（类）支出</w:t>
      </w:r>
      <w:r>
        <w:rPr>
          <w:rFonts w:hint="eastAsia"/>
          <w:szCs w:val="32"/>
        </w:rPr>
        <w:t>256.19</w:t>
      </w:r>
      <w:r>
        <w:rPr>
          <w:szCs w:val="32"/>
        </w:rPr>
        <w:t>万元，占</w:t>
      </w:r>
      <w:r>
        <w:rPr>
          <w:rFonts w:hint="eastAsia"/>
          <w:szCs w:val="32"/>
          <w:lang w:val="en-US" w:eastAsia="zh-CN"/>
        </w:rPr>
        <w:t>84.65</w:t>
      </w:r>
      <w:r>
        <w:rPr>
          <w:szCs w:val="32"/>
        </w:rPr>
        <w:t>%，主要用于</w:t>
      </w:r>
      <w:r>
        <w:rPr>
          <w:rFonts w:hint="eastAsia"/>
          <w:szCs w:val="32"/>
        </w:rPr>
        <w:t>保障职工工资，维持机关正常运转，完成年度统计工作任务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rPr>
        <w:t>24.78</w:t>
      </w:r>
      <w:r>
        <w:rPr>
          <w:szCs w:val="32"/>
        </w:rPr>
        <w:t>万元，占</w:t>
      </w:r>
      <w:r>
        <w:rPr>
          <w:rFonts w:hint="eastAsia"/>
          <w:szCs w:val="32"/>
          <w:lang w:val="en-US" w:eastAsia="zh-CN"/>
        </w:rPr>
        <w:t>8.19</w:t>
      </w:r>
      <w:r>
        <w:rPr>
          <w:szCs w:val="32"/>
        </w:rPr>
        <w:t>%，主要用于</w:t>
      </w:r>
      <w:r>
        <w:rPr>
          <w:rFonts w:hint="eastAsia"/>
          <w:szCs w:val="32"/>
        </w:rPr>
        <w:t>保障离退休职工工资及机关事业单位基本养老保险缴费支出</w:t>
      </w:r>
      <w:r>
        <w:rPr>
          <w:szCs w:val="32"/>
        </w:rPr>
        <w:t>。</w:t>
      </w:r>
    </w:p>
    <w:p>
      <w:pPr>
        <w:spacing w:line="520" w:lineRule="exact"/>
        <w:ind w:firstLine="640" w:firstLineChars="200"/>
        <w:rPr>
          <w:szCs w:val="32"/>
        </w:rPr>
      </w:pPr>
      <w:r>
        <w:rPr>
          <w:rFonts w:hint="eastAsia"/>
          <w:szCs w:val="32"/>
          <w:lang w:eastAsia="zh-CN"/>
        </w:rPr>
        <w:t>卫生健康</w:t>
      </w:r>
      <w:r>
        <w:rPr>
          <w:szCs w:val="32"/>
        </w:rPr>
        <w:t>（类）支出</w:t>
      </w:r>
      <w:r>
        <w:rPr>
          <w:rFonts w:hint="eastAsia"/>
          <w:szCs w:val="32"/>
        </w:rPr>
        <w:t>9.9</w:t>
      </w:r>
      <w:r>
        <w:rPr>
          <w:rFonts w:hint="eastAsia"/>
          <w:szCs w:val="32"/>
          <w:lang w:val="en-US" w:eastAsia="zh-CN"/>
        </w:rPr>
        <w:t>4</w:t>
      </w:r>
      <w:r>
        <w:rPr>
          <w:szCs w:val="32"/>
        </w:rPr>
        <w:t>万元，占</w:t>
      </w:r>
      <w:r>
        <w:rPr>
          <w:rFonts w:hint="eastAsia"/>
          <w:szCs w:val="32"/>
          <w:lang w:val="en-US" w:eastAsia="zh-CN"/>
        </w:rPr>
        <w:t>3.29</w:t>
      </w:r>
      <w:r>
        <w:rPr>
          <w:szCs w:val="32"/>
        </w:rPr>
        <w:t>%，主要用于</w:t>
      </w:r>
      <w:r>
        <w:rPr>
          <w:rFonts w:hint="eastAsia"/>
          <w:szCs w:val="32"/>
          <w:lang w:eastAsia="zh-CN"/>
        </w:rPr>
        <w:t>缴纳职工医疗保险</w:t>
      </w:r>
      <w:r>
        <w:rPr>
          <w:szCs w:val="32"/>
        </w:rPr>
        <w:t>。</w:t>
      </w:r>
    </w:p>
    <w:p>
      <w:pPr>
        <w:spacing w:line="520" w:lineRule="exact"/>
        <w:ind w:firstLine="640" w:firstLineChars="200"/>
        <w:rPr>
          <w:rFonts w:hint="eastAsia"/>
          <w:szCs w:val="32"/>
        </w:rPr>
      </w:pPr>
      <w:r>
        <w:rPr>
          <w:szCs w:val="32"/>
        </w:rPr>
        <w:t>住房保障（类）支出</w:t>
      </w:r>
      <w:r>
        <w:rPr>
          <w:rFonts w:hint="eastAsia"/>
          <w:szCs w:val="32"/>
        </w:rPr>
        <w:t>11.72</w:t>
      </w:r>
      <w:r>
        <w:rPr>
          <w:szCs w:val="32"/>
        </w:rPr>
        <w:t>万元，占</w:t>
      </w:r>
      <w:r>
        <w:rPr>
          <w:rFonts w:hint="eastAsia"/>
          <w:szCs w:val="32"/>
          <w:lang w:val="en-US" w:eastAsia="zh-CN"/>
        </w:rPr>
        <w:t>3.87</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rPr>
        <w:t>165.6</w:t>
      </w:r>
      <w:r>
        <w:rPr>
          <w:rFonts w:hint="eastAsia"/>
          <w:szCs w:val="32"/>
          <w:lang w:val="en-US" w:eastAsia="zh-CN"/>
        </w:rPr>
        <w:t>2</w:t>
      </w:r>
      <w:r>
        <w:rPr>
          <w:szCs w:val="32"/>
        </w:rPr>
        <w:t>万元，其中：</w:t>
      </w:r>
    </w:p>
    <w:p>
      <w:pPr>
        <w:ind w:firstLine="640" w:firstLineChars="200"/>
        <w:rPr>
          <w:kern w:val="0"/>
          <w:szCs w:val="32"/>
        </w:rPr>
      </w:pPr>
      <w:r>
        <w:rPr>
          <w:szCs w:val="32"/>
        </w:rPr>
        <w:t>人员经费</w:t>
      </w:r>
      <w:r>
        <w:rPr>
          <w:rFonts w:hint="eastAsia"/>
          <w:szCs w:val="32"/>
        </w:rPr>
        <w:t>144.2</w:t>
      </w:r>
      <w:r>
        <w:rPr>
          <w:rFonts w:hint="eastAsia"/>
          <w:szCs w:val="32"/>
          <w:lang w:val="en-US" w:eastAsia="zh-CN"/>
        </w:rPr>
        <w:t>1</w:t>
      </w:r>
      <w:r>
        <w:rPr>
          <w:szCs w:val="32"/>
        </w:rPr>
        <w:t>万元，主要包括：</w:t>
      </w:r>
      <w:r>
        <w:rPr>
          <w:rFonts w:hint="eastAsia"/>
          <w:kern w:val="0"/>
          <w:szCs w:val="32"/>
        </w:rPr>
        <w:t>基本工资、津贴补贴、奖金、机关事业单位基本养老保险缴费、职工基本医疗保险缴费、公务员医疗补助缴费、其他社会保障缴费、住房公积金、医疗费、其他工资福利支出、退休费、其他对个人和家庭的补助。</w:t>
      </w:r>
    </w:p>
    <w:p>
      <w:pPr>
        <w:ind w:firstLine="640" w:firstLineChars="200"/>
        <w:rPr>
          <w:szCs w:val="32"/>
        </w:rPr>
      </w:pPr>
      <w:r>
        <w:rPr>
          <w:kern w:val="0"/>
          <w:szCs w:val="32"/>
        </w:rPr>
        <w:t>公用经费</w:t>
      </w:r>
      <w:r>
        <w:rPr>
          <w:rFonts w:hint="eastAsia"/>
          <w:szCs w:val="32"/>
          <w:lang w:val="en-US" w:eastAsia="zh-CN"/>
        </w:rPr>
        <w:t>21.41</w:t>
      </w:r>
      <w:r>
        <w:rPr>
          <w:szCs w:val="32"/>
        </w:rPr>
        <w:t>万元，主要包括：</w:t>
      </w:r>
      <w:r>
        <w:rPr>
          <w:rFonts w:hint="eastAsia"/>
          <w:kern w:val="0"/>
          <w:szCs w:val="32"/>
        </w:rPr>
        <w:t>办公费、</w:t>
      </w:r>
      <w:r>
        <w:rPr>
          <w:rFonts w:hint="eastAsia"/>
          <w:kern w:val="0"/>
          <w:szCs w:val="32"/>
          <w:lang w:val="en-US" w:eastAsia="zh-CN"/>
        </w:rPr>
        <w:t>咨询费、</w:t>
      </w:r>
      <w:r>
        <w:rPr>
          <w:rFonts w:hint="eastAsia"/>
          <w:kern w:val="0"/>
          <w:szCs w:val="32"/>
        </w:rPr>
        <w:t>手续费、邮电费</w:t>
      </w:r>
      <w:r>
        <w:rPr>
          <w:rFonts w:hint="eastAsia"/>
          <w:kern w:val="0"/>
          <w:szCs w:val="32"/>
          <w:lang w:eastAsia="zh-CN"/>
        </w:rPr>
        <w:t>、</w:t>
      </w:r>
      <w:r>
        <w:rPr>
          <w:rFonts w:hint="eastAsia"/>
          <w:kern w:val="0"/>
          <w:szCs w:val="32"/>
        </w:rPr>
        <w:t>维修（护）费</w:t>
      </w:r>
      <w:r>
        <w:rPr>
          <w:rFonts w:hint="eastAsia"/>
          <w:kern w:val="0"/>
          <w:szCs w:val="32"/>
          <w:lang w:eastAsia="zh-CN"/>
        </w:rPr>
        <w:t>、</w:t>
      </w:r>
      <w:r>
        <w:rPr>
          <w:rFonts w:hint="eastAsia"/>
          <w:kern w:val="0"/>
          <w:szCs w:val="32"/>
        </w:rPr>
        <w:t>工会经费、福利费、其他交通补助、其他商品和服务支出、办公设备购置。</w:t>
      </w:r>
    </w:p>
    <w:p>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jc w:val="both"/>
        <w:rPr>
          <w:rFonts w:eastAsia="楷体"/>
          <w:szCs w:val="32"/>
        </w:rPr>
      </w:pPr>
      <w:r>
        <w:rPr>
          <w:rFonts w:hint="eastAsia"/>
          <w:szCs w:val="32"/>
        </w:rPr>
        <w:t>本单位无一般公共预算拨款。</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pPr>
        <w:ind w:firstLine="640" w:firstLineChars="200"/>
        <w:rPr>
          <w:rFonts w:eastAsia="楷体"/>
          <w:szCs w:val="32"/>
        </w:rPr>
      </w:pPr>
      <w:r>
        <w:rPr>
          <w:rFonts w:hint="eastAsia"/>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pPr>
        <w:ind w:firstLine="640"/>
        <w:rPr>
          <w:rFonts w:eastAsia="楷体"/>
          <w:szCs w:val="32"/>
        </w:rPr>
      </w:pPr>
      <w:r>
        <w:rPr>
          <w:rFonts w:hint="eastAsia"/>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本单位</w:t>
      </w:r>
      <w:r>
        <w:rPr>
          <w:szCs w:val="32"/>
        </w:rPr>
        <w:t>机关运行经费财政拨款预算</w:t>
      </w:r>
      <w:r>
        <w:rPr>
          <w:rFonts w:hint="eastAsia"/>
          <w:szCs w:val="32"/>
          <w:lang w:val="en-US" w:eastAsia="zh-CN"/>
        </w:rPr>
        <w:t>21.41</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1.68</w:t>
      </w:r>
      <w:r>
        <w:rPr>
          <w:szCs w:val="32"/>
        </w:rPr>
        <w:t>万元，下</w:t>
      </w:r>
      <w:bookmarkStart w:id="0" w:name="_GoBack"/>
      <w:bookmarkEnd w:id="0"/>
      <w:r>
        <w:rPr>
          <w:szCs w:val="32"/>
        </w:rPr>
        <w:t>降</w:t>
      </w:r>
      <w:r>
        <w:rPr>
          <w:rFonts w:hint="eastAsia"/>
          <w:szCs w:val="32"/>
          <w:lang w:val="en-US" w:eastAsia="zh-CN"/>
        </w:rPr>
        <w:t>7.28</w:t>
      </w:r>
      <w:r>
        <w:rPr>
          <w:szCs w:val="32"/>
        </w:rPr>
        <w:t>%</w:t>
      </w:r>
      <w:r>
        <w:rPr>
          <w:rFonts w:hint="eastAsia"/>
          <w:szCs w:val="32"/>
        </w:rPr>
        <w:t>，主要原因是</w:t>
      </w:r>
      <w:r>
        <w:rPr>
          <w:rFonts w:hint="eastAsia"/>
          <w:szCs w:val="32"/>
          <w:lang w:val="en-US" w:eastAsia="zh-CN"/>
        </w:rPr>
        <w:t>落实“过紧日子”要求，本单位厉行节约，机关运行经费较上年度有所减少</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szCs w:val="32"/>
        </w:rPr>
      </w:pPr>
      <w:r>
        <w:rPr>
          <w:rFonts w:hint="eastAsia"/>
          <w:szCs w:val="32"/>
        </w:rPr>
        <w:t>本单位无政府采购预算。</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default" w:eastAsia="仿宋_GB2312"/>
          <w:szCs w:val="32"/>
          <w:lang w:val="en-US" w:eastAsia="zh-CN"/>
        </w:rPr>
      </w:pPr>
      <w:r>
        <w:rPr>
          <w:rFonts w:hint="eastAsia"/>
          <w:szCs w:val="32"/>
          <w:lang w:val="en-US" w:eastAsia="zh-CN"/>
        </w:rPr>
        <w:t>本单位无国有资产占有使用情况。</w:t>
      </w:r>
    </w:p>
    <w:p>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4</w:t>
      </w:r>
      <w:r>
        <w:t>年</w:t>
      </w:r>
      <w:r>
        <w:rPr>
          <w:rFonts w:hint="eastAsia"/>
          <w:lang w:val="en-US" w:eastAsia="zh-CN"/>
        </w:rPr>
        <w:t>本单位</w:t>
      </w:r>
      <w:r>
        <w:t>项目支出</w:t>
      </w:r>
      <w:r>
        <w:rPr>
          <w:rFonts w:hint="eastAsia"/>
          <w:szCs w:val="32"/>
          <w:lang w:val="en-US" w:eastAsia="zh-CN"/>
        </w:rPr>
        <w:t>137.01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136.92</w:t>
      </w:r>
      <w:r>
        <w:rPr>
          <w:szCs w:val="32"/>
        </w:rPr>
        <w:t>万元，</w:t>
      </w:r>
      <w:r>
        <w:rPr>
          <w:rFonts w:hint="eastAsia"/>
          <w:szCs w:val="32"/>
        </w:rPr>
        <w:t>财政拨款结转</w:t>
      </w:r>
      <w:r>
        <w:rPr>
          <w:rFonts w:hint="eastAsia"/>
          <w:szCs w:val="32"/>
          <w:lang w:val="en-US" w:eastAsia="zh-CN"/>
        </w:rPr>
        <w:t>0.09</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136.92</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- 0 -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- 0 -</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239C6"/>
    <w:multiLevelType w:val="singleLevel"/>
    <w:tmpl w:val="E9F239C6"/>
    <w:lvl w:ilvl="0" w:tentative="0">
      <w:start w:val="1"/>
      <w:numFmt w:val="decimal"/>
      <w:suff w:val="nothing"/>
      <w:lvlText w:val="%1、"/>
      <w:lvlJc w:val="left"/>
      <w:pPr>
        <w:ind w:left="420" w:leftChars="0" w:firstLine="0" w:firstLineChars="0"/>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375B4"/>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284F65"/>
    <w:rsid w:val="05310B72"/>
    <w:rsid w:val="05513E94"/>
    <w:rsid w:val="056F5A6D"/>
    <w:rsid w:val="059B3770"/>
    <w:rsid w:val="063949A0"/>
    <w:rsid w:val="06BD5BC7"/>
    <w:rsid w:val="06F008FF"/>
    <w:rsid w:val="079E5032"/>
    <w:rsid w:val="09015F14"/>
    <w:rsid w:val="091C5C63"/>
    <w:rsid w:val="09421190"/>
    <w:rsid w:val="09A0082A"/>
    <w:rsid w:val="0A00435B"/>
    <w:rsid w:val="0A0E6647"/>
    <w:rsid w:val="0AAA1697"/>
    <w:rsid w:val="0ABA06FE"/>
    <w:rsid w:val="0B49202F"/>
    <w:rsid w:val="0B5F5ADA"/>
    <w:rsid w:val="0C2A5C84"/>
    <w:rsid w:val="0C4F64D9"/>
    <w:rsid w:val="0C583939"/>
    <w:rsid w:val="0C6D1BAE"/>
    <w:rsid w:val="0D2A2435"/>
    <w:rsid w:val="0D5D4A52"/>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2D247F"/>
    <w:rsid w:val="206816AC"/>
    <w:rsid w:val="20BF1EE0"/>
    <w:rsid w:val="21134335"/>
    <w:rsid w:val="223606E3"/>
    <w:rsid w:val="226E581D"/>
    <w:rsid w:val="22A4003E"/>
    <w:rsid w:val="23135C25"/>
    <w:rsid w:val="23EC61F6"/>
    <w:rsid w:val="244C543C"/>
    <w:rsid w:val="24624768"/>
    <w:rsid w:val="259B5BC5"/>
    <w:rsid w:val="25EF6C98"/>
    <w:rsid w:val="25F62C4E"/>
    <w:rsid w:val="26643D6C"/>
    <w:rsid w:val="26FE109D"/>
    <w:rsid w:val="27073E1E"/>
    <w:rsid w:val="27B04AB3"/>
    <w:rsid w:val="282C3BA1"/>
    <w:rsid w:val="28A63332"/>
    <w:rsid w:val="28C96E8E"/>
    <w:rsid w:val="29C45F24"/>
    <w:rsid w:val="2D4D4522"/>
    <w:rsid w:val="2D9038E4"/>
    <w:rsid w:val="2DF8796C"/>
    <w:rsid w:val="2EB22F18"/>
    <w:rsid w:val="2EE12108"/>
    <w:rsid w:val="2EED35E3"/>
    <w:rsid w:val="2F0B5068"/>
    <w:rsid w:val="2F250383"/>
    <w:rsid w:val="2F63610B"/>
    <w:rsid w:val="2FBC646B"/>
    <w:rsid w:val="300965A3"/>
    <w:rsid w:val="303A5CAE"/>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651477"/>
    <w:rsid w:val="59D514A6"/>
    <w:rsid w:val="59EC6E09"/>
    <w:rsid w:val="5AB343F7"/>
    <w:rsid w:val="5ABF50F2"/>
    <w:rsid w:val="5AF25D13"/>
    <w:rsid w:val="5AF76904"/>
    <w:rsid w:val="5B052E7A"/>
    <w:rsid w:val="5B3D7F7E"/>
    <w:rsid w:val="5B7C7777"/>
    <w:rsid w:val="5BEC6771"/>
    <w:rsid w:val="5CA506B9"/>
    <w:rsid w:val="5CF74CE4"/>
    <w:rsid w:val="5D5A7C63"/>
    <w:rsid w:val="5DC758C2"/>
    <w:rsid w:val="5E256F6F"/>
    <w:rsid w:val="5F6235A9"/>
    <w:rsid w:val="5F7C1F16"/>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0841A3"/>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2487B"/>
    <w:rsid w:val="798D552B"/>
    <w:rsid w:val="7A090695"/>
    <w:rsid w:val="7A1D5951"/>
    <w:rsid w:val="7AE175F4"/>
    <w:rsid w:val="7B417685"/>
    <w:rsid w:val="7B5220F0"/>
    <w:rsid w:val="7BA169C0"/>
    <w:rsid w:val="7BC55243"/>
    <w:rsid w:val="7C2F4A9A"/>
    <w:rsid w:val="7CAD595B"/>
    <w:rsid w:val="7CF65D07"/>
    <w:rsid w:val="7D2975D1"/>
    <w:rsid w:val="7D2F3083"/>
    <w:rsid w:val="7D317880"/>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uiPriority w:val="0"/>
    <w:rPr>
      <w:sz w:val="18"/>
      <w:szCs w:val="18"/>
    </w:rPr>
  </w:style>
  <w:style w:type="paragraph" w:styleId="6">
    <w:name w:val="footer"/>
    <w:basedOn w:val="1"/>
    <w:link w:val="16"/>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33</Pages>
  <Words>1513</Words>
  <Characters>8625</Characters>
  <Lines>71</Lines>
  <Paragraphs>20</Paragraphs>
  <TotalTime>2</TotalTime>
  <ScaleCrop>false</ScaleCrop>
  <LinksUpToDate>false</LinksUpToDate>
  <CharactersWithSpaces>10118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DELL</cp:lastModifiedBy>
  <cp:lastPrinted>2024-02-26T02:54:00Z</cp:lastPrinted>
  <dcterms:modified xsi:type="dcterms:W3CDTF">2026-03-10T02:34:19Z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2778DE0D3D1747E5A61F757C22D63E49_13</vt:lpwstr>
  </property>
</Properties>
</file>