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default" w:ascii="Times New Roman" w:hAnsi="Times New Roman" w:eastAsia="宋体" w:cs="Times New Roman"/>
          <w:color w:val="auto"/>
        </w:rPr>
      </w:pPr>
    </w:p>
    <w:p>
      <w:pPr>
        <w:spacing w:line="700" w:lineRule="exact"/>
        <w:rPr>
          <w:rFonts w:hint="default" w:ascii="Times New Roman" w:hAnsi="Times New Roman" w:eastAsia="黑体" w:cs="Times New Roman"/>
          <w:color w:val="auto"/>
        </w:rPr>
      </w:pPr>
    </w:p>
    <w:p>
      <w:pPr>
        <w:spacing w:line="700" w:lineRule="exact"/>
        <w:rPr>
          <w:rFonts w:hint="default" w:ascii="Times New Roman" w:hAnsi="Times New Roman" w:eastAsia="黑体" w:cs="Times New Roman"/>
          <w:color w:val="auto"/>
        </w:rPr>
      </w:pPr>
    </w:p>
    <w:p>
      <w:pPr>
        <w:spacing w:line="700" w:lineRule="exact"/>
        <w:rPr>
          <w:rFonts w:hint="default" w:ascii="Times New Roman" w:hAnsi="Times New Roman" w:eastAsia="黑体" w:cs="Times New Roman"/>
          <w:color w:val="auto"/>
        </w:rPr>
      </w:pPr>
    </w:p>
    <w:p>
      <w:pPr>
        <w:spacing w:line="700" w:lineRule="exact"/>
        <w:rPr>
          <w:rFonts w:hint="default" w:ascii="Times New Roman" w:hAnsi="Times New Roman" w:eastAsia="黑体" w:cs="Times New Roman"/>
          <w:color w:val="auto"/>
        </w:rPr>
      </w:pPr>
    </w:p>
    <w:p>
      <w:pPr>
        <w:jc w:val="center"/>
        <w:rPr>
          <w:rFonts w:hint="eastAsia" w:eastAsia="方正小标宋简体"/>
          <w:color w:val="auto"/>
          <w:sz w:val="44"/>
          <w:szCs w:val="44"/>
          <w:u w:val="none"/>
          <w:lang w:val="en-US" w:eastAsia="zh-CN"/>
        </w:rPr>
      </w:pPr>
      <w:r>
        <w:rPr>
          <w:rFonts w:hint="eastAsia" w:eastAsia="方正小标宋简体"/>
          <w:color w:val="auto"/>
          <w:sz w:val="44"/>
          <w:szCs w:val="44"/>
          <w:u w:val="none"/>
          <w:lang w:val="en-US" w:eastAsia="zh-CN"/>
        </w:rPr>
        <w:t>伊通满族自治县农村社会经济调查队</w:t>
      </w:r>
    </w:p>
    <w:p>
      <w:pPr>
        <w:jc w:val="center"/>
        <w:rPr>
          <w:rFonts w:hint="default" w:ascii="Times New Roman" w:hAnsi="Times New Roman" w:eastAsia="方正小标宋简体" w:cs="Times New Roman"/>
          <w:color w:val="auto"/>
          <w:sz w:val="44"/>
          <w:szCs w:val="44"/>
          <w:u w:val="none"/>
        </w:rPr>
      </w:pPr>
      <w:r>
        <w:rPr>
          <w:rFonts w:hint="eastAsia" w:ascii="方正小标宋简体" w:hAnsi="方正小标宋简体" w:eastAsia="方正小标宋简体" w:cs="方正小标宋简体"/>
          <w:color w:val="auto"/>
          <w:sz w:val="44"/>
          <w:szCs w:val="44"/>
          <w:u w:val="none"/>
        </w:rPr>
        <w:t>202</w:t>
      </w:r>
      <w:r>
        <w:rPr>
          <w:rFonts w:hint="eastAsia" w:ascii="方正小标宋简体" w:hAnsi="方正小标宋简体" w:eastAsia="方正小标宋简体" w:cs="方正小标宋简体"/>
          <w:color w:val="auto"/>
          <w:sz w:val="44"/>
          <w:szCs w:val="44"/>
          <w:u w:val="none"/>
          <w:lang w:val="en-US" w:eastAsia="zh-CN"/>
        </w:rPr>
        <w:t>5</w:t>
      </w:r>
      <w:r>
        <w:rPr>
          <w:rFonts w:hint="default" w:ascii="Times New Roman" w:hAnsi="Times New Roman" w:eastAsia="方正小标宋简体" w:cs="Times New Roman"/>
          <w:color w:val="auto"/>
          <w:sz w:val="44"/>
          <w:szCs w:val="44"/>
          <w:u w:val="none"/>
        </w:rPr>
        <w:t>年</w:t>
      </w:r>
      <w:r>
        <w:rPr>
          <w:rFonts w:hint="default" w:ascii="Times New Roman" w:hAnsi="Times New Roman" w:eastAsia="方正小标宋简体" w:cs="Times New Roman"/>
          <w:color w:val="auto"/>
          <w:sz w:val="44"/>
          <w:szCs w:val="44"/>
          <w:u w:val="none"/>
          <w:lang w:val="en-US" w:eastAsia="zh-CN"/>
        </w:rPr>
        <w:t>单位</w:t>
      </w:r>
      <w:r>
        <w:rPr>
          <w:rFonts w:hint="default" w:ascii="Times New Roman" w:hAnsi="Times New Roman" w:eastAsia="方正小标宋简体" w:cs="Times New Roman"/>
          <w:color w:val="auto"/>
          <w:sz w:val="44"/>
          <w:szCs w:val="44"/>
          <w:u w:val="none"/>
        </w:rPr>
        <w:t>预算</w:t>
      </w:r>
    </w:p>
    <w:p>
      <w:pPr>
        <w:jc w:val="left"/>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p>
    <w:p>
      <w:pPr>
        <w:jc w:val="left"/>
        <w:rPr>
          <w:rFonts w:hint="default" w:ascii="Times New Roman" w:hAnsi="Times New Roman" w:cs="Times New Roman"/>
          <w:color w:val="auto"/>
        </w:rPr>
      </w:pPr>
    </w:p>
    <w:p>
      <w:pPr>
        <w:jc w:val="left"/>
        <w:rPr>
          <w:rFonts w:hint="default" w:ascii="Times New Roman" w:hAnsi="Times New Roman" w:cs="Times New Roman"/>
          <w:color w:val="auto"/>
        </w:rPr>
      </w:pPr>
    </w:p>
    <w:p>
      <w:pPr>
        <w:jc w:val="left"/>
        <w:rPr>
          <w:rFonts w:hint="default" w:ascii="Times New Roman" w:hAnsi="Times New Roman" w:cs="Times New Roman"/>
          <w:color w:val="auto"/>
        </w:rPr>
      </w:pPr>
    </w:p>
    <w:p>
      <w:pPr>
        <w:jc w:val="left"/>
        <w:rPr>
          <w:rFonts w:hint="default" w:ascii="Times New Roman" w:hAnsi="Times New Roman" w:cs="Times New Roman"/>
          <w:color w:val="auto"/>
        </w:rPr>
      </w:pPr>
    </w:p>
    <w:p>
      <w:pPr>
        <w:jc w:val="left"/>
        <w:rPr>
          <w:rFonts w:hint="default" w:ascii="Times New Roman" w:hAnsi="Times New Roman" w:cs="Times New Roman"/>
          <w:color w:val="auto"/>
        </w:rPr>
      </w:pP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p>
    <w:p>
      <w:pPr>
        <w:jc w:val="left"/>
        <w:rPr>
          <w:rFonts w:hint="default" w:ascii="Times New Roman" w:hAnsi="Times New Roman" w:cs="Times New Roman"/>
          <w:color w:val="auto"/>
        </w:rPr>
      </w:pPr>
    </w:p>
    <w:p>
      <w:pPr>
        <w:jc w:val="left"/>
        <w:rPr>
          <w:rFonts w:hint="default" w:ascii="Times New Roman" w:hAnsi="Times New Roman" w:cs="Times New Roman"/>
          <w:color w:val="auto"/>
        </w:rPr>
      </w:pPr>
    </w:p>
    <w:p>
      <w:pPr>
        <w:jc w:val="left"/>
        <w:rPr>
          <w:rFonts w:hint="default" w:ascii="Times New Roman" w:hAnsi="Times New Roman" w:cs="Times New Roman"/>
          <w:color w:val="auto"/>
        </w:rPr>
      </w:pPr>
    </w:p>
    <w:p>
      <w:pPr>
        <w:jc w:val="center"/>
        <w:rPr>
          <w:rFonts w:hint="default" w:eastAsia="华文细黑"/>
        </w:rPr>
      </w:pPr>
      <w:r>
        <w:rPr>
          <w:rFonts w:hint="default" w:eastAsia="华文细黑"/>
        </w:rPr>
        <w:t>二〇二</w:t>
      </w:r>
      <w:r>
        <w:rPr>
          <w:rFonts w:hint="default" w:eastAsia="华文细黑"/>
          <w:lang w:eastAsia="zh-CN"/>
        </w:rPr>
        <w:t>五</w:t>
      </w:r>
      <w:r>
        <w:rPr>
          <w:rFonts w:hint="default" w:eastAsia="华文细黑"/>
        </w:rPr>
        <w:t>年</w:t>
      </w:r>
      <w:r>
        <w:rPr>
          <w:rFonts w:hint="default" w:eastAsia="华文细黑"/>
          <w:lang w:val="en-US" w:eastAsia="zh-CN"/>
        </w:rPr>
        <w:t>二</w:t>
      </w:r>
      <w:r>
        <w:rPr>
          <w:rFonts w:hint="default" w:eastAsia="华文细黑"/>
        </w:rPr>
        <w:t>月</w:t>
      </w:r>
      <w:r>
        <w:rPr>
          <w:rFonts w:hint="default" w:eastAsia="华文细黑"/>
          <w:lang w:val="en-US" w:eastAsia="zh-CN"/>
        </w:rPr>
        <w:t>二十一</w:t>
      </w:r>
      <w:r>
        <w:rPr>
          <w:rFonts w:hint="default" w:eastAsia="华文细黑"/>
        </w:rPr>
        <w:t>日</w:t>
      </w:r>
    </w:p>
    <w:p>
      <w:pPr>
        <w:rPr>
          <w:rFonts w:hint="default" w:ascii="Times New Roman" w:hAnsi="Times New Roman" w:eastAsia="黑体" w:cs="Times New Roman"/>
          <w:color w:val="auto"/>
        </w:rPr>
      </w:pPr>
    </w:p>
    <w:p>
      <w:pPr>
        <w:ind w:firstLine="640" w:firstLineChars="200"/>
        <w:rPr>
          <w:rFonts w:hint="default" w:ascii="Times New Roman" w:hAnsi="Times New Roman" w:eastAsia="黑体" w:cs="Times New Roman"/>
          <w:color w:val="auto"/>
        </w:rPr>
      </w:pPr>
    </w:p>
    <w:p>
      <w:pPr>
        <w:ind w:firstLine="640" w:firstLineChars="200"/>
        <w:rPr>
          <w:rFonts w:hint="default" w:ascii="Times New Roman" w:hAnsi="Times New Roman" w:eastAsia="黑体" w:cs="Times New Roman"/>
          <w:color w:val="auto"/>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hint="default" w:ascii="Times New Roman" w:hAnsi="Times New Roman" w:eastAsia="黑体" w:cs="Times New Roman"/>
          <w:color w:val="auto"/>
        </w:rPr>
      </w:pP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rPr>
          <w:rFonts w:hint="default" w:ascii="Times New Roman" w:hAnsi="Times New Roman" w:eastAsia="黑体" w:cs="Times New Roman"/>
          <w:color w:val="auto"/>
        </w:rPr>
      </w:pPr>
    </w:p>
    <w:p>
      <w:pPr>
        <w:rPr>
          <w:rFonts w:hint="default" w:ascii="Times New Roman" w:hAnsi="Times New Roman" w:eastAsia="黑体" w:cs="Times New Roman"/>
          <w:color w:val="auto"/>
        </w:rPr>
      </w:pPr>
      <w:r>
        <w:rPr>
          <w:rFonts w:hint="default" w:ascii="Times New Roman" w:hAnsi="Times New Roman" w:eastAsia="黑体" w:cs="Times New Roman"/>
          <w:color w:val="auto"/>
        </w:rPr>
        <w:t xml:space="preserve">第一部分  </w:t>
      </w:r>
      <w:r>
        <w:rPr>
          <w:rFonts w:hint="default" w:ascii="Times New Roman" w:hAnsi="Times New Roman" w:eastAsia="黑体" w:cs="Times New Roman"/>
          <w:color w:val="auto"/>
          <w:lang w:val="en-US" w:eastAsia="zh-CN"/>
        </w:rPr>
        <w:t>单位</w:t>
      </w:r>
      <w:r>
        <w:rPr>
          <w:rFonts w:hint="default" w:ascii="Times New Roman" w:hAnsi="Times New Roman" w:eastAsia="黑体" w:cs="Times New Roman"/>
          <w:color w:val="auto"/>
        </w:rPr>
        <w:t>概况</w:t>
      </w:r>
      <w:r>
        <w:rPr>
          <w:rFonts w:hint="default" w:ascii="Times New Roman" w:hAnsi="Times New Roman" w:eastAsia="黑体" w:cs="Times New Roman"/>
          <w:color w:val="auto"/>
        </w:rPr>
        <w:tab/>
      </w:r>
      <w:r>
        <w:rPr>
          <w:rFonts w:hint="default" w:ascii="Times New Roman" w:hAnsi="Times New Roman" w:eastAsia="黑体" w:cs="Times New Roman"/>
          <w:color w:val="auto"/>
        </w:rPr>
        <w:tab/>
      </w:r>
      <w:r>
        <w:rPr>
          <w:rFonts w:hint="default" w:ascii="Times New Roman" w:hAnsi="Times New Roman" w:eastAsia="黑体" w:cs="Times New Roman"/>
          <w:color w:val="auto"/>
        </w:rPr>
        <w:tab/>
      </w:r>
      <w:r>
        <w:rPr>
          <w:rFonts w:hint="default" w:ascii="Times New Roman" w:hAnsi="Times New Roman" w:eastAsia="黑体" w:cs="Times New Roman"/>
          <w:color w:val="auto"/>
        </w:rPr>
        <w:tab/>
      </w:r>
      <w:r>
        <w:rPr>
          <w:rFonts w:hint="default" w:ascii="Times New Roman" w:hAnsi="Times New Roman" w:eastAsia="黑体" w:cs="Times New Roman"/>
          <w:color w:val="auto"/>
        </w:rPr>
        <w:tab/>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一、主要职能</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二、机构设置</w:t>
      </w:r>
    </w:p>
    <w:p>
      <w:pPr>
        <w:rPr>
          <w:rFonts w:hint="default" w:ascii="Times New Roman" w:hAnsi="Times New Roman" w:eastAsia="黑体" w:cs="Times New Roman"/>
          <w:color w:val="auto"/>
        </w:rPr>
      </w:pPr>
      <w:r>
        <w:rPr>
          <w:rFonts w:hint="default" w:ascii="Times New Roman" w:hAnsi="Times New Roman" w:eastAsia="黑体" w:cs="Times New Roman"/>
          <w:color w:val="auto"/>
        </w:rPr>
        <w:t>第二部分  预算表格</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一、收支</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总表</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二、收入</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总表</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总表</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四、财政拨款收支</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总表</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五、一般公共预算</w:t>
      </w:r>
      <w:r>
        <w:rPr>
          <w:rFonts w:hint="default" w:ascii="Times New Roman" w:hAnsi="Times New Roman" w:eastAsia="仿宋_GB2312" w:cs="Times New Roman"/>
          <w:color w:val="auto"/>
          <w:lang w:eastAsia="zh-CN"/>
        </w:rPr>
        <w:t>拨款</w:t>
      </w:r>
      <w:r>
        <w:rPr>
          <w:rFonts w:hint="default" w:ascii="Times New Roman" w:hAnsi="Times New Roman" w:eastAsia="仿宋_GB2312" w:cs="Times New Roman"/>
          <w:color w:val="auto"/>
        </w:rPr>
        <w:t>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六、一般公共预算基本支出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七、一般公共预算“三公”经费支出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八、政府性基金预算</w:t>
      </w:r>
      <w:r>
        <w:rPr>
          <w:rFonts w:hint="default" w:ascii="Times New Roman" w:hAnsi="Times New Roman" w:eastAsia="仿宋_GB2312" w:cs="Times New Roman"/>
          <w:color w:val="auto"/>
          <w:lang w:eastAsia="zh-CN"/>
        </w:rPr>
        <w:t>拨款</w:t>
      </w:r>
      <w:r>
        <w:rPr>
          <w:rFonts w:hint="default" w:ascii="Times New Roman" w:hAnsi="Times New Roman" w:eastAsia="仿宋_GB2312" w:cs="Times New Roman"/>
          <w:color w:val="auto"/>
        </w:rPr>
        <w:t>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九、国有资本经营预算支出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pPr>
        <w:ind w:left="320" w:leftChars="100" w:firstLine="320" w:firstLineChars="100"/>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十、</w:t>
      </w:r>
      <w:r>
        <w:rPr>
          <w:rFonts w:hint="default" w:ascii="Times New Roman" w:hAnsi="Times New Roman" w:eastAsia="仿宋_GB2312" w:cs="Times New Roman"/>
          <w:color w:val="auto"/>
        </w:rPr>
        <w:t>项目支出</w:t>
      </w:r>
      <w:r>
        <w:rPr>
          <w:rFonts w:hint="default" w:ascii="Times New Roman" w:hAnsi="Times New Roman" w:eastAsia="仿宋_GB2312" w:cs="Times New Roman"/>
          <w:color w:val="auto"/>
          <w:lang w:eastAsia="zh-CN"/>
        </w:rPr>
        <w:t>预算</w:t>
      </w:r>
      <w:r>
        <w:rPr>
          <w:rFonts w:hint="default" w:ascii="Times New Roman" w:hAnsi="Times New Roman" w:eastAsia="仿宋_GB2312" w:cs="Times New Roman"/>
          <w:color w:val="auto"/>
        </w:rPr>
        <w:t>表</w:t>
      </w:r>
    </w:p>
    <w:p>
      <w:pPr>
        <w:ind w:left="320" w:leftChars="100" w:firstLine="320" w:firstLineChars="10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十一、财政拨款委托业务费支出预算表</w:t>
      </w:r>
    </w:p>
    <w:p>
      <w:pPr>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十</w:t>
      </w:r>
      <w:r>
        <w:rPr>
          <w:rFonts w:hint="default" w:ascii="Times New Roman" w:hAnsi="Times New Roman" w:eastAsia="仿宋_GB2312" w:cs="Times New Roman"/>
          <w:color w:val="auto"/>
          <w:lang w:eastAsia="zh-CN"/>
        </w:rPr>
        <w:t>二</w:t>
      </w:r>
      <w:r>
        <w:rPr>
          <w:rFonts w:hint="default" w:ascii="Times New Roman" w:hAnsi="Times New Roman" w:eastAsia="仿宋_GB2312" w:cs="Times New Roman"/>
          <w:color w:val="auto"/>
        </w:rPr>
        <w:t>、项目支出绩效目标表</w:t>
      </w:r>
    </w:p>
    <w:p>
      <w:pPr>
        <w:rPr>
          <w:rFonts w:hint="default" w:ascii="Times New Roman" w:hAnsi="Times New Roman" w:eastAsia="黑体" w:cs="Times New Roman"/>
          <w:color w:val="auto"/>
        </w:rPr>
      </w:pPr>
      <w:r>
        <w:rPr>
          <w:rFonts w:hint="default" w:ascii="Times New Roman" w:hAnsi="Times New Roman" w:eastAsia="黑体" w:cs="Times New Roman"/>
          <w:color w:val="auto"/>
        </w:rPr>
        <w:t>第三部分  情况说明</w:t>
      </w:r>
    </w:p>
    <w:p>
      <w:pPr>
        <w:rPr>
          <w:rFonts w:hint="default" w:ascii="Times New Roman" w:hAnsi="Times New Roman" w:eastAsia="黑体" w:cs="Times New Roman"/>
          <w:color w:val="auto"/>
        </w:rPr>
      </w:pPr>
      <w:r>
        <w:rPr>
          <w:rFonts w:hint="default" w:ascii="Times New Roman" w:hAnsi="Times New Roman" w:eastAsia="黑体" w:cs="Times New Roman"/>
          <w:color w:val="auto"/>
        </w:rPr>
        <w:t>第四部分  名词解释</w:t>
      </w:r>
    </w:p>
    <w:p>
      <w:pPr>
        <w:rPr>
          <w:rFonts w:hint="default" w:ascii="Times New Roman" w:hAnsi="Times New Roman" w:eastAsia="黑体" w:cs="Times New Roman"/>
          <w:color w:val="auto"/>
        </w:rPr>
      </w:pPr>
      <w:r>
        <w:rPr>
          <w:rFonts w:hint="default" w:ascii="Times New Roman" w:hAnsi="Times New Roman" w:eastAsia="黑体" w:cs="Times New Roman"/>
          <w:color w:val="auto"/>
        </w:rPr>
        <w:br w:type="page"/>
      </w:r>
    </w:p>
    <w:p>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第一部分 </w:t>
      </w:r>
      <w:r>
        <w:rPr>
          <w:rFonts w:hint="default" w:ascii="Times New Roman" w:hAnsi="Times New Roman" w:eastAsia="黑体" w:cs="Times New Roman"/>
          <w:color w:val="auto"/>
          <w:sz w:val="32"/>
          <w:szCs w:val="32"/>
          <w:lang w:val="en-US" w:eastAsia="zh-CN"/>
        </w:rPr>
        <w:t>单位</w:t>
      </w:r>
      <w:r>
        <w:rPr>
          <w:rFonts w:hint="default" w:ascii="Times New Roman" w:hAnsi="Times New Roman" w:eastAsia="黑体" w:cs="Times New Roman"/>
          <w:color w:val="auto"/>
          <w:sz w:val="32"/>
          <w:szCs w:val="32"/>
        </w:rPr>
        <w:t>概况</w:t>
      </w:r>
    </w:p>
    <w:p>
      <w:pPr>
        <w:ind w:firstLine="640" w:firstLineChars="200"/>
        <w:rPr>
          <w:rFonts w:hint="default" w:ascii="Times New Roman" w:hAnsi="Times New Roman" w:eastAsia="楷体_GB2312" w:cs="Times New Roman"/>
          <w:color w:val="auto"/>
        </w:rPr>
      </w:pPr>
    </w:p>
    <w:p>
      <w:pPr>
        <w:ind w:firstLine="640" w:firstLineChars="200"/>
        <w:rPr>
          <w:rFonts w:hint="default" w:ascii="Times New Roman" w:hAnsi="Times New Roman" w:eastAsia="方正楷体_GBK" w:cs="Times New Roman"/>
          <w:color w:val="auto"/>
        </w:rPr>
      </w:pPr>
      <w:r>
        <w:rPr>
          <w:rFonts w:hint="default" w:ascii="Times New Roman" w:hAnsi="Times New Roman" w:eastAsia="楷体" w:cs="Times New Roman"/>
          <w:color w:val="auto"/>
        </w:rPr>
        <w:t>一、主要职能</w:t>
      </w:r>
    </w:p>
    <w:p>
      <w:pPr>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伊通满族自治县农村社会经济调查队职责是根据农村抽样调查资料实事求是地反映农民的生产和生活情况，为党政领导决策服务。贯彻执行国家有关统计工作的方针政策，组织实施农村住户、农产量、农村社会经济基本情况等有关调查，为政府决策提供城市社会经济信息等。</w:t>
      </w:r>
    </w:p>
    <w:p>
      <w:pPr>
        <w:ind w:firstLine="64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t>二、机构设置</w:t>
      </w:r>
    </w:p>
    <w:p>
      <w:pPr>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根据上述职责，伊通满族自治县农村社会经济调查队无内设机构。</w:t>
      </w:r>
    </w:p>
    <w:p>
      <w:pPr>
        <w:pStyle w:val="24"/>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32"/>
        </w:rPr>
        <w:t>本单位无下设预算单位。</w:t>
      </w:r>
    </w:p>
    <w:p>
      <w:pPr>
        <w:pStyle w:val="24"/>
        <w:ind w:firstLine="640" w:firstLineChars="200"/>
        <w:rPr>
          <w:rFonts w:hint="default" w:ascii="Times New Roman" w:hAnsi="Times New Roman" w:eastAsia="楷体" w:cs="Times New Roman"/>
          <w:color w:val="auto"/>
        </w:rPr>
      </w:pPr>
    </w:p>
    <w:p>
      <w:pPr>
        <w:pStyle w:val="24"/>
        <w:ind w:firstLine="640" w:firstLineChars="200"/>
        <w:rPr>
          <w:rFonts w:hint="default" w:ascii="Times New Roman" w:hAnsi="Times New Roman" w:eastAsia="楷体" w:cs="Times New Roman"/>
          <w:color w:val="auto"/>
        </w:rPr>
      </w:pPr>
    </w:p>
    <w:p>
      <w:pPr>
        <w:pStyle w:val="24"/>
        <w:ind w:firstLine="640" w:firstLineChars="200"/>
        <w:rPr>
          <w:rFonts w:hint="default" w:ascii="Times New Roman" w:hAnsi="Times New Roman" w:eastAsia="楷体" w:cs="Times New Roman"/>
          <w:color w:val="auto"/>
        </w:rPr>
      </w:pPr>
    </w:p>
    <w:p>
      <w:pPr>
        <w:pStyle w:val="24"/>
        <w:ind w:firstLine="640" w:firstLineChars="200"/>
        <w:rPr>
          <w:rFonts w:hint="default" w:ascii="Times New Roman" w:hAnsi="Times New Roman" w:eastAsia="楷体" w:cs="Times New Roman"/>
          <w:color w:val="auto"/>
        </w:rPr>
      </w:pPr>
    </w:p>
    <w:p>
      <w:pPr>
        <w:pStyle w:val="24"/>
        <w:ind w:firstLine="640" w:firstLineChars="200"/>
        <w:rPr>
          <w:rFonts w:hint="default" w:ascii="Times New Roman" w:hAnsi="Times New Roman" w:eastAsia="楷体" w:cs="Times New Roman"/>
          <w:color w:val="auto"/>
        </w:rPr>
      </w:pPr>
    </w:p>
    <w:p>
      <w:pPr>
        <w:pStyle w:val="24"/>
        <w:ind w:firstLine="640" w:firstLineChars="200"/>
        <w:rPr>
          <w:rFonts w:hint="default" w:ascii="Times New Roman" w:hAnsi="Times New Roman" w:eastAsia="楷体" w:cs="Times New Roman"/>
          <w:color w:val="auto"/>
        </w:rPr>
      </w:pPr>
    </w:p>
    <w:p>
      <w:pPr>
        <w:pStyle w:val="24"/>
        <w:ind w:firstLine="640" w:firstLineChars="200"/>
        <w:rPr>
          <w:rFonts w:hint="default" w:ascii="Times New Roman" w:hAnsi="Times New Roman" w:eastAsia="楷体" w:cs="Times New Roman"/>
          <w:color w:val="auto"/>
        </w:rPr>
      </w:pPr>
    </w:p>
    <w:p>
      <w:pPr>
        <w:pStyle w:val="24"/>
        <w:ind w:firstLine="640" w:firstLineChars="200"/>
        <w:rPr>
          <w:rFonts w:hint="default" w:ascii="Times New Roman" w:hAnsi="Times New Roman" w:eastAsia="楷体" w:cs="Times New Roman"/>
          <w:color w:val="auto"/>
        </w:rPr>
      </w:pPr>
    </w:p>
    <w:p>
      <w:pPr>
        <w:pStyle w:val="24"/>
        <w:ind w:firstLine="640" w:firstLineChars="200"/>
        <w:rPr>
          <w:rFonts w:hint="default" w:ascii="Times New Roman" w:hAnsi="Times New Roman" w:eastAsia="黑体" w:cs="Times New Roman"/>
          <w:color w:val="auto"/>
        </w:rPr>
      </w:pPr>
      <w:r>
        <w:rPr>
          <w:rFonts w:hint="default" w:ascii="Times New Roman" w:hAnsi="Times New Roman" w:eastAsia="楷体" w:cs="Times New Roman"/>
          <w:color w:val="auto"/>
        </w:rPr>
        <w:br w:type="page"/>
      </w:r>
    </w:p>
    <w:p>
      <w:pPr>
        <w:jc w:val="center"/>
        <w:rPr>
          <w:rFonts w:hint="default" w:ascii="Times New Roman" w:hAnsi="Times New Roman" w:eastAsia="黑体" w:cs="Times New Roman"/>
          <w:color w:val="auto"/>
        </w:rPr>
      </w:pPr>
      <w:r>
        <w:rPr>
          <w:rFonts w:hint="default" w:ascii="Times New Roman" w:hAnsi="Times New Roman" w:eastAsia="黑体" w:cs="Times New Roman"/>
          <w:color w:val="auto"/>
        </w:rPr>
        <w:t>第二部分 预算表格</w:t>
      </w:r>
    </w:p>
    <w:tbl>
      <w:tblPr>
        <w:tblStyle w:val="10"/>
        <w:tblpPr w:leftFromText="180" w:rightFromText="180" w:vertAnchor="text" w:horzAnchor="page" w:tblpX="1126" w:tblpY="698"/>
        <w:tblOverlap w:val="never"/>
        <w:tblW w:w="9880" w:type="dxa"/>
        <w:tblInd w:w="0" w:type="dxa"/>
        <w:tblLayout w:type="fixed"/>
        <w:tblCellMar>
          <w:top w:w="0" w:type="dxa"/>
          <w:left w:w="108" w:type="dxa"/>
          <w:bottom w:w="0" w:type="dxa"/>
          <w:right w:w="108" w:type="dxa"/>
        </w:tblCellMar>
      </w:tblPr>
      <w:tblGrid>
        <w:gridCol w:w="1926"/>
        <w:gridCol w:w="1017"/>
        <w:gridCol w:w="916"/>
        <w:gridCol w:w="65"/>
        <w:gridCol w:w="1131"/>
        <w:gridCol w:w="1338"/>
        <w:gridCol w:w="1152"/>
        <w:gridCol w:w="9"/>
        <w:gridCol w:w="1169"/>
        <w:gridCol w:w="1157"/>
      </w:tblGrid>
      <w:tr>
        <w:tblPrEx>
          <w:tblCellMar>
            <w:top w:w="0" w:type="dxa"/>
            <w:left w:w="108" w:type="dxa"/>
            <w:bottom w:w="0" w:type="dxa"/>
            <w:right w:w="108" w:type="dxa"/>
          </w:tblCellMar>
        </w:tblPrEx>
        <w:trPr>
          <w:trHeight w:val="738" w:hRule="atLeast"/>
        </w:trPr>
        <w:tc>
          <w:tcPr>
            <w:tcW w:w="9880" w:type="dxa"/>
            <w:gridSpan w:val="10"/>
            <w:tcBorders>
              <w:top w:val="nil"/>
              <w:left w:val="nil"/>
              <w:bottom w:val="nil"/>
              <w:right w:val="nil"/>
            </w:tcBorders>
            <w:noWrap w:val="0"/>
            <w:vAlign w:val="center"/>
          </w:tcPr>
          <w:p>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收支</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总表</w:t>
            </w:r>
          </w:p>
        </w:tc>
      </w:tr>
      <w:tr>
        <w:tblPrEx>
          <w:tblCellMar>
            <w:top w:w="0" w:type="dxa"/>
            <w:left w:w="108" w:type="dxa"/>
            <w:bottom w:w="0" w:type="dxa"/>
            <w:right w:w="108" w:type="dxa"/>
          </w:tblCellMar>
        </w:tblPrEx>
        <w:trPr>
          <w:trHeight w:val="355" w:hRule="atLeast"/>
        </w:trPr>
        <w:tc>
          <w:tcPr>
            <w:tcW w:w="3859" w:type="dxa"/>
            <w:gridSpan w:val="3"/>
            <w:tcBorders>
              <w:top w:val="nil"/>
              <w:left w:val="nil"/>
              <w:bottom w:val="nil"/>
              <w:right w:val="nil"/>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96" w:type="dxa"/>
            <w:gridSpan w:val="2"/>
            <w:tcBorders>
              <w:top w:val="nil"/>
              <w:left w:val="nil"/>
              <w:bottom w:val="nil"/>
              <w:right w:val="nil"/>
            </w:tcBorders>
            <w:noWrap w:val="0"/>
            <w:vAlign w:val="center"/>
          </w:tcPr>
          <w:p>
            <w:pPr>
              <w:widowControl/>
              <w:jc w:val="center"/>
              <w:rPr>
                <w:rFonts w:hint="default" w:ascii="Times New Roman" w:hAnsi="Times New Roman" w:eastAsia="宋体" w:cs="Times New Roman"/>
                <w:color w:val="auto"/>
                <w:kern w:val="0"/>
                <w:sz w:val="20"/>
                <w:szCs w:val="20"/>
              </w:rPr>
            </w:pPr>
          </w:p>
        </w:tc>
        <w:tc>
          <w:tcPr>
            <w:tcW w:w="2490" w:type="dxa"/>
            <w:gridSpan w:val="2"/>
            <w:tcBorders>
              <w:top w:val="nil"/>
              <w:left w:val="nil"/>
              <w:bottom w:val="nil"/>
              <w:right w:val="nil"/>
            </w:tcBorders>
            <w:noWrap w:val="0"/>
            <w:vAlign w:val="center"/>
          </w:tcPr>
          <w:p>
            <w:pPr>
              <w:widowControl/>
              <w:jc w:val="center"/>
              <w:rPr>
                <w:rFonts w:hint="default" w:ascii="Times New Roman" w:hAnsi="Times New Roman" w:eastAsia="宋体" w:cs="Times New Roman"/>
                <w:color w:val="auto"/>
                <w:kern w:val="0"/>
                <w:sz w:val="20"/>
                <w:szCs w:val="20"/>
              </w:rPr>
            </w:pPr>
          </w:p>
        </w:tc>
        <w:tc>
          <w:tcPr>
            <w:tcW w:w="2335" w:type="dxa"/>
            <w:gridSpan w:val="3"/>
            <w:tcBorders>
              <w:top w:val="nil"/>
              <w:left w:val="nil"/>
              <w:bottom w:val="nil"/>
              <w:right w:val="nil"/>
            </w:tcBorders>
            <w:noWrap w:val="0"/>
            <w:vAlign w:val="bottom"/>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单位：万元</w:t>
            </w:r>
          </w:p>
        </w:tc>
      </w:tr>
      <w:tr>
        <w:tblPrEx>
          <w:tblCellMar>
            <w:top w:w="0" w:type="dxa"/>
            <w:left w:w="108" w:type="dxa"/>
            <w:bottom w:w="0" w:type="dxa"/>
            <w:right w:w="108" w:type="dxa"/>
          </w:tblCellMar>
        </w:tblPrEx>
        <w:trPr>
          <w:trHeight w:val="502" w:hRule="atLeast"/>
        </w:trPr>
        <w:tc>
          <w:tcPr>
            <w:tcW w:w="505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收       入</w:t>
            </w:r>
          </w:p>
        </w:tc>
        <w:tc>
          <w:tcPr>
            <w:tcW w:w="482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支        出</w:t>
            </w:r>
          </w:p>
        </w:tc>
      </w:tr>
      <w:tr>
        <w:tblPrEx>
          <w:tblCellMar>
            <w:top w:w="0" w:type="dxa"/>
            <w:left w:w="108" w:type="dxa"/>
            <w:bottom w:w="0" w:type="dxa"/>
            <w:right w:w="108" w:type="dxa"/>
          </w:tblCellMar>
        </w:tblPrEx>
        <w:trPr>
          <w:trHeight w:val="595" w:hRule="atLeast"/>
        </w:trPr>
        <w:tc>
          <w:tcPr>
            <w:tcW w:w="192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  目</w:t>
            </w:r>
          </w:p>
        </w:tc>
        <w:tc>
          <w:tcPr>
            <w:tcW w:w="10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202</w:t>
            </w:r>
            <w:r>
              <w:rPr>
                <w:rFonts w:hint="default" w:ascii="Times New Roman" w:hAnsi="Times New Roman" w:eastAsia="宋体" w:cs="Times New Roman"/>
                <w:color w:val="auto"/>
                <w:kern w:val="0"/>
                <w:sz w:val="20"/>
                <w:szCs w:val="20"/>
                <w:lang w:val="en-US" w:eastAsia="zh-CN"/>
              </w:rPr>
              <w:t>5</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预算数</w:t>
            </w:r>
          </w:p>
        </w:tc>
        <w:tc>
          <w:tcPr>
            <w:tcW w:w="9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本年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w:t>
            </w:r>
          </w:p>
        </w:tc>
        <w:tc>
          <w:tcPr>
            <w:tcW w:w="113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结转</w:t>
            </w:r>
          </w:p>
        </w:tc>
        <w:tc>
          <w:tcPr>
            <w:tcW w:w="13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  目</w:t>
            </w:r>
          </w:p>
        </w:tc>
        <w:tc>
          <w:tcPr>
            <w:tcW w:w="116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202</w:t>
            </w:r>
            <w:r>
              <w:rPr>
                <w:rFonts w:hint="default" w:ascii="Times New Roman" w:hAnsi="Times New Roman" w:eastAsia="宋体" w:cs="Times New Roman"/>
                <w:color w:val="auto"/>
                <w:kern w:val="0"/>
                <w:sz w:val="20"/>
                <w:szCs w:val="20"/>
                <w:lang w:val="en-US" w:eastAsia="zh-CN"/>
              </w:rPr>
              <w:t>5</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预算数</w:t>
            </w:r>
          </w:p>
        </w:tc>
        <w:tc>
          <w:tcPr>
            <w:tcW w:w="11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本</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w:t>
            </w:r>
          </w:p>
        </w:tc>
        <w:tc>
          <w:tcPr>
            <w:tcW w:w="115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结转</w:t>
            </w:r>
          </w:p>
        </w:tc>
      </w:tr>
      <w:tr>
        <w:tblPrEx>
          <w:tblCellMar>
            <w:top w:w="0" w:type="dxa"/>
            <w:left w:w="108" w:type="dxa"/>
            <w:bottom w:w="0" w:type="dxa"/>
            <w:right w:w="108" w:type="dxa"/>
          </w:tblCellMar>
        </w:tblPrEx>
        <w:trPr>
          <w:trHeight w:val="595"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一、财政拨款收入</w:t>
            </w:r>
          </w:p>
        </w:tc>
        <w:tc>
          <w:tcPr>
            <w:tcW w:w="10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98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31"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一、一般公共服务支出</w:t>
            </w: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68.45</w:t>
            </w:r>
          </w:p>
        </w:tc>
        <w:tc>
          <w:tcPr>
            <w:tcW w:w="117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68.45</w:t>
            </w:r>
          </w:p>
        </w:tc>
        <w:tc>
          <w:tcPr>
            <w:tcW w:w="115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595"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一般公共预算</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rPr>
              <w:t>拨款收入</w:t>
            </w:r>
          </w:p>
        </w:tc>
        <w:tc>
          <w:tcPr>
            <w:tcW w:w="10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98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31"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sz w:val="20"/>
                <w:szCs w:val="20"/>
              </w:rPr>
              <w:t>二、社会保障和就业支出</w:t>
            </w: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8.90</w:t>
            </w:r>
          </w:p>
        </w:tc>
        <w:tc>
          <w:tcPr>
            <w:tcW w:w="117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8.90</w:t>
            </w:r>
          </w:p>
        </w:tc>
        <w:tc>
          <w:tcPr>
            <w:tcW w:w="11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595"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政府性基金预算</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rPr>
              <w:t>拨款收入</w:t>
            </w:r>
          </w:p>
        </w:tc>
        <w:tc>
          <w:tcPr>
            <w:tcW w:w="10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31"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sz w:val="20"/>
                <w:szCs w:val="20"/>
              </w:rPr>
              <w:t>三、卫生健康支出</w:t>
            </w: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1.76</w:t>
            </w:r>
          </w:p>
        </w:tc>
        <w:tc>
          <w:tcPr>
            <w:tcW w:w="117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1.76</w:t>
            </w:r>
          </w:p>
        </w:tc>
        <w:tc>
          <w:tcPr>
            <w:tcW w:w="11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595"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国有资本经营预算拨款收入</w:t>
            </w:r>
          </w:p>
        </w:tc>
        <w:tc>
          <w:tcPr>
            <w:tcW w:w="10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31"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四、住房保障支出</w:t>
            </w: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4.40</w:t>
            </w:r>
          </w:p>
        </w:tc>
        <w:tc>
          <w:tcPr>
            <w:tcW w:w="117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4.40</w:t>
            </w:r>
          </w:p>
        </w:tc>
        <w:tc>
          <w:tcPr>
            <w:tcW w:w="11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595" w:hRule="atLeast"/>
        </w:trPr>
        <w:tc>
          <w:tcPr>
            <w:tcW w:w="1926"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二、财政专户管理</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rPr>
              <w:t>资金收入</w:t>
            </w:r>
          </w:p>
        </w:tc>
        <w:tc>
          <w:tcPr>
            <w:tcW w:w="10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31"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5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7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5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1926"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三、单位资金收入</w:t>
            </w:r>
          </w:p>
        </w:tc>
        <w:tc>
          <w:tcPr>
            <w:tcW w:w="10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31"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5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7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5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事业收入</w:t>
            </w:r>
          </w:p>
        </w:tc>
        <w:tc>
          <w:tcPr>
            <w:tcW w:w="10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31"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5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78"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5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1926"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事业单位经营收入</w:t>
            </w:r>
          </w:p>
        </w:tc>
        <w:tc>
          <w:tcPr>
            <w:tcW w:w="10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31"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5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7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上级补助收入</w:t>
            </w:r>
          </w:p>
        </w:tc>
        <w:tc>
          <w:tcPr>
            <w:tcW w:w="10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31"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5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7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附属单位上缴收入</w:t>
            </w:r>
          </w:p>
        </w:tc>
        <w:tc>
          <w:tcPr>
            <w:tcW w:w="101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31"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5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7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17"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其他收入</w:t>
            </w:r>
          </w:p>
        </w:tc>
        <w:tc>
          <w:tcPr>
            <w:tcW w:w="10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p>
        </w:tc>
        <w:tc>
          <w:tcPr>
            <w:tcW w:w="98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p>
        </w:tc>
        <w:tc>
          <w:tcPr>
            <w:tcW w:w="1131"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auto"/>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p>
        </w:tc>
        <w:tc>
          <w:tcPr>
            <w:tcW w:w="115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p>
        </w:tc>
        <w:tc>
          <w:tcPr>
            <w:tcW w:w="117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p>
        </w:tc>
        <w:tc>
          <w:tcPr>
            <w:tcW w:w="11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595" w:hRule="atLeast"/>
        </w:trPr>
        <w:tc>
          <w:tcPr>
            <w:tcW w:w="192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本年收入</w:t>
            </w:r>
            <w:r>
              <w:rPr>
                <w:rFonts w:hint="default" w:ascii="Times New Roman" w:hAnsi="Times New Roman" w:eastAsia="宋体" w:cs="Times New Roman"/>
                <w:b/>
                <w:bCs/>
                <w:color w:val="auto"/>
                <w:kern w:val="0"/>
                <w:sz w:val="20"/>
                <w:szCs w:val="20"/>
                <w:lang w:val="en-US" w:eastAsia="zh-CN"/>
              </w:rPr>
              <w:t xml:space="preserve">         </w:t>
            </w:r>
            <w:r>
              <w:rPr>
                <w:rFonts w:hint="default" w:ascii="Times New Roman" w:hAnsi="Times New Roman" w:eastAsia="宋体" w:cs="Times New Roman"/>
                <w:b/>
                <w:bCs/>
                <w:color w:val="auto"/>
                <w:kern w:val="0"/>
                <w:sz w:val="20"/>
                <w:szCs w:val="20"/>
              </w:rPr>
              <w:t>合计</w:t>
            </w:r>
          </w:p>
        </w:tc>
        <w:tc>
          <w:tcPr>
            <w:tcW w:w="10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lang w:val="en-US"/>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98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31"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本年支出</w:t>
            </w:r>
            <w:r>
              <w:rPr>
                <w:rFonts w:hint="default" w:ascii="Times New Roman" w:hAnsi="Times New Roman" w:eastAsia="宋体" w:cs="Times New Roman"/>
                <w:b/>
                <w:bCs/>
                <w:color w:val="auto"/>
                <w:kern w:val="0"/>
                <w:sz w:val="20"/>
                <w:szCs w:val="20"/>
                <w:lang w:val="en-US" w:eastAsia="zh-CN"/>
              </w:rPr>
              <w:t xml:space="preserve">  </w:t>
            </w:r>
            <w:r>
              <w:rPr>
                <w:rFonts w:hint="default" w:ascii="Times New Roman" w:hAnsi="Times New Roman" w:eastAsia="宋体" w:cs="Times New Roman"/>
                <w:b/>
                <w:bCs/>
                <w:color w:val="auto"/>
                <w:kern w:val="0"/>
                <w:sz w:val="20"/>
                <w:szCs w:val="20"/>
              </w:rPr>
              <w:t>合计</w:t>
            </w: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7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5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595"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财政拨款结转</w:t>
            </w:r>
          </w:p>
        </w:tc>
        <w:tc>
          <w:tcPr>
            <w:tcW w:w="10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31"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结转下年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支出</w:t>
            </w:r>
          </w:p>
        </w:tc>
        <w:tc>
          <w:tcPr>
            <w:tcW w:w="115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7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5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595"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非财政拨款</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rPr>
              <w:t>结转结余</w:t>
            </w:r>
          </w:p>
        </w:tc>
        <w:tc>
          <w:tcPr>
            <w:tcW w:w="10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98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31"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5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78"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5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28" w:hRule="atLeast"/>
        </w:trPr>
        <w:tc>
          <w:tcPr>
            <w:tcW w:w="19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b/>
                <w:bCs/>
                <w:color w:val="auto"/>
                <w:kern w:val="0"/>
                <w:sz w:val="20"/>
                <w:szCs w:val="20"/>
              </w:rPr>
              <w:t>收入总计</w:t>
            </w:r>
          </w:p>
        </w:tc>
        <w:tc>
          <w:tcPr>
            <w:tcW w:w="101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98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31"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3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b/>
                <w:bCs/>
                <w:color w:val="auto"/>
                <w:kern w:val="0"/>
                <w:sz w:val="20"/>
                <w:szCs w:val="20"/>
              </w:rPr>
              <w:t>支出总计</w:t>
            </w:r>
          </w:p>
        </w:tc>
        <w:tc>
          <w:tcPr>
            <w:tcW w:w="115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7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5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bl>
    <w:p>
      <w:pPr>
        <w:ind w:firstLine="400" w:firstLineChars="200"/>
        <w:rPr>
          <w:rFonts w:hint="default" w:ascii="Times New Roman" w:hAnsi="Times New Roman" w:eastAsia="宋体" w:cs="Times New Roman"/>
          <w:strike/>
          <w:color w:val="auto"/>
          <w:sz w:val="20"/>
          <w:szCs w:val="20"/>
        </w:rPr>
      </w:pPr>
    </w:p>
    <w:p>
      <w:pPr>
        <w:rPr>
          <w:rFonts w:hint="default" w:ascii="Times New Roman" w:hAnsi="Times New Roman" w:eastAsia="楷体" w:cs="Times New Roman"/>
          <w:color w:val="auto"/>
        </w:rPr>
      </w:pPr>
    </w:p>
    <w:p>
      <w:pPr>
        <w:rPr>
          <w:rFonts w:hint="default" w:ascii="Times New Roman" w:hAnsi="Times New Roman" w:eastAsia="楷体" w:cs="Times New Roman"/>
          <w:color w:val="auto"/>
        </w:rPr>
      </w:pPr>
    </w:p>
    <w:p>
      <w:pPr>
        <w:jc w:val="center"/>
        <w:rPr>
          <w:rFonts w:hint="default" w:ascii="Times New Roman" w:hAnsi="Times New Roman" w:eastAsia="方正小标宋简体" w:cs="Times New Roman"/>
          <w:color w:val="auto"/>
          <w:sz w:val="44"/>
        </w:rPr>
      </w:pPr>
      <w:r>
        <w:rPr>
          <w:rFonts w:hint="default" w:ascii="Times New Roman" w:hAnsi="Times New Roman" w:eastAsia="楷体" w:cs="Times New Roman"/>
          <w:color w:val="auto"/>
        </w:rPr>
        <w:br w:type="page"/>
      </w:r>
      <w:r>
        <w:rPr>
          <w:rFonts w:hint="default" w:ascii="Times New Roman" w:hAnsi="Times New Roman" w:eastAsia="方正小标宋简体" w:cs="Times New Roman"/>
          <w:color w:val="auto"/>
          <w:sz w:val="44"/>
        </w:rPr>
        <w:t>收入</w:t>
      </w:r>
      <w:r>
        <w:rPr>
          <w:rFonts w:hint="default" w:ascii="Times New Roman" w:hAnsi="Times New Roman" w:eastAsia="方正小标宋简体" w:cs="Times New Roman"/>
          <w:color w:val="auto"/>
          <w:sz w:val="44"/>
          <w:lang w:eastAsia="zh-CN"/>
        </w:rPr>
        <w:t>预算</w:t>
      </w:r>
      <w:r>
        <w:rPr>
          <w:rFonts w:hint="default" w:ascii="Times New Roman" w:hAnsi="Times New Roman" w:eastAsia="方正小标宋简体" w:cs="Times New Roman"/>
          <w:color w:val="auto"/>
          <w:sz w:val="44"/>
        </w:rPr>
        <w:t>总表</w:t>
      </w:r>
    </w:p>
    <w:tbl>
      <w:tblPr>
        <w:tblStyle w:val="10"/>
        <w:tblW w:w="10136" w:type="dxa"/>
        <w:jc w:val="center"/>
        <w:tblLayout w:type="fixed"/>
        <w:tblCellMar>
          <w:top w:w="0" w:type="dxa"/>
          <w:left w:w="108" w:type="dxa"/>
          <w:bottom w:w="0" w:type="dxa"/>
          <w:right w:w="108" w:type="dxa"/>
        </w:tblCellMar>
      </w:tblPr>
      <w:tblGrid>
        <w:gridCol w:w="1037"/>
        <w:gridCol w:w="960"/>
        <w:gridCol w:w="985"/>
        <w:gridCol w:w="918"/>
        <w:gridCol w:w="385"/>
        <w:gridCol w:w="430"/>
        <w:gridCol w:w="410"/>
        <w:gridCol w:w="412"/>
        <w:gridCol w:w="593"/>
        <w:gridCol w:w="404"/>
        <w:gridCol w:w="518"/>
        <w:gridCol w:w="466"/>
        <w:gridCol w:w="491"/>
        <w:gridCol w:w="492"/>
        <w:gridCol w:w="504"/>
        <w:gridCol w:w="340"/>
        <w:gridCol w:w="439"/>
        <w:gridCol w:w="352"/>
      </w:tblGrid>
      <w:tr>
        <w:tblPrEx>
          <w:tblCellMar>
            <w:top w:w="0" w:type="dxa"/>
            <w:left w:w="108" w:type="dxa"/>
            <w:bottom w:w="0" w:type="dxa"/>
            <w:right w:w="108" w:type="dxa"/>
          </w:tblCellMar>
        </w:tblPrEx>
        <w:trPr>
          <w:trHeight w:val="335" w:hRule="atLeast"/>
          <w:jc w:val="center"/>
        </w:trPr>
        <w:tc>
          <w:tcPr>
            <w:tcW w:w="1037" w:type="dxa"/>
            <w:tcBorders>
              <w:bottom w:val="single" w:color="000000" w:sz="4" w:space="0"/>
            </w:tcBorders>
            <w:noWrap w:val="0"/>
            <w:vAlign w:val="top"/>
          </w:tcPr>
          <w:p>
            <w:pPr>
              <w:autoSpaceDN w:val="0"/>
              <w:jc w:val="left"/>
              <w:textAlignment w:val="center"/>
              <w:rPr>
                <w:rFonts w:hint="default" w:ascii="Times New Roman" w:hAnsi="Times New Roman" w:eastAsia="宋体" w:cs="Times New Roman"/>
                <w:color w:val="auto"/>
                <w:sz w:val="20"/>
                <w:szCs w:val="20"/>
              </w:rPr>
            </w:pPr>
          </w:p>
        </w:tc>
        <w:tc>
          <w:tcPr>
            <w:tcW w:w="5093" w:type="dxa"/>
            <w:gridSpan w:val="8"/>
            <w:tcBorders>
              <w:bottom w:val="single" w:color="000000" w:sz="4" w:space="0"/>
            </w:tcBorders>
            <w:noWrap w:val="0"/>
            <w:vAlign w:val="center"/>
          </w:tcPr>
          <w:p>
            <w:pPr>
              <w:autoSpaceDN w:val="0"/>
              <w:jc w:val="left"/>
              <w:textAlignment w:val="center"/>
              <w:rPr>
                <w:rFonts w:hint="default" w:ascii="Times New Roman" w:hAnsi="Times New Roman" w:eastAsia="宋体" w:cs="Times New Roman"/>
                <w:color w:val="auto"/>
                <w:sz w:val="20"/>
                <w:szCs w:val="20"/>
              </w:rPr>
            </w:pPr>
          </w:p>
        </w:tc>
        <w:tc>
          <w:tcPr>
            <w:tcW w:w="1388" w:type="dxa"/>
            <w:gridSpan w:val="3"/>
            <w:noWrap w:val="0"/>
            <w:vAlign w:val="center"/>
          </w:tcPr>
          <w:p>
            <w:pPr>
              <w:autoSpaceDN w:val="0"/>
              <w:jc w:val="left"/>
              <w:textAlignment w:val="center"/>
              <w:rPr>
                <w:rFonts w:hint="default" w:ascii="Times New Roman" w:hAnsi="Times New Roman" w:eastAsia="宋体" w:cs="Times New Roman"/>
                <w:color w:val="auto"/>
                <w:sz w:val="20"/>
                <w:szCs w:val="20"/>
              </w:rPr>
            </w:pPr>
          </w:p>
        </w:tc>
        <w:tc>
          <w:tcPr>
            <w:tcW w:w="491" w:type="dxa"/>
            <w:noWrap w:val="0"/>
            <w:vAlign w:val="center"/>
          </w:tcPr>
          <w:p>
            <w:pPr>
              <w:autoSpaceDN w:val="0"/>
              <w:jc w:val="left"/>
              <w:textAlignment w:val="center"/>
              <w:rPr>
                <w:rFonts w:hint="default" w:ascii="Times New Roman" w:hAnsi="Times New Roman" w:eastAsia="宋体" w:cs="Times New Roman"/>
                <w:color w:val="auto"/>
                <w:sz w:val="20"/>
                <w:szCs w:val="20"/>
              </w:rPr>
            </w:pPr>
          </w:p>
        </w:tc>
        <w:tc>
          <w:tcPr>
            <w:tcW w:w="492" w:type="dxa"/>
            <w:noWrap w:val="0"/>
            <w:vAlign w:val="center"/>
          </w:tcPr>
          <w:p>
            <w:pPr>
              <w:autoSpaceDN w:val="0"/>
              <w:jc w:val="left"/>
              <w:textAlignment w:val="center"/>
              <w:rPr>
                <w:rFonts w:hint="default" w:ascii="Times New Roman" w:hAnsi="Times New Roman" w:eastAsia="宋体" w:cs="Times New Roman"/>
                <w:color w:val="auto"/>
                <w:sz w:val="20"/>
                <w:szCs w:val="20"/>
              </w:rPr>
            </w:pPr>
          </w:p>
        </w:tc>
        <w:tc>
          <w:tcPr>
            <w:tcW w:w="504" w:type="dxa"/>
            <w:noWrap w:val="0"/>
            <w:vAlign w:val="bottom"/>
          </w:tcPr>
          <w:p>
            <w:pPr>
              <w:autoSpaceDN w:val="0"/>
              <w:jc w:val="right"/>
              <w:textAlignment w:val="bottom"/>
              <w:rPr>
                <w:rFonts w:hint="default" w:ascii="Times New Roman" w:hAnsi="Times New Roman" w:eastAsia="宋体" w:cs="Times New Roman"/>
                <w:color w:val="auto"/>
                <w:sz w:val="20"/>
                <w:szCs w:val="20"/>
              </w:rPr>
            </w:pPr>
          </w:p>
        </w:tc>
        <w:tc>
          <w:tcPr>
            <w:tcW w:w="1131" w:type="dxa"/>
            <w:gridSpan w:val="3"/>
            <w:noWrap w:val="0"/>
            <w:vAlign w:val="bottom"/>
          </w:tcPr>
          <w:p>
            <w:pPr>
              <w:wordWrap/>
              <w:autoSpaceDN w:val="0"/>
              <w:jc w:val="right"/>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单位：万元</w:t>
            </w:r>
          </w:p>
        </w:tc>
      </w:tr>
      <w:tr>
        <w:tblPrEx>
          <w:tblCellMar>
            <w:top w:w="0" w:type="dxa"/>
            <w:left w:w="108" w:type="dxa"/>
            <w:bottom w:w="0" w:type="dxa"/>
            <w:right w:w="108" w:type="dxa"/>
          </w:tblCellMar>
        </w:tblPrEx>
        <w:trPr>
          <w:trHeight w:val="537" w:hRule="atLeast"/>
          <w:jc w:val="center"/>
        </w:trPr>
        <w:tc>
          <w:tcPr>
            <w:tcW w:w="1037" w:type="dxa"/>
            <w:vMerge w:val="restart"/>
            <w:tcBorders>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单位</w:t>
            </w:r>
          </w:p>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名称</w:t>
            </w:r>
          </w:p>
        </w:tc>
        <w:tc>
          <w:tcPr>
            <w:tcW w:w="960" w:type="dxa"/>
            <w:vMerge w:val="restart"/>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总计</w:t>
            </w:r>
          </w:p>
        </w:tc>
        <w:tc>
          <w:tcPr>
            <w:tcW w:w="5521" w:type="dxa"/>
            <w:gridSpan w:val="10"/>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本年</w:t>
            </w:r>
            <w:r>
              <w:rPr>
                <w:rFonts w:hint="eastAsia" w:eastAsia="宋体" w:cs="Times New Roman"/>
                <w:color w:val="auto"/>
                <w:sz w:val="20"/>
                <w:szCs w:val="20"/>
                <w:shd w:val="clear" w:color="auto" w:fill="FFFFFF"/>
                <w:lang w:val="en-US" w:eastAsia="zh-CN"/>
              </w:rPr>
              <w:t>收入</w:t>
            </w:r>
          </w:p>
        </w:tc>
        <w:tc>
          <w:tcPr>
            <w:tcW w:w="2618" w:type="dxa"/>
            <w:gridSpan w:val="6"/>
            <w:tcBorders>
              <w:top w:val="single" w:color="000000" w:sz="4" w:space="0"/>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上年结转结余</w:t>
            </w:r>
          </w:p>
        </w:tc>
      </w:tr>
      <w:tr>
        <w:tblPrEx>
          <w:tblCellMar>
            <w:top w:w="0" w:type="dxa"/>
            <w:left w:w="108" w:type="dxa"/>
            <w:bottom w:w="0" w:type="dxa"/>
            <w:right w:w="108" w:type="dxa"/>
          </w:tblCellMar>
        </w:tblPrEx>
        <w:trPr>
          <w:trHeight w:val="1300" w:hRule="atLeast"/>
          <w:jc w:val="center"/>
        </w:trPr>
        <w:tc>
          <w:tcPr>
            <w:tcW w:w="1037" w:type="dxa"/>
            <w:vMerge w:val="continue"/>
            <w:tcBorders>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p>
        </w:tc>
        <w:tc>
          <w:tcPr>
            <w:tcW w:w="960" w:type="dxa"/>
            <w:vMerge w:val="continue"/>
            <w:tcBorders>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p>
        </w:tc>
        <w:tc>
          <w:tcPr>
            <w:tcW w:w="985" w:type="dxa"/>
            <w:vMerge w:val="restart"/>
            <w:tcBorders>
              <w:top w:val="single" w:color="000000" w:sz="4" w:space="0"/>
              <w:left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合计</w:t>
            </w:r>
          </w:p>
        </w:tc>
        <w:tc>
          <w:tcPr>
            <w:tcW w:w="1733" w:type="dxa"/>
            <w:gridSpan w:val="3"/>
            <w:tcBorders>
              <w:top w:val="single" w:color="000000"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财政拨款</w:t>
            </w:r>
          </w:p>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收入</w:t>
            </w:r>
          </w:p>
        </w:tc>
        <w:tc>
          <w:tcPr>
            <w:tcW w:w="410" w:type="dxa"/>
            <w:vMerge w:val="restart"/>
            <w:tcBorders>
              <w:top w:val="single" w:color="000000"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财政专户管理资金收入</w:t>
            </w:r>
          </w:p>
        </w:tc>
        <w:tc>
          <w:tcPr>
            <w:tcW w:w="2393" w:type="dxa"/>
            <w:gridSpan w:val="5"/>
            <w:tcBorders>
              <w:top w:val="single" w:color="000000" w:sz="4" w:space="0"/>
              <w:left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单位资金收入</w:t>
            </w:r>
          </w:p>
        </w:tc>
        <w:tc>
          <w:tcPr>
            <w:tcW w:w="491" w:type="dxa"/>
            <w:vMerge w:val="restart"/>
            <w:tcBorders>
              <w:top w:val="single" w:color="000000" w:sz="4" w:space="0"/>
              <w:left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合计</w:t>
            </w:r>
          </w:p>
        </w:tc>
        <w:tc>
          <w:tcPr>
            <w:tcW w:w="1336" w:type="dxa"/>
            <w:gridSpan w:val="3"/>
            <w:tcBorders>
              <w:top w:val="single" w:color="000000"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财政拨款结转</w:t>
            </w:r>
          </w:p>
        </w:tc>
        <w:tc>
          <w:tcPr>
            <w:tcW w:w="791" w:type="dxa"/>
            <w:gridSpan w:val="2"/>
            <w:tcBorders>
              <w:top w:val="single" w:color="000000" w:sz="4" w:space="0"/>
              <w:left w:val="single" w:color="auto" w:sz="4" w:space="0"/>
              <w:right w:val="single" w:color="000000" w:sz="4" w:space="0"/>
            </w:tcBorders>
            <w:noWrap w:val="0"/>
            <w:vAlign w:val="center"/>
          </w:tcPr>
          <w:p>
            <w:pPr>
              <w:widowControl/>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非财政拨款结转结余</w:t>
            </w:r>
          </w:p>
        </w:tc>
      </w:tr>
      <w:tr>
        <w:tblPrEx>
          <w:tblCellMar>
            <w:top w:w="0" w:type="dxa"/>
            <w:left w:w="108" w:type="dxa"/>
            <w:bottom w:w="0" w:type="dxa"/>
            <w:right w:w="108" w:type="dxa"/>
          </w:tblCellMar>
        </w:tblPrEx>
        <w:trPr>
          <w:trHeight w:val="3219" w:hRule="atLeast"/>
          <w:jc w:val="center"/>
        </w:trPr>
        <w:tc>
          <w:tcPr>
            <w:tcW w:w="103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rPr>
            </w:pPr>
          </w:p>
        </w:tc>
        <w:tc>
          <w:tcPr>
            <w:tcW w:w="96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p>
        </w:tc>
        <w:tc>
          <w:tcPr>
            <w:tcW w:w="98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p>
        </w:tc>
        <w:tc>
          <w:tcPr>
            <w:tcW w:w="91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auto"/>
                <w:lang w:eastAsia="zh-CN"/>
              </w:rPr>
              <w:t>一般公共预算收入</w:t>
            </w:r>
          </w:p>
        </w:tc>
        <w:tc>
          <w:tcPr>
            <w:tcW w:w="385" w:type="dxa"/>
            <w:tcBorders>
              <w:top w:val="single" w:color="000000" w:sz="4" w:space="0"/>
              <w:left w:val="single" w:color="000000" w:sz="4" w:space="0"/>
              <w:bottom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政府性基金预算收入</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国有资本经营预算收入</w:t>
            </w:r>
          </w:p>
        </w:tc>
        <w:tc>
          <w:tcPr>
            <w:tcW w:w="41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p>
        </w:tc>
        <w:tc>
          <w:tcPr>
            <w:tcW w:w="41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事业收入</w:t>
            </w:r>
          </w:p>
        </w:tc>
        <w:tc>
          <w:tcPr>
            <w:tcW w:w="59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事业单位经营收入</w:t>
            </w: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上级补助收入</w:t>
            </w: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附属单位上缴收入</w:t>
            </w: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其他收入</w:t>
            </w:r>
          </w:p>
        </w:tc>
        <w:tc>
          <w:tcPr>
            <w:tcW w:w="49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一般公共预算拨款结转</w:t>
            </w: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left"/>
              <w:rPr>
                <w:rFonts w:hint="default" w:ascii="Times New Roman" w:hAnsi="Times New Roman" w:eastAsia="宋体" w:cs="Times New Roman"/>
                <w:color w:val="auto"/>
                <w:sz w:val="20"/>
                <w:szCs w:val="20"/>
                <w:shd w:val="clear" w:color="auto" w:fill="FFFFFF"/>
                <w:lang w:eastAsia="zh-CN"/>
              </w:rPr>
            </w:pPr>
          </w:p>
          <w:p>
            <w:pPr>
              <w:widowControl/>
              <w:ind w:left="113" w:right="113"/>
              <w:jc w:val="center"/>
              <w:rPr>
                <w:rFonts w:hint="default" w:ascii="Times New Roman" w:hAnsi="Times New Roman" w:eastAsia="宋体" w:cs="Times New Roman"/>
                <w:color w:val="auto"/>
                <w:sz w:val="20"/>
                <w:szCs w:val="20"/>
                <w:shd w:val="clear" w:color="auto" w:fill="FFFFFF"/>
                <w:lang w:val="en-US" w:eastAsia="zh-CN"/>
              </w:rPr>
            </w:pPr>
            <w:r>
              <w:rPr>
                <w:rFonts w:hint="default" w:ascii="Times New Roman" w:hAnsi="Times New Roman" w:eastAsia="宋体" w:cs="Times New Roman"/>
                <w:color w:val="auto"/>
                <w:sz w:val="20"/>
                <w:szCs w:val="20"/>
                <w:shd w:val="clear" w:color="auto" w:fill="FFFFFF"/>
                <w:lang w:eastAsia="zh-CN"/>
              </w:rPr>
              <w:t>政府性基金预算拨款</w:t>
            </w:r>
            <w:r>
              <w:rPr>
                <w:rFonts w:hint="eastAsia" w:eastAsia="宋体" w:cs="Times New Roman"/>
                <w:color w:val="auto"/>
                <w:sz w:val="20"/>
                <w:szCs w:val="20"/>
                <w:shd w:val="clear" w:color="auto" w:fill="FFFFFF"/>
                <w:lang w:val="en-US" w:eastAsia="zh-CN"/>
              </w:rPr>
              <w:t>结转</w:t>
            </w:r>
          </w:p>
          <w:p>
            <w:pPr>
              <w:widowControl/>
              <w:ind w:left="113" w:right="113"/>
              <w:jc w:val="center"/>
              <w:rPr>
                <w:rFonts w:hint="default" w:ascii="Times New Roman" w:hAnsi="Times New Roman" w:eastAsia="宋体" w:cs="Times New Roman"/>
                <w:color w:val="auto"/>
                <w:sz w:val="20"/>
                <w:szCs w:val="20"/>
                <w:shd w:val="clear" w:color="auto" w:fill="FFFFFF"/>
                <w:lang w:eastAsia="zh-CN"/>
              </w:rPr>
            </w:pPr>
          </w:p>
        </w:tc>
        <w:tc>
          <w:tcPr>
            <w:tcW w:w="34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国有资本经营预算拨款结转</w:t>
            </w:r>
          </w:p>
        </w:tc>
        <w:tc>
          <w:tcPr>
            <w:tcW w:w="43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财政专户管理资金结转结余</w:t>
            </w: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default"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shd w:val="clear" w:color="auto" w:fill="FFFFFF"/>
                <w:lang w:eastAsia="zh-CN"/>
              </w:rPr>
              <w:t>单位资金结转结余</w:t>
            </w:r>
          </w:p>
        </w:tc>
      </w:tr>
      <w:tr>
        <w:tblPrEx>
          <w:tblCellMar>
            <w:top w:w="0" w:type="dxa"/>
            <w:left w:w="108" w:type="dxa"/>
            <w:bottom w:w="0" w:type="dxa"/>
            <w:right w:w="108" w:type="dxa"/>
          </w:tblCellMar>
        </w:tblPrEx>
        <w:trPr>
          <w:trHeight w:val="538" w:hRule="atLeast"/>
          <w:jc w:val="center"/>
        </w:trPr>
        <w:tc>
          <w:tcPr>
            <w:tcW w:w="1037"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eastAsia" w:ascii="Times New Roman" w:hAnsi="Times New Roman" w:eastAsia="宋体" w:cs="Times New Roman"/>
                <w:color w:val="auto"/>
                <w:sz w:val="20"/>
                <w:szCs w:val="20"/>
                <w:shd w:val="clear" w:color="auto" w:fill="FFFFFF"/>
                <w:lang w:eastAsia="zh-CN"/>
              </w:rPr>
            </w:pPr>
            <w:r>
              <w:rPr>
                <w:rFonts w:hint="default" w:ascii="Times New Roman" w:hAnsi="Times New Roman" w:eastAsia="宋体" w:cs="Times New Roman"/>
                <w:color w:val="auto"/>
                <w:sz w:val="20"/>
                <w:szCs w:val="20"/>
              </w:rPr>
              <w:t>伊通满族自治县</w:t>
            </w:r>
            <w:r>
              <w:rPr>
                <w:rFonts w:hint="eastAsia" w:eastAsia="宋体" w:cs="Times New Roman"/>
                <w:color w:val="auto"/>
                <w:sz w:val="20"/>
                <w:szCs w:val="20"/>
                <w:lang w:val="en-US" w:eastAsia="zh-CN"/>
              </w:rPr>
              <w:t>农村社会经济调查队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9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3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1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r>
      <w:tr>
        <w:tblPrEx>
          <w:tblCellMar>
            <w:top w:w="0" w:type="dxa"/>
            <w:left w:w="108" w:type="dxa"/>
            <w:bottom w:w="0" w:type="dxa"/>
            <w:right w:w="108" w:type="dxa"/>
          </w:tblCellMar>
        </w:tblPrEx>
        <w:trPr>
          <w:trHeight w:val="571" w:hRule="atLeast"/>
          <w:jc w:val="center"/>
        </w:trPr>
        <w:tc>
          <w:tcPr>
            <w:tcW w:w="103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kern w:val="0"/>
                <w:sz w:val="20"/>
                <w:szCs w:val="20"/>
              </w:rPr>
              <w:t>合计</w:t>
            </w: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9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9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3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1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4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auto"/>
                <w:sz w:val="20"/>
                <w:szCs w:val="20"/>
                <w:shd w:val="clear" w:color="auto" w:fill="FFFFFF"/>
              </w:rPr>
            </w:pPr>
          </w:p>
        </w:tc>
      </w:tr>
    </w:tbl>
    <w:p>
      <w:pPr>
        <w:rPr>
          <w:rFonts w:hint="default" w:ascii="Times New Roman" w:hAnsi="Times New Roman" w:eastAsia="宋体" w:cs="Times New Roman"/>
          <w:color w:val="auto"/>
          <w:sz w:val="20"/>
          <w:szCs w:val="20"/>
        </w:rPr>
      </w:pPr>
    </w:p>
    <w:p>
      <w:pPr>
        <w:rPr>
          <w:rFonts w:hint="default" w:ascii="Times New Roman" w:hAnsi="Times New Roman" w:eastAsia="楷体" w:cs="Times New Roman"/>
          <w:color w:val="auto"/>
        </w:rPr>
      </w:pPr>
    </w:p>
    <w:p>
      <w:pPr>
        <w:rPr>
          <w:rFonts w:hint="default" w:ascii="Times New Roman" w:hAnsi="Times New Roman" w:eastAsia="楷体" w:cs="Times New Roman"/>
          <w:color w:val="auto"/>
        </w:rPr>
      </w:pPr>
    </w:p>
    <w:p>
      <w:pPr>
        <w:ind w:firstLine="64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br w:type="page"/>
      </w:r>
    </w:p>
    <w:tbl>
      <w:tblPr>
        <w:tblStyle w:val="10"/>
        <w:tblW w:w="10734" w:type="dxa"/>
        <w:jc w:val="center"/>
        <w:tblLayout w:type="fixed"/>
        <w:tblCellMar>
          <w:top w:w="0" w:type="dxa"/>
          <w:left w:w="108" w:type="dxa"/>
          <w:bottom w:w="0" w:type="dxa"/>
          <w:right w:w="108" w:type="dxa"/>
        </w:tblCellMar>
      </w:tblPr>
      <w:tblGrid>
        <w:gridCol w:w="10734"/>
      </w:tblGrid>
      <w:tr>
        <w:tblPrEx>
          <w:tblCellMar>
            <w:top w:w="0" w:type="dxa"/>
            <w:left w:w="108" w:type="dxa"/>
            <w:bottom w:w="0" w:type="dxa"/>
            <w:right w:w="108" w:type="dxa"/>
          </w:tblCellMar>
        </w:tblPrEx>
        <w:trPr>
          <w:trHeight w:val="615" w:hRule="atLeast"/>
          <w:jc w:val="center"/>
        </w:trPr>
        <w:tc>
          <w:tcPr>
            <w:tcW w:w="10734" w:type="dxa"/>
            <w:tcBorders>
              <w:top w:val="nil"/>
              <w:left w:val="nil"/>
              <w:bottom w:val="nil"/>
              <w:right w:val="nil"/>
            </w:tcBorders>
            <w:noWrap w:val="0"/>
            <w:vAlign w:val="bottom"/>
          </w:tcPr>
          <w:p>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总表</w:t>
            </w:r>
          </w:p>
          <w:tbl>
            <w:tblPr>
              <w:tblStyle w:val="10"/>
              <w:tblW w:w="9146" w:type="dxa"/>
              <w:jc w:val="center"/>
              <w:tblLayout w:type="fixed"/>
              <w:tblCellMar>
                <w:top w:w="15" w:type="dxa"/>
                <w:left w:w="15" w:type="dxa"/>
                <w:bottom w:w="15" w:type="dxa"/>
                <w:right w:w="15" w:type="dxa"/>
              </w:tblCellMar>
            </w:tblPr>
            <w:tblGrid>
              <w:gridCol w:w="2149"/>
              <w:gridCol w:w="1267"/>
              <w:gridCol w:w="1306"/>
              <w:gridCol w:w="1090"/>
              <w:gridCol w:w="897"/>
              <w:gridCol w:w="1145"/>
              <w:gridCol w:w="1292"/>
            </w:tblGrid>
            <w:tr>
              <w:tblPrEx>
                <w:tblCellMar>
                  <w:top w:w="15" w:type="dxa"/>
                  <w:left w:w="15" w:type="dxa"/>
                  <w:bottom w:w="15" w:type="dxa"/>
                  <w:right w:w="15" w:type="dxa"/>
                </w:tblCellMar>
              </w:tblPrEx>
              <w:trPr>
                <w:trHeight w:val="636" w:hRule="atLeast"/>
                <w:jc w:val="center"/>
              </w:trPr>
              <w:tc>
                <w:tcPr>
                  <w:tcW w:w="5812" w:type="dxa"/>
                  <w:gridSpan w:val="4"/>
                  <w:tcBorders>
                    <w:bottom w:val="single" w:color="000000" w:sz="4" w:space="0"/>
                  </w:tcBorders>
                  <w:noWrap w:val="0"/>
                  <w:vAlign w:val="center"/>
                </w:tcPr>
                <w:p>
                  <w:pPr>
                    <w:widowControl/>
                    <w:jc w:val="left"/>
                    <w:rPr>
                      <w:rFonts w:hint="default" w:ascii="Times New Roman" w:hAnsi="Times New Roman" w:eastAsia="宋体" w:cs="Times New Roman"/>
                      <w:color w:val="auto"/>
                      <w:kern w:val="0"/>
                      <w:sz w:val="20"/>
                      <w:szCs w:val="20"/>
                    </w:rPr>
                  </w:pPr>
                </w:p>
              </w:tc>
              <w:tc>
                <w:tcPr>
                  <w:tcW w:w="897" w:type="dxa"/>
                  <w:tcBorders>
                    <w:bottom w:val="single" w:color="000000" w:sz="4" w:space="0"/>
                  </w:tcBorders>
                  <w:noWrap w:val="0"/>
                  <w:vAlign w:val="center"/>
                </w:tcPr>
                <w:p>
                  <w:pPr>
                    <w:widowControl/>
                    <w:jc w:val="right"/>
                    <w:rPr>
                      <w:rFonts w:hint="default" w:ascii="Times New Roman" w:hAnsi="Times New Roman" w:eastAsia="宋体" w:cs="Times New Roman"/>
                      <w:color w:val="auto"/>
                      <w:kern w:val="0"/>
                      <w:sz w:val="20"/>
                      <w:szCs w:val="20"/>
                    </w:rPr>
                  </w:pPr>
                </w:p>
              </w:tc>
              <w:tc>
                <w:tcPr>
                  <w:tcW w:w="1145" w:type="dxa"/>
                  <w:tcBorders>
                    <w:bottom w:val="single" w:color="000000" w:sz="4" w:space="0"/>
                  </w:tcBorders>
                  <w:noWrap w:val="0"/>
                  <w:vAlign w:val="center"/>
                </w:tcPr>
                <w:p>
                  <w:pPr>
                    <w:widowControl/>
                    <w:jc w:val="right"/>
                    <w:rPr>
                      <w:rFonts w:hint="default" w:ascii="Times New Roman" w:hAnsi="Times New Roman" w:eastAsia="宋体" w:cs="Times New Roman"/>
                      <w:color w:val="auto"/>
                      <w:kern w:val="0"/>
                      <w:sz w:val="20"/>
                      <w:szCs w:val="20"/>
                    </w:rPr>
                  </w:pPr>
                </w:p>
              </w:tc>
              <w:tc>
                <w:tcPr>
                  <w:tcW w:w="1292" w:type="dxa"/>
                  <w:tcBorders>
                    <w:bottom w:val="single" w:color="000000" w:sz="4" w:space="0"/>
                  </w:tcBorders>
                  <w:noWrap w:val="0"/>
                  <w:vAlign w:val="bottom"/>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单位：万元</w:t>
                  </w:r>
                </w:p>
              </w:tc>
            </w:tr>
            <w:tr>
              <w:tblPrEx>
                <w:tblCellMar>
                  <w:top w:w="15" w:type="dxa"/>
                  <w:left w:w="15" w:type="dxa"/>
                  <w:bottom w:w="15" w:type="dxa"/>
                  <w:right w:w="15" w:type="dxa"/>
                </w:tblCellMar>
              </w:tblPrEx>
              <w:trPr>
                <w:trHeight w:val="1404" w:hRule="atLeast"/>
                <w:jc w:val="center"/>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功能分类</w:t>
                  </w:r>
                </w:p>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sz w:val="20"/>
                      <w:szCs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lang w:eastAsia="zh-CN"/>
                    </w:rPr>
                    <w:t>合</w:t>
                  </w:r>
                  <w:r>
                    <w:rPr>
                      <w:rFonts w:hint="default" w:ascii="Times New Roman" w:hAnsi="Times New Roman" w:cs="Times New Roman" w:eastAsiaTheme="minorEastAsia"/>
                      <w:color w:val="auto"/>
                      <w:kern w:val="0"/>
                      <w:sz w:val="20"/>
                      <w:szCs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eastAsiaTheme="minorEastAsia"/>
                      <w:color w:val="auto"/>
                      <w:kern w:val="0"/>
                      <w:sz w:val="20"/>
                      <w:szCs w:val="20"/>
                    </w:rPr>
                  </w:pPr>
                </w:p>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rPr>
                    <w:t>基本</w:t>
                  </w:r>
                </w:p>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rPr>
                    <w:t>支出</w:t>
                  </w:r>
                </w:p>
                <w:p>
                  <w:pPr>
                    <w:widowControl/>
                    <w:jc w:val="center"/>
                    <w:rPr>
                      <w:rFonts w:hint="default" w:ascii="Times New Roman" w:hAnsi="Times New Roman" w:cs="Times New Roman" w:eastAsiaTheme="minorEastAsia"/>
                      <w:color w:val="auto"/>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rPr>
                    <w:t>项目                                                               支出</w:t>
                  </w: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rPr>
                    <w:t>事业单位</w:t>
                  </w:r>
                </w:p>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rPr>
                    <w:t>经营支出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rPr>
                    <w:t>上缴                                            上级                                                         支出</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rPr>
                    <w:t>对附属                                           单位补                                      助支出</w:t>
                  </w:r>
                </w:p>
              </w:tc>
            </w:tr>
            <w:tr>
              <w:tblPrEx>
                <w:tblCellMar>
                  <w:top w:w="15" w:type="dxa"/>
                  <w:left w:w="15" w:type="dxa"/>
                  <w:bottom w:w="15" w:type="dxa"/>
                  <w:right w:w="15" w:type="dxa"/>
                </w:tblCellMar>
              </w:tblPrEx>
              <w:trPr>
                <w:trHeight w:val="701"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68.45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46.45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68.45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46.45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46.45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46.45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5.44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5.44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0"/>
                      <w:szCs w:val="20"/>
                      <w:u w:val="none"/>
                      <w:lang w:val="en-US" w:eastAsia="zh-CN" w:bidi="ar"/>
                    </w:rPr>
                  </w:pPr>
                  <w:r>
                    <w:rPr>
                      <w:rFonts w:hint="default" w:ascii="Times New Roman" w:hAnsi="Times New Roman" w:cs="Times New Roman" w:eastAsiaTheme="minorEastAsia"/>
                      <w:i w:val="0"/>
                      <w:iCs w:val="0"/>
                      <w:color w:val="auto"/>
                      <w:kern w:val="0"/>
                      <w:sz w:val="20"/>
                      <w:szCs w:val="20"/>
                      <w:u w:val="none"/>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0"/>
                      <w:szCs w:val="20"/>
                      <w:u w:val="none"/>
                      <w:lang w:val="en-US" w:eastAsia="zh-CN" w:bidi="ar"/>
                    </w:rPr>
                  </w:pPr>
                  <w:r>
                    <w:rPr>
                      <w:rFonts w:hint="eastAsia" w:ascii="Times New Roman" w:hAnsi="Times New Roman" w:cs="Times New Roman" w:eastAsiaTheme="minorEastAsia"/>
                      <w:i w:val="0"/>
                      <w:iCs w:val="0"/>
                      <w:color w:val="auto"/>
                      <w:kern w:val="0"/>
                      <w:sz w:val="20"/>
                      <w:szCs w:val="20"/>
                      <w:u w:val="none"/>
                      <w:lang w:val="en-US" w:eastAsia="zh-CN" w:bidi="ar"/>
                    </w:rPr>
                    <w:t>83.51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0"/>
                      <w:szCs w:val="20"/>
                      <w:u w:val="none"/>
                      <w:lang w:val="en-US" w:eastAsia="zh-CN" w:bidi="ar"/>
                    </w:rPr>
                  </w:pPr>
                  <w:r>
                    <w:rPr>
                      <w:rFonts w:hint="eastAsia" w:ascii="Times New Roman" w:hAnsi="Times New Roman" w:cs="Times New Roman" w:eastAsiaTheme="minorEastAsia"/>
                      <w:i w:val="0"/>
                      <w:iCs w:val="0"/>
                      <w:color w:val="auto"/>
                      <w:kern w:val="0"/>
                      <w:sz w:val="20"/>
                      <w:szCs w:val="20"/>
                      <w:u w:val="none"/>
                      <w:lang w:val="en-US" w:eastAsia="zh-CN" w:bidi="ar"/>
                    </w:rPr>
                    <w:t>61.51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lang w:val="en-US" w:eastAsia="zh-CN"/>
                    </w:rPr>
                  </w:pPr>
                  <w:r>
                    <w:rPr>
                      <w:rFonts w:hint="eastAsia" w:ascii="Times New Roman" w:hAnsi="Times New Roman" w:cs="Times New Roman" w:eastAsiaTheme="minorEastAsia"/>
                      <w:color w:val="auto"/>
                      <w:kern w:val="0"/>
                      <w:sz w:val="20"/>
                      <w:szCs w:val="20"/>
                      <w:lang w:val="en-US" w:eastAsia="zh-CN"/>
                    </w:rPr>
                    <w:t>22.00</w:t>
                  </w:r>
                </w:p>
              </w:tc>
              <w:tc>
                <w:tcPr>
                  <w:tcW w:w="8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auto"/>
                      <w:kern w:val="0"/>
                      <w:sz w:val="20"/>
                      <w:szCs w:val="20"/>
                    </w:rPr>
                  </w:pPr>
                </w:p>
              </w:tc>
            </w:tr>
          </w:tbl>
          <w:p>
            <w:pPr>
              <w:widowControl/>
              <w:jc w:val="center"/>
              <w:rPr>
                <w:rFonts w:hint="default" w:ascii="Times New Roman" w:hAnsi="Times New Roman" w:eastAsia="方正小标宋简体" w:cs="Times New Roman"/>
                <w:color w:val="auto"/>
                <w:kern w:val="0"/>
                <w:sz w:val="44"/>
                <w:szCs w:val="44"/>
              </w:rPr>
            </w:pPr>
          </w:p>
        </w:tc>
      </w:tr>
    </w:tbl>
    <w:p>
      <w:pPr>
        <w:ind w:firstLine="640" w:firstLineChars="200"/>
        <w:rPr>
          <w:rFonts w:hint="default" w:ascii="Times New Roman" w:hAnsi="Times New Roman" w:cs="Times New Roman"/>
          <w:color w:val="auto"/>
        </w:rPr>
      </w:pPr>
    </w:p>
    <w:tbl>
      <w:tblPr>
        <w:tblStyle w:val="10"/>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10"/>
              <w:tblpPr w:leftFromText="180" w:rightFromText="180" w:vertAnchor="page" w:horzAnchor="page" w:tblpX="145" w:tblpY="347"/>
              <w:tblOverlap w:val="never"/>
              <w:tblW w:w="0" w:type="auto"/>
              <w:tblInd w:w="0" w:type="dxa"/>
              <w:tblLayout w:type="fixed"/>
              <w:tblCellMar>
                <w:top w:w="0" w:type="dxa"/>
                <w:left w:w="108" w:type="dxa"/>
                <w:bottom w:w="0" w:type="dxa"/>
                <w:right w:w="108" w:type="dxa"/>
              </w:tblCellMar>
            </w:tblPr>
            <w:tblGrid>
              <w:gridCol w:w="1442"/>
              <w:gridCol w:w="1126"/>
              <w:gridCol w:w="1126"/>
              <w:gridCol w:w="1020"/>
              <w:gridCol w:w="1480"/>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财政拨款收支</w:t>
                  </w:r>
                  <w:r>
                    <w:rPr>
                      <w:rFonts w:hint="default" w:ascii="Times New Roman" w:hAnsi="Times New Roman" w:eastAsia="方正小标宋简体" w:cs="Times New Roman"/>
                      <w:color w:val="auto"/>
                      <w:kern w:val="0"/>
                      <w:sz w:val="44"/>
                      <w:szCs w:val="44"/>
                      <w:lang w:eastAsia="zh-CN"/>
                    </w:rPr>
                    <w:t>预算总</w:t>
                  </w:r>
                  <w:r>
                    <w:rPr>
                      <w:rFonts w:hint="default" w:ascii="Times New Roman" w:hAnsi="Times New Roman" w:eastAsia="方正小标宋简体" w:cs="Times New Roman"/>
                      <w:color w:val="auto"/>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单位：万元</w:t>
                  </w:r>
                </w:p>
              </w:tc>
            </w:tr>
            <w:tr>
              <w:tblPrEx>
                <w:tblCellMar>
                  <w:top w:w="0" w:type="dxa"/>
                  <w:left w:w="108" w:type="dxa"/>
                  <w:bottom w:w="0" w:type="dxa"/>
                  <w:right w:w="108" w:type="dxa"/>
                </w:tblCellMar>
              </w:tblPrEx>
              <w:trPr>
                <w:trHeight w:val="493" w:hRule="atLeast"/>
              </w:trPr>
              <w:tc>
                <w:tcPr>
                  <w:tcW w:w="471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收      入</w:t>
                  </w:r>
                </w:p>
              </w:tc>
              <w:tc>
                <w:tcPr>
                  <w:tcW w:w="492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rPr>
                    <w:t>202</w:t>
                  </w:r>
                  <w:r>
                    <w:rPr>
                      <w:rFonts w:hint="default" w:ascii="Times New Roman" w:hAnsi="Times New Roman" w:eastAsia="宋体" w:cs="Times New Roman"/>
                      <w:color w:val="auto"/>
                      <w:kern w:val="0"/>
                      <w:sz w:val="20"/>
                      <w:szCs w:val="20"/>
                      <w:lang w:val="en-US" w:eastAsia="zh-CN"/>
                    </w:rPr>
                    <w:t>5</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w:t>
                  </w:r>
                  <w:r>
                    <w:rPr>
                      <w:rFonts w:hint="default" w:ascii="Times New Roman" w:hAnsi="Times New Roman" w:eastAsia="宋体" w:cs="Times New Roman"/>
                      <w:color w:val="auto"/>
                      <w:kern w:val="0"/>
                      <w:sz w:val="20"/>
                      <w:szCs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本</w:t>
                  </w:r>
                  <w:r>
                    <w:rPr>
                      <w:rFonts w:hint="default" w:ascii="Times New Roman" w:hAnsi="Times New Roman" w:eastAsia="宋体" w:cs="Times New Roman"/>
                      <w:color w:val="auto"/>
                      <w:kern w:val="0"/>
                      <w:sz w:val="20"/>
                      <w:szCs w:val="20"/>
                    </w:rPr>
                    <w:t>年预算</w:t>
                  </w:r>
                </w:p>
              </w:tc>
              <w:tc>
                <w:tcPr>
                  <w:tcW w:w="1020"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上年结转</w:t>
                  </w:r>
                </w:p>
              </w:tc>
              <w:tc>
                <w:tcPr>
                  <w:tcW w:w="1480"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lang w:eastAsia="zh-CN"/>
                    </w:rPr>
                  </w:pPr>
                  <w:r>
                    <w:rPr>
                      <w:rFonts w:hint="default" w:ascii="Times New Roman" w:hAnsi="Times New Roman" w:eastAsia="宋体" w:cs="Times New Roman"/>
                      <w:color w:val="auto"/>
                      <w:kern w:val="0"/>
                      <w:sz w:val="20"/>
                      <w:szCs w:val="20"/>
                    </w:rPr>
                    <w:t>202</w:t>
                  </w:r>
                  <w:r>
                    <w:rPr>
                      <w:rFonts w:hint="default" w:ascii="Times New Roman" w:hAnsi="Times New Roman" w:eastAsia="宋体" w:cs="Times New Roman"/>
                      <w:color w:val="auto"/>
                      <w:kern w:val="0"/>
                      <w:sz w:val="20"/>
                      <w:szCs w:val="20"/>
                      <w:lang w:val="en-US" w:eastAsia="zh-CN"/>
                    </w:rPr>
                    <w:t>5</w:t>
                  </w:r>
                  <w:r>
                    <w:rPr>
                      <w:rFonts w:hint="default" w:ascii="Times New Roman" w:hAnsi="Times New Roman" w:eastAsia="宋体" w:cs="Times New Roman"/>
                      <w:color w:val="auto"/>
                      <w:kern w:val="0"/>
                      <w:sz w:val="20"/>
                      <w:szCs w:val="20"/>
                    </w:rPr>
                    <w:t>年</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预算</w:t>
                  </w:r>
                  <w:r>
                    <w:rPr>
                      <w:rFonts w:hint="default" w:ascii="Times New Roman" w:hAnsi="Times New Roman" w:eastAsia="宋体" w:cs="Times New Roman"/>
                      <w:color w:val="auto"/>
                      <w:kern w:val="0"/>
                      <w:sz w:val="20"/>
                      <w:szCs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本</w:t>
                  </w:r>
                  <w:r>
                    <w:rPr>
                      <w:rFonts w:hint="default" w:ascii="Times New Roman" w:hAnsi="Times New Roman" w:eastAsia="宋体" w:cs="Times New Roman"/>
                      <w:color w:val="auto"/>
                      <w:kern w:val="0"/>
                      <w:sz w:val="20"/>
                      <w:szCs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lang w:eastAsia="zh-CN"/>
                    </w:rPr>
                  </w:pPr>
                  <w:r>
                    <w:rPr>
                      <w:rFonts w:hint="default" w:ascii="Times New Roman" w:hAnsi="Times New Roman" w:eastAsia="宋体" w:cs="Times New Roman"/>
                      <w:color w:val="auto"/>
                      <w:kern w:val="0"/>
                      <w:sz w:val="20"/>
                      <w:szCs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eastAsia" w:eastAsia="宋体" w:cs="Times New Roman"/>
                      <w:i w:val="0"/>
                      <w:iCs w:val="0"/>
                      <w:color w:val="auto"/>
                      <w:kern w:val="0"/>
                      <w:sz w:val="20"/>
                      <w:szCs w:val="20"/>
                      <w:u w:val="none"/>
                      <w:lang w:val="en-US" w:eastAsia="zh-CN" w:bidi="ar"/>
                    </w:rPr>
                    <w:t>83.51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lang w:val="en-US"/>
                    </w:rPr>
                  </w:pPr>
                  <w:r>
                    <w:rPr>
                      <w:rFonts w:hint="eastAsia" w:eastAsia="宋体" w:cs="Times New Roman"/>
                      <w:i w:val="0"/>
                      <w:iCs w:val="0"/>
                      <w:color w:val="auto"/>
                      <w:kern w:val="0"/>
                      <w:sz w:val="20"/>
                      <w:szCs w:val="20"/>
                      <w:u w:val="none"/>
                      <w:lang w:val="en-US" w:eastAsia="zh-CN" w:bidi="ar"/>
                    </w:rPr>
                    <w:t>83.51</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（一）一般公共服务支出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68.45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68.45</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（二）社会保障和就业支出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8.90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8.90</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（三）卫生健康支出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1.76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1.76</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4.40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4.40</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Cs/>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宋体" w:cs="Times New Roman"/>
                      <w:b/>
                      <w:bCs/>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default" w:ascii="Times New Roman" w:hAnsi="Times New Roman" w:eastAsia="宋体" w:cs="Times New Roman"/>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default" w:ascii="Times New Roman" w:hAnsi="Times New Roman" w:eastAsia="宋体" w:cs="Times New Roman"/>
                      <w:color w:val="auto"/>
                      <w:sz w:val="20"/>
                      <w:szCs w:val="20"/>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default" w:ascii="Times New Roman" w:hAnsi="Times New Roman" w:eastAsia="宋体" w:cs="Times New Roman"/>
                      <w:color w:val="auto"/>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eastAsia="zh-CN"/>
                    </w:rPr>
                    <w:t>二、</w:t>
                  </w:r>
                  <w:r>
                    <w:rPr>
                      <w:rFonts w:hint="default" w:ascii="Times New Roman" w:hAnsi="Times New Roman" w:eastAsia="宋体" w:cs="Times New Roman"/>
                      <w:color w:val="auto"/>
                      <w:kern w:val="0"/>
                      <w:sz w:val="20"/>
                      <w:szCs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default" w:ascii="Times New Roman" w:hAnsi="Times New Roman" w:eastAsia="宋体" w:cs="Times New Roman"/>
                      <w:color w:val="auto"/>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center"/>
                    <w:rPr>
                      <w:rFonts w:hint="default" w:ascii="Times New Roman" w:hAnsi="Times New Roman" w:eastAsia="宋体" w:cs="Times New Roman"/>
                      <w:color w:val="auto"/>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center"/>
                    <w:rPr>
                      <w:rFonts w:hint="default"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kern w:val="0"/>
                      <w:sz w:val="20"/>
                      <w:szCs w:val="20"/>
                    </w:rPr>
                  </w:pPr>
                  <w:r>
                    <w:rPr>
                      <w:rFonts w:hint="default" w:ascii="Times New Roman" w:hAnsi="Times New Roman" w:eastAsia="宋体" w:cs="Times New Roman"/>
                      <w:b/>
                      <w:bCs/>
                      <w:color w:val="auto"/>
                      <w:kern w:val="0"/>
                      <w:sz w:val="20"/>
                      <w:szCs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Times New Roman" w:hAnsi="Times New Roman" w:eastAsia="宋体" w:cs="Times New Roman"/>
                      <w:color w:val="auto"/>
                      <w:kern w:val="0"/>
                      <w:sz w:val="20"/>
                      <w:szCs w:val="20"/>
                    </w:rPr>
                  </w:pPr>
                </w:p>
              </w:tc>
            </w:tr>
          </w:tbl>
          <w:p>
            <w:pPr>
              <w:widowControl/>
              <w:rPr>
                <w:rFonts w:hint="default" w:ascii="Times New Roman" w:hAnsi="Times New Roman" w:eastAsia="方正小标宋简体" w:cs="Times New Roman"/>
                <w:color w:val="auto"/>
                <w:kern w:val="0"/>
                <w:sz w:val="22"/>
                <w:szCs w:val="22"/>
              </w:rPr>
            </w:pPr>
          </w:p>
        </w:tc>
      </w:tr>
    </w:tbl>
    <w:p>
      <w:pPr>
        <w:ind w:firstLine="64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br w:type="page"/>
      </w:r>
    </w:p>
    <w:tbl>
      <w:tblPr>
        <w:tblStyle w:val="10"/>
        <w:tblW w:w="10405" w:type="dxa"/>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jc w:val="center"/>
              <w:rPr>
                <w:rFonts w:hint="default" w:ascii="Times New Roman" w:hAnsi="Times New Roman" w:eastAsia="方正小标宋简体" w:cs="Times New Roman"/>
                <w:color w:val="auto"/>
                <w:kern w:val="0"/>
                <w:sz w:val="44"/>
                <w:szCs w:val="44"/>
              </w:rPr>
            </w:pPr>
          </w:p>
          <w:p>
            <w:pPr>
              <w:widowControl/>
              <w:jc w:val="center"/>
              <w:rPr>
                <w:rFonts w:hint="default" w:ascii="Times New Roman" w:hAnsi="Times New Roman" w:eastAsia="方正小标宋简体" w:cs="Times New Roman"/>
                <w:color w:val="auto"/>
                <w:kern w:val="0"/>
                <w:sz w:val="44"/>
                <w:szCs w:val="44"/>
              </w:rPr>
            </w:pPr>
          </w:p>
          <w:tbl>
            <w:tblPr>
              <w:tblStyle w:val="10"/>
              <w:tblW w:w="0" w:type="auto"/>
              <w:tblInd w:w="871" w:type="dxa"/>
              <w:tblLayout w:type="fixed"/>
              <w:tblCellMar>
                <w:top w:w="15" w:type="dxa"/>
                <w:left w:w="15" w:type="dxa"/>
                <w:bottom w:w="15" w:type="dxa"/>
                <w:right w:w="15" w:type="dxa"/>
              </w:tblCellMar>
            </w:tblPr>
            <w:tblGrid>
              <w:gridCol w:w="2558"/>
              <w:gridCol w:w="1136"/>
              <w:gridCol w:w="1136"/>
              <w:gridCol w:w="1136"/>
              <w:gridCol w:w="1138"/>
              <w:gridCol w:w="1124"/>
            </w:tblGrid>
            <w:tr>
              <w:tblPrEx>
                <w:tblCellMar>
                  <w:top w:w="15" w:type="dxa"/>
                  <w:left w:w="15" w:type="dxa"/>
                  <w:bottom w:w="15" w:type="dxa"/>
                  <w:right w:w="15" w:type="dxa"/>
                </w:tblCellMar>
              </w:tblPrEx>
              <w:trPr>
                <w:trHeight w:val="1021" w:hRule="atLeast"/>
              </w:trPr>
              <w:tc>
                <w:tcPr>
                  <w:tcW w:w="8228" w:type="dxa"/>
                  <w:gridSpan w:val="6"/>
                  <w:tcBorders>
                    <w:bottom w:val="single" w:color="000000" w:sz="4" w:space="0"/>
                  </w:tcBorders>
                  <w:noWrap w:val="0"/>
                  <w:vAlign w:val="center"/>
                </w:tcPr>
                <w:p>
                  <w:pPr>
                    <w:widowControl/>
                    <w:jc w:val="center"/>
                    <w:rPr>
                      <w:rFonts w:hint="default" w:ascii="Times New Roman" w:hAnsi="Times New Roman" w:eastAsia="华文细黑" w:cs="Times New Roman"/>
                      <w:color w:val="auto"/>
                      <w:kern w:val="0"/>
                      <w:sz w:val="20"/>
                    </w:rPr>
                  </w:pPr>
                  <w:r>
                    <w:rPr>
                      <w:rFonts w:hint="default" w:ascii="Times New Roman" w:hAnsi="Times New Roman" w:eastAsia="方正小标宋简体" w:cs="Times New Roman"/>
                      <w:color w:val="auto"/>
                      <w:kern w:val="0"/>
                      <w:sz w:val="44"/>
                      <w:szCs w:val="44"/>
                    </w:rPr>
                    <w:t>一般公共预算</w:t>
                  </w:r>
                  <w:r>
                    <w:rPr>
                      <w:rFonts w:hint="default" w:ascii="Times New Roman" w:hAnsi="Times New Roman" w:eastAsia="方正小标宋简体" w:cs="Times New Roman"/>
                      <w:color w:val="auto"/>
                      <w:kern w:val="0"/>
                      <w:sz w:val="44"/>
                      <w:szCs w:val="44"/>
                      <w:lang w:eastAsia="zh-CN"/>
                    </w:rPr>
                    <w:t>拨款</w:t>
                  </w:r>
                  <w:r>
                    <w:rPr>
                      <w:rFonts w:hint="default" w:ascii="Times New Roman" w:hAnsi="Times New Roman" w:eastAsia="方正小标宋简体" w:cs="Times New Roman"/>
                      <w:color w:val="auto"/>
                      <w:kern w:val="0"/>
                      <w:sz w:val="44"/>
                      <w:szCs w:val="44"/>
                    </w:rPr>
                    <w:t>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p>
                  <w:pPr>
                    <w:widowControl/>
                    <w:jc w:val="right"/>
                    <w:rPr>
                      <w:rFonts w:hint="default" w:ascii="Times New Roman" w:hAnsi="Times New Roman" w:eastAsia="华文细黑" w:cs="Times New Roman"/>
                      <w:color w:val="auto"/>
                      <w:kern w:val="0"/>
                      <w:sz w:val="20"/>
                    </w:rPr>
                  </w:pPr>
                  <w:r>
                    <w:rPr>
                      <w:rFonts w:hint="default" w:ascii="Times New Roman" w:hAnsi="Times New Roman" w:eastAsia="宋体" w:cs="Times New Roman"/>
                      <w:color w:val="auto"/>
                      <w:kern w:val="0"/>
                      <w:sz w:val="20"/>
                    </w:rPr>
                    <w:t>单位：万元</w:t>
                  </w:r>
                </w:p>
              </w:tc>
            </w:tr>
            <w:tr>
              <w:tblPrEx>
                <w:tblCellMar>
                  <w:top w:w="15" w:type="dxa"/>
                  <w:left w:w="15" w:type="dxa"/>
                  <w:bottom w:w="15" w:type="dxa"/>
                  <w:right w:w="15" w:type="dxa"/>
                </w:tblCellMar>
              </w:tblPrEx>
              <w:trPr>
                <w:trHeight w:val="455" w:hRule="atLeast"/>
              </w:trPr>
              <w:tc>
                <w:tcPr>
                  <w:tcW w:w="2558"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功能分类</w:t>
                  </w:r>
                </w:p>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sz w:val="20"/>
                      <w:szCs w:val="20"/>
                    </w:rPr>
                    <w:t>科目名称</w:t>
                  </w:r>
                </w:p>
              </w:tc>
              <w:tc>
                <w:tcPr>
                  <w:tcW w:w="1136"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总计</w:t>
                  </w:r>
                </w:p>
              </w:tc>
              <w:tc>
                <w:tcPr>
                  <w:tcW w:w="34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基本支出</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                                                               支出</w:t>
                  </w:r>
                </w:p>
              </w:tc>
            </w:tr>
            <w:tr>
              <w:tblPrEx>
                <w:tblCellMar>
                  <w:top w:w="15" w:type="dxa"/>
                  <w:left w:w="15" w:type="dxa"/>
                  <w:bottom w:w="15" w:type="dxa"/>
                  <w:right w:w="15" w:type="dxa"/>
                </w:tblCellMar>
              </w:tblPrEx>
              <w:trPr>
                <w:trHeight w:val="339" w:hRule="atLeast"/>
              </w:trPr>
              <w:tc>
                <w:tcPr>
                  <w:tcW w:w="2558"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szCs w:val="20"/>
                    </w:rPr>
                  </w:pPr>
                </w:p>
              </w:tc>
              <w:tc>
                <w:tcPr>
                  <w:tcW w:w="1136"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szCs w:val="20"/>
                    </w:rPr>
                  </w:pPr>
                </w:p>
              </w:tc>
              <w:tc>
                <w:tcPr>
                  <w:tcW w:w="34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szCs w:val="20"/>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szCs w:val="20"/>
                    </w:rPr>
                  </w:pPr>
                </w:p>
              </w:tc>
            </w:tr>
            <w:tr>
              <w:tblPrEx>
                <w:tblCellMar>
                  <w:top w:w="15" w:type="dxa"/>
                  <w:left w:w="15" w:type="dxa"/>
                  <w:bottom w:w="15" w:type="dxa"/>
                  <w:right w:w="15" w:type="dxa"/>
                </w:tblCellMar>
              </w:tblPrEx>
              <w:trPr>
                <w:trHeight w:val="709" w:hRule="atLeast"/>
              </w:trPr>
              <w:tc>
                <w:tcPr>
                  <w:tcW w:w="2558"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szCs w:val="20"/>
                    </w:rPr>
                  </w:pPr>
                </w:p>
              </w:tc>
              <w:tc>
                <w:tcPr>
                  <w:tcW w:w="1136"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szCs w:val="20"/>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人员经费</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公用经费</w:t>
                  </w: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szCs w:val="20"/>
                    </w:rPr>
                  </w:pPr>
                </w:p>
              </w:tc>
            </w:tr>
            <w:tr>
              <w:tblPrEx>
                <w:tblCellMar>
                  <w:top w:w="15" w:type="dxa"/>
                  <w:left w:w="15" w:type="dxa"/>
                  <w:bottom w:w="15" w:type="dxa"/>
                  <w:right w:w="15" w:type="dxa"/>
                </w:tblCellMar>
              </w:tblPrEx>
              <w:trPr>
                <w:trHeight w:val="455"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rPr>
                  </w:pPr>
                  <w:r>
                    <w:rPr>
                      <w:rFonts w:hint="eastAsia" w:ascii="Times New Roman" w:hAnsi="Times New Roman" w:cs="Times New Roman" w:eastAsiaTheme="minorEastAsia"/>
                      <w:i w:val="0"/>
                      <w:iCs w:val="0"/>
                      <w:color w:val="auto"/>
                      <w:kern w:val="0"/>
                      <w:sz w:val="20"/>
                      <w:szCs w:val="20"/>
                      <w:u w:val="none"/>
                      <w:lang w:val="en-US" w:eastAsia="zh-CN" w:bidi="ar"/>
                    </w:rPr>
                    <w:t>一、</w:t>
                  </w:r>
                  <w:r>
                    <w:rPr>
                      <w:rFonts w:hint="default" w:ascii="Times New Roman" w:hAnsi="Times New Roman" w:cs="Times New Roman" w:eastAsiaTheme="minorEastAsia"/>
                      <w:i w:val="0"/>
                      <w:iCs w:val="0"/>
                      <w:color w:val="auto"/>
                      <w:kern w:val="0"/>
                      <w:sz w:val="20"/>
                      <w:szCs w:val="20"/>
                      <w:u w:val="none"/>
                      <w:lang w:val="en-US" w:eastAsia="zh-CN" w:bidi="ar"/>
                    </w:rPr>
                    <w:t>一般公共服务支出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68.45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46.45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37.08</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9.37</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统计信息事务</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68.45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46.45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37.08</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9.37</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行政运行</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46.45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46.45</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37.08</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9.37</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统计抽样调查</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rPr>
                  </w:pPr>
                  <w:r>
                    <w:rPr>
                      <w:rFonts w:hint="eastAsia" w:ascii="Times New Roman" w:hAnsi="Times New Roman" w:cs="Times New Roman" w:eastAsiaTheme="minorEastAsia"/>
                      <w:i w:val="0"/>
                      <w:iCs w:val="0"/>
                      <w:color w:val="auto"/>
                      <w:kern w:val="0"/>
                      <w:sz w:val="20"/>
                      <w:szCs w:val="20"/>
                      <w:u w:val="none"/>
                      <w:lang w:val="en-US" w:eastAsia="zh-CN" w:bidi="ar"/>
                    </w:rPr>
                    <w:t>二、</w:t>
                  </w:r>
                  <w:r>
                    <w:rPr>
                      <w:rFonts w:hint="default" w:ascii="Times New Roman" w:hAnsi="Times New Roman" w:cs="Times New Roman" w:eastAsiaTheme="minorEastAsia"/>
                      <w:i w:val="0"/>
                      <w:iCs w:val="0"/>
                      <w:color w:val="auto"/>
                      <w:kern w:val="0"/>
                      <w:sz w:val="20"/>
                      <w:szCs w:val="20"/>
                      <w:u w:val="none"/>
                      <w:lang w:val="en-US" w:eastAsia="zh-CN" w:bidi="ar"/>
                    </w:rPr>
                    <w:t>社会保障和就业支出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8.90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8.90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8.90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行政事业单位养老支出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8.90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8.90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8.90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行政单位离退休</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3.46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3.46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3.46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590"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机关事业单位基本养老保险缴费支出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5.44</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5.44</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5.44</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rPr>
                  </w:pPr>
                  <w:r>
                    <w:rPr>
                      <w:rFonts w:hint="eastAsia" w:ascii="Times New Roman" w:hAnsi="Times New Roman" w:cs="Times New Roman" w:eastAsiaTheme="minorEastAsia"/>
                      <w:i w:val="0"/>
                      <w:iCs w:val="0"/>
                      <w:color w:val="auto"/>
                      <w:kern w:val="0"/>
                      <w:sz w:val="20"/>
                      <w:szCs w:val="20"/>
                      <w:u w:val="none"/>
                      <w:lang w:val="en-US" w:eastAsia="zh-CN" w:bidi="ar"/>
                    </w:rPr>
                    <w:t>三、</w:t>
                  </w:r>
                  <w:r>
                    <w:rPr>
                      <w:rFonts w:hint="default" w:ascii="Times New Roman" w:hAnsi="Times New Roman" w:cs="Times New Roman" w:eastAsiaTheme="minorEastAsia"/>
                      <w:i w:val="0"/>
                      <w:iCs w:val="0"/>
                      <w:color w:val="auto"/>
                      <w:kern w:val="0"/>
                      <w:sz w:val="20"/>
                      <w:szCs w:val="20"/>
                      <w:u w:val="none"/>
                      <w:lang w:val="en-US" w:eastAsia="zh-CN" w:bidi="ar"/>
                    </w:rPr>
                    <w:t>卫生健康支出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行政事业单位医疗</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行政单位医疗</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rPr>
                  </w:pPr>
                  <w:r>
                    <w:rPr>
                      <w:rFonts w:hint="eastAsia" w:ascii="Times New Roman" w:hAnsi="Times New Roman" w:cs="Times New Roman" w:eastAsiaTheme="minorEastAsia"/>
                      <w:i w:val="0"/>
                      <w:iCs w:val="0"/>
                      <w:color w:val="auto"/>
                      <w:kern w:val="0"/>
                      <w:sz w:val="20"/>
                      <w:szCs w:val="20"/>
                      <w:u w:val="none"/>
                      <w:lang w:val="en-US" w:eastAsia="zh-CN" w:bidi="ar"/>
                    </w:rPr>
                    <w:t>四、</w:t>
                  </w:r>
                  <w:r>
                    <w:rPr>
                      <w:rFonts w:hint="default" w:ascii="Times New Roman" w:hAnsi="Times New Roman" w:cs="Times New Roman" w:eastAsiaTheme="minorEastAsia"/>
                      <w:i w:val="0"/>
                      <w:iCs w:val="0"/>
                      <w:color w:val="auto"/>
                      <w:kern w:val="0"/>
                      <w:sz w:val="20"/>
                      <w:szCs w:val="20"/>
                      <w:u w:val="none"/>
                      <w:lang w:val="en-US" w:eastAsia="zh-CN" w:bidi="ar"/>
                    </w:rPr>
                    <w:t>住房保障支出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住房改革支出</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391"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住房公积金</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cs="Times New Roman" w:eastAsiaTheme="minorEastAsia"/>
                      <w:color w:val="auto"/>
                      <w:kern w:val="0"/>
                      <w:sz w:val="20"/>
                      <w:szCs w:val="20"/>
                    </w:rPr>
                  </w:pPr>
                </w:p>
              </w:tc>
            </w:tr>
            <w:tr>
              <w:tblPrEx>
                <w:tblCellMar>
                  <w:top w:w="15" w:type="dxa"/>
                  <w:left w:w="15" w:type="dxa"/>
                  <w:bottom w:w="15" w:type="dxa"/>
                  <w:right w:w="15" w:type="dxa"/>
                </w:tblCellMar>
              </w:tblPrEx>
              <w:trPr>
                <w:trHeight w:val="402" w:hRule="atLeast"/>
              </w:trPr>
              <w:tc>
                <w:tcPr>
                  <w:tcW w:w="2558"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83.51</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61.51</w:t>
                  </w:r>
                </w:p>
              </w:tc>
              <w:tc>
                <w:tcPr>
                  <w:tcW w:w="113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52.14</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9.37</w:t>
                  </w:r>
                </w:p>
              </w:tc>
              <w:tc>
                <w:tcPr>
                  <w:tcW w:w="112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i w:val="0"/>
                      <w:iCs w:val="0"/>
                      <w:color w:val="auto"/>
                      <w:kern w:val="0"/>
                      <w:sz w:val="20"/>
                      <w:szCs w:val="20"/>
                      <w:u w:val="none"/>
                      <w:lang w:val="en-US" w:eastAsia="zh-CN" w:bidi="ar"/>
                    </w:rPr>
                    <w:t>22.00</w:t>
                  </w:r>
                </w:p>
              </w:tc>
            </w:tr>
          </w:tbl>
          <w:p>
            <w:pPr>
              <w:widowControl/>
              <w:jc w:val="center"/>
              <w:rPr>
                <w:rFonts w:hint="default" w:ascii="Times New Roman" w:hAnsi="Times New Roman" w:eastAsia="方正小标宋简体" w:cs="Times New Roman"/>
                <w:color w:val="auto"/>
                <w:kern w:val="0"/>
                <w:sz w:val="44"/>
                <w:szCs w:val="44"/>
              </w:rPr>
            </w:pPr>
          </w:p>
        </w:tc>
      </w:tr>
    </w:tbl>
    <w:p>
      <w:pPr>
        <w:ind w:firstLine="640" w:firstLineChars="200"/>
        <w:rPr>
          <w:rFonts w:hint="default" w:ascii="Times New Roman" w:hAnsi="Times New Roman" w:cs="Times New Roman"/>
          <w:color w:val="auto"/>
        </w:rPr>
      </w:pPr>
    </w:p>
    <w:p>
      <w:pPr>
        <w:ind w:firstLine="640" w:firstLineChars="200"/>
        <w:rPr>
          <w:rFonts w:hint="default" w:ascii="Times New Roman" w:hAnsi="Times New Roman" w:eastAsia="楷体" w:cs="Times New Roman"/>
          <w:color w:val="auto"/>
        </w:rPr>
      </w:pPr>
    </w:p>
    <w:p>
      <w:pPr>
        <w:ind w:firstLine="64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br w:type="page"/>
      </w:r>
    </w:p>
    <w:tbl>
      <w:tblPr>
        <w:tblStyle w:val="10"/>
        <w:tblW w:w="0" w:type="auto"/>
        <w:jc w:val="center"/>
        <w:tblLayout w:type="fixed"/>
        <w:tblCellMar>
          <w:top w:w="0" w:type="dxa"/>
          <w:left w:w="108" w:type="dxa"/>
          <w:bottom w:w="0" w:type="dxa"/>
          <w:right w:w="108" w:type="dxa"/>
        </w:tblCellMar>
      </w:tblPr>
      <w:tblGrid>
        <w:gridCol w:w="3170"/>
        <w:gridCol w:w="1995"/>
        <w:gridCol w:w="1671"/>
        <w:gridCol w:w="1704"/>
      </w:tblGrid>
      <w:tr>
        <w:tblPrEx>
          <w:tblCellMar>
            <w:top w:w="0" w:type="dxa"/>
            <w:left w:w="108" w:type="dxa"/>
            <w:bottom w:w="0" w:type="dxa"/>
            <w:right w:w="108" w:type="dxa"/>
          </w:tblCellMar>
        </w:tblPrEx>
        <w:trPr>
          <w:trHeight w:val="1334" w:hRule="atLeast"/>
          <w:jc w:val="center"/>
        </w:trPr>
        <w:tc>
          <w:tcPr>
            <w:tcW w:w="8540" w:type="dxa"/>
            <w:gridSpan w:val="4"/>
            <w:tcBorders>
              <w:top w:val="nil"/>
              <w:left w:val="nil"/>
              <w:bottom w:val="nil"/>
              <w:right w:val="nil"/>
            </w:tcBorders>
            <w:noWrap w:val="0"/>
            <w:vAlign w:val="bottom"/>
          </w:tcPr>
          <w:p>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一般公共预算基本支出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tc>
      </w:tr>
      <w:tr>
        <w:tblPrEx>
          <w:tblCellMar>
            <w:top w:w="0" w:type="dxa"/>
            <w:left w:w="108" w:type="dxa"/>
            <w:bottom w:w="0" w:type="dxa"/>
            <w:right w:w="108" w:type="dxa"/>
          </w:tblCellMar>
        </w:tblPrEx>
        <w:trPr>
          <w:trHeight w:val="367" w:hRule="atLeast"/>
          <w:jc w:val="center"/>
        </w:trPr>
        <w:tc>
          <w:tcPr>
            <w:tcW w:w="3170" w:type="dxa"/>
            <w:tcBorders>
              <w:top w:val="nil"/>
              <w:left w:val="nil"/>
              <w:bottom w:val="single" w:color="auto" w:sz="4" w:space="0"/>
              <w:right w:val="nil"/>
            </w:tcBorders>
            <w:noWrap w:val="0"/>
            <w:vAlign w:val="center"/>
          </w:tcPr>
          <w:p>
            <w:pPr>
              <w:widowControl/>
              <w:jc w:val="left"/>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1995" w:type="dxa"/>
            <w:tcBorders>
              <w:top w:val="nil"/>
              <w:left w:val="nil"/>
              <w:bottom w:val="single" w:color="auto" w:sz="4" w:space="0"/>
              <w:right w:val="nil"/>
            </w:tcBorders>
            <w:noWrap w:val="0"/>
            <w:vAlign w:val="center"/>
          </w:tcPr>
          <w:p>
            <w:pPr>
              <w:widowControl/>
              <w:jc w:val="right"/>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3375" w:type="dxa"/>
            <w:gridSpan w:val="2"/>
            <w:tcBorders>
              <w:top w:val="nil"/>
              <w:left w:val="nil"/>
              <w:bottom w:val="single" w:color="auto" w:sz="4" w:space="0"/>
              <w:right w:val="nil"/>
            </w:tcBorders>
            <w:noWrap w:val="0"/>
            <w:vAlign w:val="bottom"/>
          </w:tcPr>
          <w:p>
            <w:pPr>
              <w:widowControl/>
              <w:jc w:val="right"/>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单位：万元</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lang w:eastAsia="zh-CN"/>
              </w:rPr>
              <w:t>部门预算支出</w:t>
            </w:r>
            <w:r>
              <w:rPr>
                <w:rFonts w:hint="default" w:ascii="Times New Roman" w:hAnsi="Times New Roman" w:cs="Times New Roman" w:eastAsiaTheme="minorEastAsia"/>
                <w:color w:val="auto"/>
                <w:kern w:val="0"/>
                <w:sz w:val="20"/>
                <w:szCs w:val="20"/>
              </w:rPr>
              <w:t>经济分类科目</w:t>
            </w:r>
          </w:p>
        </w:tc>
        <w:tc>
          <w:tcPr>
            <w:tcW w:w="1995"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rPr>
              <w:t>合计</w:t>
            </w:r>
          </w:p>
        </w:tc>
        <w:tc>
          <w:tcPr>
            <w:tcW w:w="1671"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kern w:val="0"/>
                <w:sz w:val="20"/>
                <w:szCs w:val="20"/>
              </w:rPr>
              <w:t>人员经费</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kern w:val="0"/>
                <w:sz w:val="20"/>
                <w:szCs w:val="20"/>
              </w:rPr>
              <w:t>公用经费</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rPr>
            </w:pPr>
            <w:r>
              <w:rPr>
                <w:rFonts w:hint="eastAsia" w:ascii="Times New Roman" w:hAnsi="Times New Roman" w:cs="Times New Roman" w:eastAsiaTheme="minorEastAsia"/>
                <w:i w:val="0"/>
                <w:iCs w:val="0"/>
                <w:color w:val="auto"/>
                <w:kern w:val="0"/>
                <w:sz w:val="20"/>
                <w:szCs w:val="20"/>
                <w:u w:val="none"/>
                <w:lang w:val="en-US" w:eastAsia="zh-CN" w:bidi="ar"/>
              </w:rPr>
              <w:t>一、</w:t>
            </w:r>
            <w:r>
              <w:rPr>
                <w:rFonts w:hint="default" w:ascii="Times New Roman" w:hAnsi="Times New Roman" w:cs="Times New Roman" w:eastAsiaTheme="minorEastAsia"/>
                <w:i w:val="0"/>
                <w:iCs w:val="0"/>
                <w:color w:val="auto"/>
                <w:kern w:val="0"/>
                <w:sz w:val="20"/>
                <w:szCs w:val="20"/>
                <w:u w:val="none"/>
                <w:lang w:val="en-US" w:eastAsia="zh-CN" w:bidi="ar"/>
              </w:rPr>
              <w:t>工资福利支出</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48.50</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48.50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基本工资</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16.46</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16.46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津贴补贴</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11.21</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11.21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奖金</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8.38</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8.38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716"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机关事业单位基本养老保险缴费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5.44</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5.44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职工基本医疗保险缴费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1.71</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1.71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其他社会保障缴费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0.05</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0.05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住房公积金</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4.40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医疗费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0.56</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其他工资福利支出</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0.29</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sz w:val="20"/>
                <w:szCs w:val="20"/>
              </w:rPr>
            </w:pPr>
            <w:r>
              <w:rPr>
                <w:rFonts w:hint="eastAsia" w:ascii="Times New Roman" w:hAnsi="Times New Roman" w:cs="Times New Roman" w:eastAsiaTheme="minorEastAsia"/>
                <w:i w:val="0"/>
                <w:iCs w:val="0"/>
                <w:color w:val="auto"/>
                <w:kern w:val="0"/>
                <w:sz w:val="20"/>
                <w:szCs w:val="20"/>
                <w:u w:val="none"/>
                <w:lang w:val="en-US" w:eastAsia="zh-CN" w:bidi="ar"/>
              </w:rPr>
              <w:t>二、</w:t>
            </w:r>
            <w:r>
              <w:rPr>
                <w:rFonts w:hint="default" w:ascii="Times New Roman" w:hAnsi="Times New Roman" w:cs="Times New Roman" w:eastAsiaTheme="minorEastAsia"/>
                <w:i w:val="0"/>
                <w:iCs w:val="0"/>
                <w:color w:val="auto"/>
                <w:kern w:val="0"/>
                <w:sz w:val="20"/>
                <w:szCs w:val="20"/>
                <w:u w:val="none"/>
                <w:lang w:val="en-US" w:eastAsia="zh-CN" w:bidi="ar"/>
              </w:rPr>
              <w:t>商品和服务支出</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9.07</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9.07</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办公费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1.42</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1.42</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邮电费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0.25</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0.25</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差旅费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2.00</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2.00</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培训费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0.19</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0.19</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工会经费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0.53</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0.53</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福利费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1.51</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1.51</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其他交通费用</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2.52</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2.52</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其他商品和服务支出</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0.65</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0.65</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sz w:val="20"/>
                <w:szCs w:val="20"/>
              </w:rPr>
            </w:pPr>
            <w:r>
              <w:rPr>
                <w:rFonts w:hint="eastAsia" w:ascii="Times New Roman" w:hAnsi="Times New Roman" w:cs="Times New Roman" w:eastAsiaTheme="minorEastAsia"/>
                <w:i w:val="0"/>
                <w:iCs w:val="0"/>
                <w:color w:val="auto"/>
                <w:kern w:val="0"/>
                <w:sz w:val="20"/>
                <w:szCs w:val="20"/>
                <w:u w:val="none"/>
                <w:lang w:val="en-US" w:eastAsia="zh-CN" w:bidi="ar"/>
              </w:rPr>
              <w:t>三、</w:t>
            </w:r>
            <w:r>
              <w:rPr>
                <w:rFonts w:hint="default" w:ascii="Times New Roman" w:hAnsi="Times New Roman" w:cs="Times New Roman" w:eastAsiaTheme="minorEastAsia"/>
                <w:i w:val="0"/>
                <w:iCs w:val="0"/>
                <w:color w:val="auto"/>
                <w:kern w:val="0"/>
                <w:sz w:val="20"/>
                <w:szCs w:val="20"/>
                <w:u w:val="none"/>
                <w:lang w:val="en-US" w:eastAsia="zh-CN" w:bidi="ar"/>
              </w:rPr>
              <w:t>对个人和家庭的补助</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3.64</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退休费</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3.46</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3.46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其他对个人和家庭的补助</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0.18</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sz w:val="20"/>
                <w:szCs w:val="20"/>
              </w:rPr>
            </w:pPr>
            <w:r>
              <w:rPr>
                <w:rFonts w:hint="eastAsia" w:ascii="Times New Roman" w:hAnsi="Times New Roman" w:cs="Times New Roman" w:eastAsiaTheme="minorEastAsia"/>
                <w:i w:val="0"/>
                <w:iCs w:val="0"/>
                <w:color w:val="auto"/>
                <w:kern w:val="0"/>
                <w:sz w:val="20"/>
                <w:szCs w:val="20"/>
                <w:u w:val="none"/>
                <w:lang w:val="en-US" w:eastAsia="zh-CN" w:bidi="ar"/>
              </w:rPr>
              <w:t>四、</w:t>
            </w:r>
            <w:r>
              <w:rPr>
                <w:rFonts w:hint="default" w:ascii="Times New Roman" w:hAnsi="Times New Roman" w:cs="Times New Roman" w:eastAsiaTheme="minorEastAsia"/>
                <w:i w:val="0"/>
                <w:iCs w:val="0"/>
                <w:color w:val="auto"/>
                <w:kern w:val="0"/>
                <w:sz w:val="20"/>
                <w:szCs w:val="20"/>
                <w:u w:val="none"/>
                <w:lang w:val="en-US" w:eastAsia="zh-CN" w:bidi="ar"/>
              </w:rPr>
              <w:t>资本性支出</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0.30</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0.30</w:t>
            </w:r>
          </w:p>
        </w:tc>
      </w:tr>
      <w:tr>
        <w:tblPrEx>
          <w:tblCellMar>
            <w:top w:w="0" w:type="dxa"/>
            <w:left w:w="108" w:type="dxa"/>
            <w:bottom w:w="0" w:type="dxa"/>
            <w:right w:w="108" w:type="dxa"/>
          </w:tblCellMar>
        </w:tblPrEx>
        <w:trPr>
          <w:trHeight w:val="375" w:hRule="atLeast"/>
          <w:jc w:val="center"/>
        </w:trPr>
        <w:tc>
          <w:tcPr>
            <w:tcW w:w="3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办公设备购置</w:t>
            </w:r>
          </w:p>
        </w:tc>
        <w:tc>
          <w:tcPr>
            <w:tcW w:w="19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0.30</w:t>
            </w:r>
          </w:p>
        </w:tc>
        <w:tc>
          <w:tcPr>
            <w:tcW w:w="1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cs="Times New Roman" w:eastAsiaTheme="minorEastAsia"/>
                <w:color w:val="auto"/>
                <w:sz w:val="20"/>
                <w:szCs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0.30</w:t>
            </w:r>
          </w:p>
        </w:tc>
      </w:tr>
      <w:tr>
        <w:tblPrEx>
          <w:tblCellMar>
            <w:top w:w="0" w:type="dxa"/>
            <w:left w:w="108" w:type="dxa"/>
            <w:bottom w:w="0" w:type="dxa"/>
            <w:right w:w="108" w:type="dxa"/>
          </w:tblCellMar>
        </w:tblPrEx>
        <w:trPr>
          <w:trHeight w:val="410" w:hRule="atLeast"/>
          <w:jc w:val="center"/>
        </w:trPr>
        <w:tc>
          <w:tcPr>
            <w:tcW w:w="3170"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ascii="Times New Roman" w:hAnsi="Times New Roman" w:cs="Times New Roman" w:eastAsiaTheme="minorEastAsia"/>
                <w:color w:val="auto"/>
                <w:kern w:val="0"/>
                <w:sz w:val="20"/>
                <w:szCs w:val="20"/>
                <w:lang w:val="en-US" w:eastAsia="zh-CN"/>
              </w:rPr>
            </w:pPr>
            <w:r>
              <w:rPr>
                <w:rFonts w:hint="default" w:ascii="Times New Roman" w:hAnsi="Times New Roman" w:cs="Times New Roman" w:eastAsiaTheme="minorEastAsia"/>
                <w:color w:val="auto"/>
                <w:kern w:val="0"/>
                <w:sz w:val="20"/>
                <w:szCs w:val="20"/>
                <w:lang w:val="en-US" w:eastAsia="zh-CN"/>
              </w:rPr>
              <w:t>合计</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61.51</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52.14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9.37</w:t>
            </w:r>
          </w:p>
        </w:tc>
      </w:tr>
    </w:tbl>
    <w:p>
      <w:pPr>
        <w:ind w:firstLine="636"/>
        <w:rPr>
          <w:rFonts w:hint="default" w:ascii="Times New Roman" w:hAnsi="Times New Roman" w:eastAsia="楷体" w:cs="Times New Roman"/>
          <w:color w:val="auto"/>
        </w:rPr>
      </w:pPr>
      <w:r>
        <w:rPr>
          <w:rFonts w:hint="default" w:ascii="Times New Roman" w:hAnsi="Times New Roman" w:eastAsia="楷体" w:cs="Times New Roman"/>
          <w:color w:val="auto"/>
        </w:rPr>
        <w:br w:type="page"/>
      </w:r>
    </w:p>
    <w:tbl>
      <w:tblPr>
        <w:tblStyle w:val="10"/>
        <w:tblW w:w="0" w:type="auto"/>
        <w:jc w:val="center"/>
        <w:tblLayout w:type="fixed"/>
        <w:tblCellMar>
          <w:top w:w="0" w:type="dxa"/>
          <w:left w:w="108" w:type="dxa"/>
          <w:bottom w:w="0" w:type="dxa"/>
          <w:right w:w="108" w:type="dxa"/>
        </w:tblCellMar>
      </w:tblPr>
      <w:tblGrid>
        <w:gridCol w:w="5163"/>
        <w:gridCol w:w="3061"/>
      </w:tblGrid>
      <w:tr>
        <w:tblPrEx>
          <w:tblCellMar>
            <w:top w:w="0" w:type="dxa"/>
            <w:left w:w="108" w:type="dxa"/>
            <w:bottom w:w="0" w:type="dxa"/>
            <w:right w:w="108" w:type="dxa"/>
          </w:tblCellMar>
        </w:tblPrEx>
        <w:trPr>
          <w:trHeight w:val="1246" w:hRule="atLeast"/>
          <w:jc w:val="center"/>
        </w:trPr>
        <w:tc>
          <w:tcPr>
            <w:tcW w:w="8224" w:type="dxa"/>
            <w:gridSpan w:val="2"/>
            <w:tcBorders>
              <w:top w:val="nil"/>
              <w:left w:val="nil"/>
              <w:right w:val="nil"/>
            </w:tcBorders>
            <w:noWrap w:val="0"/>
            <w:vAlign w:val="center"/>
          </w:tcPr>
          <w:p>
            <w:pPr>
              <w:widowControl/>
              <w:jc w:val="center"/>
              <w:rPr>
                <w:rFonts w:hint="default" w:ascii="Times New Roman" w:hAnsi="Times New Roman" w:eastAsia="宋体" w:cs="Times New Roman"/>
                <w:color w:val="auto"/>
                <w:kern w:val="0"/>
                <w:sz w:val="44"/>
                <w:szCs w:val="44"/>
              </w:rPr>
            </w:pPr>
            <w:r>
              <w:rPr>
                <w:rFonts w:hint="default" w:ascii="Times New Roman" w:hAnsi="Times New Roman" w:eastAsia="方正小标宋简体" w:cs="Times New Roman"/>
                <w:color w:val="auto"/>
                <w:kern w:val="0"/>
                <w:sz w:val="44"/>
                <w:szCs w:val="44"/>
              </w:rPr>
              <w:t>一般公共预算“三公”经费支出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tc>
      </w:tr>
      <w:tr>
        <w:tblPrEx>
          <w:tblCellMar>
            <w:top w:w="0" w:type="dxa"/>
            <w:left w:w="108" w:type="dxa"/>
            <w:bottom w:w="0" w:type="dxa"/>
            <w:right w:w="108" w:type="dxa"/>
          </w:tblCellMar>
        </w:tblPrEx>
        <w:trPr>
          <w:trHeight w:val="440" w:hRule="atLeast"/>
          <w:jc w:val="center"/>
        </w:trPr>
        <w:tc>
          <w:tcPr>
            <w:tcW w:w="8224" w:type="dxa"/>
            <w:gridSpan w:val="2"/>
            <w:tcBorders>
              <w:bottom w:val="single" w:color="auto" w:sz="4" w:space="0"/>
            </w:tcBorders>
            <w:noWrap w:val="0"/>
            <w:vAlign w:val="bottom"/>
          </w:tcPr>
          <w:p>
            <w:pPr>
              <w:widowControl/>
              <w:jc w:val="right"/>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单位：万元</w:t>
            </w:r>
          </w:p>
        </w:tc>
      </w:tr>
      <w:tr>
        <w:tblPrEx>
          <w:tblCellMar>
            <w:top w:w="0" w:type="dxa"/>
            <w:left w:w="108" w:type="dxa"/>
            <w:bottom w:w="0" w:type="dxa"/>
            <w:right w:w="108" w:type="dxa"/>
          </w:tblCellMar>
        </w:tblPrEx>
        <w:trPr>
          <w:trHeight w:val="851" w:hRule="atLeast"/>
          <w:jc w:val="center"/>
        </w:trPr>
        <w:tc>
          <w:tcPr>
            <w:tcW w:w="5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    目</w:t>
            </w:r>
          </w:p>
        </w:tc>
        <w:tc>
          <w:tcPr>
            <w:tcW w:w="306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202</w:t>
            </w:r>
            <w:r>
              <w:rPr>
                <w:rFonts w:hint="default" w:ascii="Times New Roman" w:hAnsi="Times New Roman" w:eastAsia="宋体" w:cs="Times New Roman"/>
                <w:color w:val="auto"/>
                <w:kern w:val="0"/>
                <w:sz w:val="20"/>
                <w:szCs w:val="20"/>
                <w:lang w:val="en-US" w:eastAsia="zh-CN"/>
              </w:rPr>
              <w:t>5</w:t>
            </w:r>
            <w:r>
              <w:rPr>
                <w:rFonts w:hint="default" w:ascii="Times New Roman" w:hAnsi="Times New Roman" w:eastAsia="宋体" w:cs="Times New Roman"/>
                <w:color w:val="auto"/>
                <w:kern w:val="0"/>
                <w:sz w:val="20"/>
                <w:szCs w:val="20"/>
              </w:rPr>
              <w:t>年预算数</w:t>
            </w:r>
          </w:p>
        </w:tc>
      </w:tr>
      <w:tr>
        <w:tblPrEx>
          <w:tblCellMar>
            <w:top w:w="0" w:type="dxa"/>
            <w:left w:w="108" w:type="dxa"/>
            <w:bottom w:w="0" w:type="dxa"/>
            <w:right w:w="108" w:type="dxa"/>
          </w:tblCellMar>
        </w:tblPrEx>
        <w:trPr>
          <w:trHeight w:val="801" w:hRule="atLeast"/>
          <w:jc w:val="center"/>
        </w:trPr>
        <w:tc>
          <w:tcPr>
            <w:tcW w:w="516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    计</w:t>
            </w:r>
          </w:p>
        </w:tc>
        <w:tc>
          <w:tcPr>
            <w:tcW w:w="30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801" w:hRule="atLeast"/>
          <w:jc w:val="center"/>
        </w:trPr>
        <w:tc>
          <w:tcPr>
            <w:tcW w:w="516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1、因公出国（境）费用</w:t>
            </w:r>
          </w:p>
        </w:tc>
        <w:tc>
          <w:tcPr>
            <w:tcW w:w="30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801" w:hRule="atLeast"/>
          <w:jc w:val="center"/>
        </w:trPr>
        <w:tc>
          <w:tcPr>
            <w:tcW w:w="516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2、公务接待费</w:t>
            </w:r>
          </w:p>
        </w:tc>
        <w:tc>
          <w:tcPr>
            <w:tcW w:w="30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801" w:hRule="atLeast"/>
          <w:jc w:val="center"/>
        </w:trPr>
        <w:tc>
          <w:tcPr>
            <w:tcW w:w="516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3、公务用车费</w:t>
            </w:r>
          </w:p>
        </w:tc>
        <w:tc>
          <w:tcPr>
            <w:tcW w:w="30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801" w:hRule="atLeast"/>
          <w:jc w:val="center"/>
        </w:trPr>
        <w:tc>
          <w:tcPr>
            <w:tcW w:w="5163"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其中：（1）公务用车运行维护费</w:t>
            </w:r>
          </w:p>
        </w:tc>
        <w:tc>
          <w:tcPr>
            <w:tcW w:w="30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801" w:hRule="atLeast"/>
          <w:jc w:val="center"/>
        </w:trPr>
        <w:tc>
          <w:tcPr>
            <w:tcW w:w="516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xml:space="preserve">          （2）公务用车购置</w:t>
            </w:r>
          </w:p>
        </w:tc>
        <w:tc>
          <w:tcPr>
            <w:tcW w:w="306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rPr>
            </w:pPr>
          </w:p>
        </w:tc>
      </w:tr>
    </w:tbl>
    <w:p>
      <w:pPr>
        <w:ind w:firstLine="560"/>
        <w:rPr>
          <w:rFonts w:hint="eastAsia"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rPr>
        <w:t>说明：本单位2025年度无一般公共预算“三公”经费支出预算，故本表无数据</w:t>
      </w:r>
      <w:r>
        <w:rPr>
          <w:rFonts w:hint="default" w:ascii="Times New Roman" w:hAnsi="Times New Roman" w:eastAsia="仿宋" w:cs="Times New Roman"/>
          <w:color w:val="auto"/>
          <w:kern w:val="0"/>
          <w:sz w:val="32"/>
          <w:szCs w:val="32"/>
          <w:lang w:eastAsia="zh-CN"/>
        </w:rPr>
        <w:t>。</w:t>
      </w:r>
    </w:p>
    <w:p>
      <w:pPr>
        <w:rPr>
          <w:rFonts w:hint="default" w:ascii="Times New Roman" w:hAnsi="Times New Roman" w:eastAsia="楷体" w:cs="Times New Roman"/>
          <w:color w:val="auto"/>
          <w:kern w:val="0"/>
          <w:szCs w:val="32"/>
        </w:rPr>
      </w:pPr>
      <w:r>
        <w:rPr>
          <w:rFonts w:hint="default" w:ascii="Times New Roman" w:hAnsi="Times New Roman" w:eastAsia="楷体" w:cs="Times New Roman"/>
          <w:color w:val="auto"/>
          <w:kern w:val="0"/>
          <w:szCs w:val="32"/>
        </w:rPr>
        <w:br w:type="page"/>
      </w:r>
    </w:p>
    <w:p>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说明：本单位2025年度无政府性基金预算拨款支出预算，故本表无数据</w:t>
      </w:r>
      <w:r>
        <w:rPr>
          <w:rFonts w:hint="default" w:ascii="Times New Roman" w:hAnsi="Times New Roman" w:eastAsia="仿宋_GB2312" w:cs="Times New Roman"/>
          <w:color w:val="auto"/>
          <w:kern w:val="0"/>
          <w:sz w:val="32"/>
          <w:szCs w:val="32"/>
          <w:lang w:eastAsia="zh-CN"/>
        </w:rPr>
        <w:t>。</w:t>
      </w:r>
    </w:p>
    <w:tbl>
      <w:tblPr>
        <w:tblStyle w:val="10"/>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726" w:hRule="atLeast"/>
        </w:trPr>
        <w:tc>
          <w:tcPr>
            <w:tcW w:w="8789" w:type="dxa"/>
            <w:gridSpan w:val="4"/>
            <w:tcBorders>
              <w:bottom w:val="nil"/>
            </w:tcBorders>
            <w:noWrap w:val="0"/>
            <w:vAlign w:val="center"/>
          </w:tcPr>
          <w:p>
            <w:pPr>
              <w:widowControl/>
              <w:jc w:val="center"/>
              <w:rPr>
                <w:rFonts w:hint="default" w:ascii="Times New Roman" w:hAnsi="Times New Roman" w:eastAsia="方正小标宋简体" w:cs="Times New Roman"/>
                <w:color w:val="auto"/>
                <w:kern w:val="0"/>
                <w:sz w:val="44"/>
                <w:szCs w:val="44"/>
              </w:rPr>
            </w:pPr>
          </w:p>
          <w:p>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政府性基金预算</w:t>
            </w:r>
            <w:r>
              <w:rPr>
                <w:rFonts w:hint="default" w:ascii="Times New Roman" w:hAnsi="Times New Roman" w:eastAsia="方正小标宋简体" w:cs="Times New Roman"/>
                <w:color w:val="auto"/>
                <w:kern w:val="0"/>
                <w:sz w:val="44"/>
                <w:szCs w:val="44"/>
                <w:lang w:eastAsia="zh-CN"/>
              </w:rPr>
              <w:t>拨款</w:t>
            </w:r>
            <w:r>
              <w:rPr>
                <w:rFonts w:hint="default" w:ascii="Times New Roman" w:hAnsi="Times New Roman" w:eastAsia="方正小标宋简体" w:cs="Times New Roman"/>
                <w:color w:val="auto"/>
                <w:kern w:val="0"/>
                <w:sz w:val="44"/>
                <w:szCs w:val="44"/>
              </w:rPr>
              <w:t>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p>
            <w:pPr>
              <w:widowControl/>
              <w:wordWrap w:val="0"/>
              <w:jc w:val="both"/>
              <w:rPr>
                <w:rFonts w:hint="default" w:ascii="Times New Roman" w:hAnsi="Times New Roman" w:eastAsia="华文细黑" w:cs="Times New Roman"/>
                <w:color w:val="auto"/>
                <w:kern w:val="0"/>
                <w:sz w:val="20"/>
                <w:lang w:val="en-US" w:eastAsia="zh-CN"/>
              </w:rPr>
            </w:pPr>
            <w:r>
              <w:rPr>
                <w:rFonts w:hint="default" w:ascii="Times New Roman" w:hAnsi="Times New Roman" w:eastAsia="华文细黑" w:cs="Times New Roman"/>
                <w:color w:val="auto"/>
                <w:kern w:val="0"/>
                <w:sz w:val="20"/>
                <w:lang w:val="en-US" w:eastAsia="zh-CN"/>
              </w:rPr>
              <w:t xml:space="preserve"> </w:t>
            </w:r>
          </w:p>
        </w:tc>
      </w:tr>
      <w:tr>
        <w:tblPrEx>
          <w:tblCellMar>
            <w:top w:w="15" w:type="dxa"/>
            <w:left w:w="15" w:type="dxa"/>
            <w:bottom w:w="15" w:type="dxa"/>
            <w:right w:w="15" w:type="dxa"/>
          </w:tblCellMar>
        </w:tblPrEx>
        <w:trPr>
          <w:trHeight w:val="369" w:hRule="atLeast"/>
        </w:trPr>
        <w:tc>
          <w:tcPr>
            <w:tcW w:w="2197" w:type="dxa"/>
            <w:tcBorders>
              <w:top w:val="nil"/>
              <w:left w:val="nil"/>
              <w:bottom w:val="single" w:color="000000" w:sz="4" w:space="0"/>
              <w:right w:val="nil"/>
            </w:tcBorders>
            <w:noWrap w:val="0"/>
            <w:vAlign w:val="center"/>
          </w:tcPr>
          <w:p>
            <w:pPr>
              <w:widowControl/>
              <w:jc w:val="center"/>
              <w:rPr>
                <w:rFonts w:hint="default" w:ascii="Times New Roman" w:hAnsi="Times New Roman" w:eastAsia="宋体" w:cs="Times New Roman"/>
                <w:color w:val="auto"/>
                <w:sz w:val="20"/>
              </w:rPr>
            </w:pPr>
          </w:p>
        </w:tc>
        <w:tc>
          <w:tcPr>
            <w:tcW w:w="2197" w:type="dxa"/>
            <w:tcBorders>
              <w:top w:val="nil"/>
              <w:left w:val="nil"/>
              <w:bottom w:val="single" w:color="000000" w:sz="4" w:space="0"/>
              <w:right w:val="nil"/>
            </w:tcBorders>
            <w:noWrap w:val="0"/>
            <w:vAlign w:val="center"/>
          </w:tcPr>
          <w:p>
            <w:pPr>
              <w:widowControl/>
              <w:jc w:val="center"/>
              <w:rPr>
                <w:rFonts w:hint="default" w:ascii="Times New Roman" w:hAnsi="Times New Roman" w:eastAsia="宋体" w:cs="Times New Roman"/>
                <w:color w:val="auto"/>
                <w:kern w:val="0"/>
                <w:sz w:val="20"/>
              </w:rPr>
            </w:pPr>
          </w:p>
        </w:tc>
        <w:tc>
          <w:tcPr>
            <w:tcW w:w="2197" w:type="dxa"/>
            <w:tcBorders>
              <w:top w:val="nil"/>
              <w:left w:val="nil"/>
              <w:bottom w:val="single" w:color="000000" w:sz="4" w:space="0"/>
              <w:right w:val="nil"/>
            </w:tcBorders>
            <w:noWrap w:val="0"/>
            <w:vAlign w:val="center"/>
          </w:tcPr>
          <w:p>
            <w:pPr>
              <w:widowControl/>
              <w:jc w:val="center"/>
              <w:rPr>
                <w:rFonts w:hint="default" w:ascii="Times New Roman" w:hAnsi="Times New Roman" w:eastAsia="宋体" w:cs="Times New Roman"/>
                <w:color w:val="auto"/>
                <w:kern w:val="0"/>
                <w:sz w:val="20"/>
              </w:rPr>
            </w:pPr>
          </w:p>
        </w:tc>
        <w:tc>
          <w:tcPr>
            <w:tcW w:w="2198" w:type="dxa"/>
            <w:tcBorders>
              <w:top w:val="nil"/>
              <w:left w:val="nil"/>
              <w:bottom w:val="single" w:color="000000" w:sz="4" w:space="0"/>
              <w:right w:val="nil"/>
            </w:tcBorders>
            <w:noWrap w:val="0"/>
            <w:vAlign w:val="center"/>
          </w:tcPr>
          <w:p>
            <w:pPr>
              <w:widowControl/>
              <w:jc w:val="right"/>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单位：万元</w:t>
            </w:r>
          </w:p>
        </w:tc>
      </w:tr>
      <w:tr>
        <w:tblPrEx>
          <w:tblCellMar>
            <w:top w:w="15" w:type="dxa"/>
            <w:left w:w="15" w:type="dxa"/>
            <w:bottom w:w="15" w:type="dxa"/>
            <w:right w:w="15" w:type="dxa"/>
          </w:tblCellMar>
        </w:tblPrEx>
        <w:trPr>
          <w:trHeight w:val="1420" w:hRule="atLeast"/>
        </w:trPr>
        <w:tc>
          <w:tcPr>
            <w:tcW w:w="219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功能分类</w:t>
            </w:r>
          </w:p>
          <w:p>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sz w:val="20"/>
              </w:rPr>
              <w:t>科目名称</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bl>
    <w:p>
      <w:pPr>
        <w:spacing w:line="700" w:lineRule="exact"/>
        <w:rPr>
          <w:rFonts w:hint="default" w:ascii="Times New Roman" w:hAnsi="Times New Roman" w:eastAsia="楷体_GB2312" w:cs="Times New Roman"/>
          <w:color w:val="auto"/>
          <w:kern w:val="0"/>
          <w:szCs w:val="32"/>
        </w:rPr>
      </w:pPr>
    </w:p>
    <w:p>
      <w:pPr>
        <w:spacing w:line="700" w:lineRule="exact"/>
        <w:ind w:firstLine="640" w:firstLineChars="200"/>
        <w:rPr>
          <w:rFonts w:hint="default" w:ascii="Times New Roman" w:hAnsi="Times New Roman" w:eastAsia="楷体" w:cs="Times New Roman"/>
          <w:color w:val="auto"/>
          <w:kern w:val="0"/>
          <w:szCs w:val="32"/>
        </w:rPr>
      </w:pPr>
    </w:p>
    <w:p>
      <w:pPr>
        <w:spacing w:line="700" w:lineRule="exact"/>
        <w:ind w:firstLine="640" w:firstLineChars="200"/>
        <w:rPr>
          <w:rFonts w:hint="default" w:ascii="Times New Roman" w:hAnsi="Times New Roman" w:eastAsia="楷体" w:cs="Times New Roman"/>
          <w:color w:val="auto"/>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10"/>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国有资本经营预算支出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p>
            <w:pPr>
              <w:widowControl/>
              <w:jc w:val="right"/>
              <w:rPr>
                <w:rFonts w:hint="default" w:ascii="Times New Roman" w:hAnsi="Times New Roman" w:eastAsia="华文细黑" w:cs="Times New Roman"/>
                <w:color w:val="auto"/>
                <w:kern w:val="0"/>
                <w:sz w:val="20"/>
              </w:rPr>
            </w:pPr>
          </w:p>
          <w:p>
            <w:pPr>
              <w:widowControl/>
              <w:jc w:val="right"/>
              <w:rPr>
                <w:rFonts w:hint="default" w:ascii="Times New Roman" w:hAnsi="Times New Roman" w:eastAsia="华文细黑" w:cs="Times New Roman"/>
                <w:color w:val="auto"/>
                <w:kern w:val="0"/>
                <w:sz w:val="20"/>
              </w:rPr>
            </w:pPr>
            <w:r>
              <w:rPr>
                <w:rFonts w:hint="default" w:ascii="Times New Roman" w:hAnsi="Times New Roman" w:eastAsia="宋体" w:cs="Times New Roman"/>
                <w:color w:val="auto"/>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auto"/>
                <w:sz w:val="20"/>
              </w:rPr>
            </w:pPr>
            <w:r>
              <w:rPr>
                <w:rFonts w:hint="default" w:ascii="Times New Roman" w:hAnsi="Times New Roman" w:eastAsia="宋体" w:cs="Times New Roman"/>
                <w:color w:val="auto"/>
                <w:sz w:val="20"/>
              </w:rPr>
              <w:t>功能分类</w:t>
            </w:r>
          </w:p>
          <w:p>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42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rPr>
            </w:pPr>
          </w:p>
        </w:tc>
      </w:tr>
    </w:tbl>
    <w:p>
      <w:pPr>
        <w:spacing w:line="700" w:lineRule="exact"/>
        <w:rPr>
          <w:rFonts w:hint="default" w:ascii="Times New Roman" w:hAnsi="Times New Roman" w:eastAsia="楷体" w:cs="Times New Roman"/>
          <w:color w:val="auto"/>
          <w:kern w:val="0"/>
          <w:szCs w:val="32"/>
        </w:rPr>
      </w:pPr>
    </w:p>
    <w:p>
      <w:pPr>
        <w:spacing w:line="700" w:lineRule="exact"/>
        <w:ind w:firstLine="640" w:firstLineChars="200"/>
        <w:rPr>
          <w:rFonts w:hint="default" w:ascii="Times New Roman" w:hAnsi="Times New Roman" w:eastAsia="楷体" w:cs="Times New Roman"/>
          <w:color w:val="auto"/>
          <w:kern w:val="0"/>
          <w:sz w:val="32"/>
          <w:szCs w:val="32"/>
        </w:rPr>
      </w:pPr>
      <w:r>
        <w:rPr>
          <w:rFonts w:hint="default" w:ascii="Times New Roman" w:hAnsi="Times New Roman" w:eastAsia="仿宋_GB2312" w:cs="Times New Roman"/>
          <w:color w:val="auto"/>
          <w:kern w:val="0"/>
          <w:sz w:val="32"/>
          <w:szCs w:val="32"/>
        </w:rPr>
        <w:t>说明：本单位2025年度无国有资本经营预算支出预算，故本表无数据</w:t>
      </w:r>
      <w:r>
        <w:rPr>
          <w:rFonts w:hint="default" w:ascii="Times New Roman" w:hAnsi="Times New Roman" w:eastAsia="仿宋_GB2312" w:cs="Times New Roman"/>
          <w:color w:val="auto"/>
          <w:kern w:val="0"/>
          <w:sz w:val="32"/>
          <w:szCs w:val="32"/>
          <w:lang w:eastAsia="zh-CN"/>
        </w:rPr>
        <w:t>。</w:t>
      </w:r>
    </w:p>
    <w:p>
      <w:pPr>
        <w:spacing w:line="700" w:lineRule="exact"/>
        <w:ind w:firstLine="640" w:firstLineChars="200"/>
        <w:rPr>
          <w:rFonts w:hint="default" w:ascii="Times New Roman" w:hAnsi="Times New Roman" w:eastAsia="楷体" w:cs="Times New Roman"/>
          <w:color w:val="auto"/>
          <w:kern w:val="0"/>
          <w:szCs w:val="32"/>
        </w:rPr>
      </w:pPr>
    </w:p>
    <w:p>
      <w:pPr>
        <w:spacing w:line="700" w:lineRule="exact"/>
        <w:ind w:firstLine="640" w:firstLineChars="200"/>
        <w:rPr>
          <w:rFonts w:hint="default" w:ascii="Times New Roman" w:hAnsi="Times New Roman" w:eastAsia="楷体" w:cs="Times New Roman"/>
          <w:color w:val="auto"/>
          <w:kern w:val="0"/>
          <w:szCs w:val="32"/>
        </w:rPr>
      </w:pPr>
    </w:p>
    <w:p>
      <w:pPr>
        <w:ind w:firstLine="640" w:firstLineChars="200"/>
        <w:rPr>
          <w:rFonts w:hint="default" w:ascii="Times New Roman" w:hAnsi="Times New Roman" w:eastAsia="楷体" w:cs="Times New Roman"/>
          <w:color w:val="auto"/>
          <w:kern w:val="0"/>
          <w:szCs w:val="32"/>
        </w:rPr>
      </w:pPr>
    </w:p>
    <w:p>
      <w:pPr>
        <w:ind w:firstLine="640" w:firstLineChars="200"/>
        <w:rPr>
          <w:rFonts w:hint="default" w:ascii="Times New Roman" w:hAnsi="Times New Roman" w:eastAsia="楷体" w:cs="Times New Roman"/>
          <w:color w:val="auto"/>
          <w:kern w:val="0"/>
          <w:szCs w:val="32"/>
        </w:rPr>
      </w:pPr>
    </w:p>
    <w:p>
      <w:pPr>
        <w:ind w:firstLine="640" w:firstLineChars="200"/>
        <w:rPr>
          <w:rFonts w:hint="default" w:ascii="Times New Roman" w:hAnsi="Times New Roman" w:eastAsia="楷体" w:cs="Times New Roman"/>
          <w:color w:val="auto"/>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9"/>
        <w:gridCol w:w="350"/>
        <w:gridCol w:w="295"/>
        <w:gridCol w:w="1009"/>
        <w:gridCol w:w="782"/>
        <w:gridCol w:w="773"/>
        <w:gridCol w:w="436"/>
        <w:gridCol w:w="418"/>
        <w:gridCol w:w="373"/>
        <w:gridCol w:w="418"/>
        <w:gridCol w:w="482"/>
        <w:gridCol w:w="454"/>
        <w:gridCol w:w="546"/>
        <w:gridCol w:w="491"/>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676" w:type="dxa"/>
            <w:gridSpan w:val="16"/>
            <w:tcBorders>
              <w:top w:val="nil"/>
              <w:left w:val="nil"/>
              <w:bottom w:val="nil"/>
              <w:right w:val="nil"/>
            </w:tcBorders>
            <w:noWrap w:val="0"/>
            <w:vAlign w:val="center"/>
          </w:tcPr>
          <w:p>
            <w:pPr>
              <w:widowControl/>
              <w:jc w:val="center"/>
              <w:rPr>
                <w:rFonts w:hint="default" w:ascii="Times New Roman" w:hAnsi="Times New Roman" w:eastAsia="华文细黑" w:cs="Times New Roman"/>
                <w:color w:val="auto"/>
                <w:sz w:val="20"/>
                <w:szCs w:val="22"/>
              </w:rPr>
            </w:pPr>
            <w:r>
              <w:rPr>
                <w:rFonts w:hint="default" w:ascii="Times New Roman" w:hAnsi="Times New Roman" w:eastAsia="方正小标宋简体" w:cs="Times New Roman"/>
                <w:color w:val="auto"/>
                <w:kern w:val="0"/>
                <w:sz w:val="44"/>
                <w:szCs w:val="44"/>
              </w:rPr>
              <w:t>项目支出</w:t>
            </w:r>
            <w:r>
              <w:rPr>
                <w:rFonts w:hint="default" w:ascii="Times New Roman" w:hAnsi="Times New Roman" w:eastAsia="方正小标宋简体" w:cs="Times New Roman"/>
                <w:color w:val="auto"/>
                <w:kern w:val="0"/>
                <w:sz w:val="44"/>
                <w:szCs w:val="44"/>
                <w:lang w:eastAsia="zh-CN"/>
              </w:rPr>
              <w:t>预算</w:t>
            </w:r>
            <w:r>
              <w:rPr>
                <w:rFonts w:hint="default" w:ascii="Times New Roman" w:hAnsi="Times New Roman" w:eastAsia="方正小标宋简体" w:cs="Times New Roman"/>
                <w:color w:val="auto"/>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70" w:type="dxa"/>
            <w:tcBorders>
              <w:top w:val="nil"/>
              <w:left w:val="nil"/>
              <w:right w:val="nil"/>
            </w:tcBorders>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969" w:type="dxa"/>
            <w:gridSpan w:val="2"/>
            <w:tcBorders>
              <w:top w:val="nil"/>
              <w:left w:val="nil"/>
              <w:right w:val="nil"/>
            </w:tcBorders>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295" w:type="dxa"/>
            <w:tcBorders>
              <w:top w:val="nil"/>
              <w:left w:val="nil"/>
              <w:right w:val="nil"/>
            </w:tcBorders>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1009" w:type="dxa"/>
            <w:tcBorders>
              <w:top w:val="nil"/>
              <w:left w:val="nil"/>
              <w:right w:val="nil"/>
            </w:tcBorders>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782" w:type="dxa"/>
            <w:tcBorders>
              <w:top w:val="nil"/>
              <w:left w:val="nil"/>
              <w:right w:val="nil"/>
            </w:tcBorders>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2418" w:type="dxa"/>
            <w:gridSpan w:val="5"/>
            <w:tcBorders>
              <w:top w:val="nil"/>
              <w:left w:val="nil"/>
              <w:right w:val="nil"/>
            </w:tcBorders>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2333" w:type="dxa"/>
            <w:gridSpan w:val="5"/>
            <w:tcBorders>
              <w:top w:val="nil"/>
              <w:left w:val="nil"/>
              <w:right w:val="nil"/>
            </w:tcBorders>
            <w:noWrap w:val="0"/>
            <w:vAlign w:val="bottom"/>
          </w:tcPr>
          <w:p>
            <w:pPr>
              <w:autoSpaceDN w:val="0"/>
              <w:jc w:val="right"/>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70" w:type="dxa"/>
            <w:vMerge w:val="restart"/>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类型</w:t>
            </w:r>
          </w:p>
        </w:tc>
        <w:tc>
          <w:tcPr>
            <w:tcW w:w="1264" w:type="dxa"/>
            <w:gridSpan w:val="3"/>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项目名称</w:t>
            </w:r>
          </w:p>
        </w:tc>
        <w:tc>
          <w:tcPr>
            <w:tcW w:w="1009" w:type="dxa"/>
            <w:vMerge w:val="restart"/>
            <w:noWrap w:val="0"/>
            <w:textDirection w:val="tbLrV"/>
            <w:vAlign w:val="center"/>
          </w:tcPr>
          <w:p>
            <w:pPr>
              <w:autoSpaceDN w:val="0"/>
              <w:ind w:left="113" w:right="113"/>
              <w:jc w:val="center"/>
              <w:textAlignment w:val="center"/>
              <w:rPr>
                <w:rFonts w:hint="default" w:ascii="Times New Roman" w:hAnsi="Times New Roman" w:eastAsia="宋体" w:cs="Times New Roman"/>
                <w:color w:val="auto"/>
                <w:sz w:val="20"/>
                <w:szCs w:val="22"/>
                <w:lang w:eastAsia="zh-CN"/>
              </w:rPr>
            </w:pPr>
            <w:r>
              <w:rPr>
                <w:rFonts w:hint="default" w:ascii="Times New Roman" w:hAnsi="Times New Roman" w:eastAsia="宋体" w:cs="Times New Roman"/>
                <w:color w:val="auto"/>
                <w:sz w:val="20"/>
                <w:szCs w:val="22"/>
                <w:lang w:eastAsia="zh-CN"/>
              </w:rPr>
              <w:t>单位名称</w:t>
            </w:r>
          </w:p>
        </w:tc>
        <w:tc>
          <w:tcPr>
            <w:tcW w:w="782" w:type="dxa"/>
            <w:vMerge w:val="restart"/>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合计</w:t>
            </w:r>
          </w:p>
        </w:tc>
        <w:tc>
          <w:tcPr>
            <w:tcW w:w="2418" w:type="dxa"/>
            <w:gridSpan w:val="5"/>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lang w:eastAsia="zh-CN"/>
              </w:rPr>
              <w:t>本年预算</w:t>
            </w:r>
          </w:p>
        </w:tc>
        <w:tc>
          <w:tcPr>
            <w:tcW w:w="2333" w:type="dxa"/>
            <w:gridSpan w:val="5"/>
            <w:noWrap w:val="0"/>
            <w:vAlign w:val="center"/>
          </w:tcPr>
          <w:p>
            <w:pPr>
              <w:autoSpaceDN w:val="0"/>
              <w:jc w:val="center"/>
              <w:textAlignment w:val="center"/>
              <w:rPr>
                <w:rFonts w:hint="default" w:ascii="Times New Roman" w:hAnsi="Times New Roman" w:eastAsia="宋体" w:cs="Times New Roman"/>
                <w:color w:val="auto"/>
                <w:sz w:val="20"/>
                <w:szCs w:val="22"/>
                <w:lang w:eastAsia="zh-CN"/>
              </w:rPr>
            </w:pPr>
            <w:r>
              <w:rPr>
                <w:rFonts w:hint="default" w:ascii="Times New Roman" w:hAnsi="Times New Roman" w:eastAsia="宋体" w:cs="Times New Roman"/>
                <w:color w:val="auto"/>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0" w:type="dxa"/>
            <w:vMerge w:val="continue"/>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619" w:type="dxa"/>
            <w:vMerge w:val="restart"/>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一级项目</w:t>
            </w:r>
          </w:p>
        </w:tc>
        <w:tc>
          <w:tcPr>
            <w:tcW w:w="645" w:type="dxa"/>
            <w:gridSpan w:val="2"/>
            <w:vMerge w:val="restart"/>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二级</w:t>
            </w:r>
            <w:r>
              <w:rPr>
                <w:rFonts w:hint="default" w:ascii="Times New Roman" w:hAnsi="Times New Roman" w:eastAsia="宋体" w:cs="Times New Roman"/>
                <w:color w:val="auto"/>
                <w:sz w:val="20"/>
                <w:szCs w:val="22"/>
                <w:lang w:val="en-US" w:eastAsia="zh-CN"/>
              </w:rPr>
              <w:t xml:space="preserve">  </w:t>
            </w:r>
            <w:r>
              <w:rPr>
                <w:rFonts w:hint="default" w:ascii="Times New Roman" w:hAnsi="Times New Roman" w:eastAsia="宋体" w:cs="Times New Roman"/>
                <w:color w:val="auto"/>
                <w:sz w:val="20"/>
                <w:szCs w:val="22"/>
              </w:rPr>
              <w:t>项目</w:t>
            </w:r>
          </w:p>
        </w:tc>
        <w:tc>
          <w:tcPr>
            <w:tcW w:w="1009" w:type="dxa"/>
            <w:vMerge w:val="continue"/>
            <w:noWrap w:val="0"/>
            <w:textDirection w:val="tbLrV"/>
            <w:vAlign w:val="center"/>
          </w:tcPr>
          <w:p>
            <w:pPr>
              <w:autoSpaceDN w:val="0"/>
              <w:ind w:left="113" w:right="113"/>
              <w:jc w:val="center"/>
              <w:textAlignment w:val="center"/>
              <w:rPr>
                <w:rFonts w:hint="default" w:ascii="Times New Roman" w:hAnsi="Times New Roman" w:eastAsia="宋体" w:cs="Times New Roman"/>
                <w:color w:val="auto"/>
                <w:sz w:val="20"/>
                <w:szCs w:val="22"/>
                <w:lang w:eastAsia="zh-CN"/>
              </w:rPr>
            </w:pPr>
          </w:p>
        </w:tc>
        <w:tc>
          <w:tcPr>
            <w:tcW w:w="782" w:type="dxa"/>
            <w:vMerge w:val="continue"/>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1627" w:type="dxa"/>
            <w:gridSpan w:val="3"/>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财政拨款</w:t>
            </w:r>
          </w:p>
        </w:tc>
        <w:tc>
          <w:tcPr>
            <w:tcW w:w="373" w:type="dxa"/>
            <w:vMerge w:val="restart"/>
            <w:noWrap w:val="0"/>
            <w:vAlign w:val="center"/>
          </w:tcPr>
          <w:p>
            <w:pPr>
              <w:autoSpaceDN w:val="0"/>
              <w:spacing w:line="240" w:lineRule="auto"/>
              <w:jc w:val="center"/>
              <w:textAlignment w:val="center"/>
              <w:rPr>
                <w:rFonts w:hint="default" w:ascii="Times New Roman" w:hAnsi="Times New Roman" w:eastAsia="宋体" w:cs="Times New Roman"/>
                <w:color w:val="auto"/>
                <w:sz w:val="20"/>
                <w:szCs w:val="22"/>
                <w:lang w:eastAsia="zh-CN"/>
              </w:rPr>
            </w:pPr>
            <w:r>
              <w:rPr>
                <w:rFonts w:hint="default" w:ascii="Times New Roman" w:hAnsi="Times New Roman" w:eastAsia="宋体" w:cs="Times New Roman"/>
                <w:color w:val="auto"/>
                <w:sz w:val="20"/>
                <w:szCs w:val="22"/>
                <w:lang w:eastAsia="zh-CN"/>
              </w:rPr>
              <w:t>财政专户管理资金</w:t>
            </w:r>
          </w:p>
        </w:tc>
        <w:tc>
          <w:tcPr>
            <w:tcW w:w="418" w:type="dxa"/>
            <w:vMerge w:val="restart"/>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lang w:eastAsia="zh-CN"/>
              </w:rPr>
              <w:t>单位资金</w:t>
            </w:r>
          </w:p>
        </w:tc>
        <w:tc>
          <w:tcPr>
            <w:tcW w:w="1482" w:type="dxa"/>
            <w:gridSpan w:val="3"/>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财政拨款结转</w:t>
            </w:r>
          </w:p>
        </w:tc>
        <w:tc>
          <w:tcPr>
            <w:tcW w:w="851" w:type="dxa"/>
            <w:gridSpan w:val="2"/>
            <w:noWrap w:val="0"/>
            <w:vAlign w:val="center"/>
          </w:tcPr>
          <w:p>
            <w:pPr>
              <w:tabs>
                <w:tab w:val="left" w:pos="492"/>
              </w:tabs>
              <w:autoSpaceDN w:val="0"/>
              <w:jc w:val="center"/>
              <w:textAlignment w:val="center"/>
              <w:rPr>
                <w:rFonts w:hint="default" w:ascii="Times New Roman" w:hAnsi="Times New Roman" w:eastAsia="宋体" w:cs="Times New Roman"/>
                <w:color w:val="auto"/>
                <w:sz w:val="20"/>
                <w:szCs w:val="22"/>
                <w:lang w:eastAsia="zh-CN"/>
              </w:rPr>
            </w:pPr>
            <w:r>
              <w:rPr>
                <w:rFonts w:hint="default" w:ascii="Times New Roman" w:hAnsi="Times New Roman" w:eastAsia="宋体" w:cs="Times New Roman"/>
                <w:color w:val="auto"/>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870" w:type="dxa"/>
            <w:vMerge w:val="continue"/>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619" w:type="dxa"/>
            <w:vMerge w:val="continue"/>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645" w:type="dxa"/>
            <w:gridSpan w:val="2"/>
            <w:vMerge w:val="continue"/>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1009" w:type="dxa"/>
            <w:vMerge w:val="continue"/>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782" w:type="dxa"/>
            <w:vMerge w:val="continue"/>
            <w:noWrap w:val="0"/>
            <w:vAlign w:val="center"/>
          </w:tcPr>
          <w:p>
            <w:pPr>
              <w:autoSpaceDN w:val="0"/>
              <w:jc w:val="center"/>
              <w:textAlignment w:val="center"/>
              <w:rPr>
                <w:rFonts w:hint="default" w:ascii="Times New Roman" w:hAnsi="Times New Roman" w:eastAsia="宋体" w:cs="Times New Roman"/>
                <w:color w:val="auto"/>
                <w:sz w:val="20"/>
                <w:szCs w:val="22"/>
              </w:rPr>
            </w:pPr>
          </w:p>
        </w:tc>
        <w:tc>
          <w:tcPr>
            <w:tcW w:w="773" w:type="dxa"/>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一般公共预算</w:t>
            </w:r>
          </w:p>
        </w:tc>
        <w:tc>
          <w:tcPr>
            <w:tcW w:w="436" w:type="dxa"/>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政府性</w:t>
            </w:r>
          </w:p>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基金</w:t>
            </w:r>
          </w:p>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预算</w:t>
            </w:r>
          </w:p>
        </w:tc>
        <w:tc>
          <w:tcPr>
            <w:tcW w:w="418" w:type="dxa"/>
            <w:noWrap w:val="0"/>
            <w:vAlign w:val="center"/>
          </w:tcPr>
          <w:p>
            <w:pPr>
              <w:autoSpaceDN w:val="0"/>
              <w:jc w:val="center"/>
              <w:textAlignment w:val="center"/>
              <w:rPr>
                <w:rFonts w:hint="default" w:ascii="Times New Roman" w:hAnsi="Times New Roman" w:eastAsia="宋体" w:cs="Times New Roman"/>
                <w:color w:val="auto"/>
                <w:sz w:val="20"/>
                <w:szCs w:val="22"/>
                <w:lang w:eastAsia="zh-CN"/>
              </w:rPr>
            </w:pPr>
            <w:r>
              <w:rPr>
                <w:rFonts w:hint="default" w:ascii="Times New Roman" w:hAnsi="Times New Roman" w:eastAsia="宋体" w:cs="Times New Roman"/>
                <w:color w:val="auto"/>
                <w:sz w:val="20"/>
                <w:szCs w:val="22"/>
                <w:lang w:eastAsia="zh-CN"/>
              </w:rPr>
              <w:t>国有资本经营预算</w:t>
            </w:r>
          </w:p>
        </w:tc>
        <w:tc>
          <w:tcPr>
            <w:tcW w:w="373" w:type="dxa"/>
            <w:vMerge w:val="continue"/>
            <w:noWrap w:val="0"/>
            <w:textDirection w:val="tbLrV"/>
            <w:vAlign w:val="center"/>
          </w:tcPr>
          <w:p>
            <w:pPr>
              <w:autoSpaceDN w:val="0"/>
              <w:ind w:left="113" w:right="113"/>
              <w:jc w:val="center"/>
              <w:textAlignment w:val="center"/>
              <w:rPr>
                <w:rFonts w:hint="default" w:ascii="Times New Roman" w:hAnsi="Times New Roman" w:eastAsia="宋体" w:cs="Times New Roman"/>
                <w:color w:val="auto"/>
                <w:sz w:val="20"/>
                <w:szCs w:val="22"/>
                <w:lang w:eastAsia="zh-CN"/>
              </w:rPr>
            </w:pPr>
          </w:p>
        </w:tc>
        <w:tc>
          <w:tcPr>
            <w:tcW w:w="418" w:type="dxa"/>
            <w:vMerge w:val="continue"/>
            <w:noWrap w:val="0"/>
            <w:textDirection w:val="tbLrV"/>
            <w:vAlign w:val="center"/>
          </w:tcPr>
          <w:p>
            <w:pPr>
              <w:autoSpaceDN w:val="0"/>
              <w:ind w:left="113" w:right="113"/>
              <w:jc w:val="center"/>
              <w:textAlignment w:val="center"/>
              <w:rPr>
                <w:rFonts w:hint="default" w:ascii="Times New Roman" w:hAnsi="Times New Roman" w:eastAsia="宋体" w:cs="Times New Roman"/>
                <w:color w:val="auto"/>
                <w:sz w:val="20"/>
                <w:szCs w:val="22"/>
              </w:rPr>
            </w:pPr>
          </w:p>
        </w:tc>
        <w:tc>
          <w:tcPr>
            <w:tcW w:w="482" w:type="dxa"/>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一般</w:t>
            </w:r>
            <w:r>
              <w:rPr>
                <w:rFonts w:hint="default" w:ascii="Times New Roman" w:hAnsi="Times New Roman" w:eastAsia="宋体" w:cs="Times New Roman"/>
                <w:color w:val="auto"/>
                <w:sz w:val="20"/>
                <w:szCs w:val="22"/>
              </w:rPr>
              <w:br w:type="textWrapping"/>
            </w:r>
            <w:r>
              <w:rPr>
                <w:rFonts w:hint="default" w:ascii="Times New Roman" w:hAnsi="Times New Roman" w:eastAsia="宋体" w:cs="Times New Roman"/>
                <w:color w:val="auto"/>
                <w:sz w:val="20"/>
                <w:szCs w:val="22"/>
              </w:rPr>
              <w:t>公共</w:t>
            </w:r>
            <w:r>
              <w:rPr>
                <w:rFonts w:hint="default" w:ascii="Times New Roman" w:hAnsi="Times New Roman" w:eastAsia="宋体" w:cs="Times New Roman"/>
                <w:color w:val="auto"/>
                <w:sz w:val="20"/>
                <w:szCs w:val="22"/>
              </w:rPr>
              <w:br w:type="textWrapping"/>
            </w:r>
            <w:r>
              <w:rPr>
                <w:rFonts w:hint="default" w:ascii="Times New Roman" w:hAnsi="Times New Roman" w:eastAsia="宋体" w:cs="Times New Roman"/>
                <w:color w:val="auto"/>
                <w:sz w:val="20"/>
                <w:szCs w:val="22"/>
              </w:rPr>
              <w:t>预算</w:t>
            </w:r>
          </w:p>
        </w:tc>
        <w:tc>
          <w:tcPr>
            <w:tcW w:w="454" w:type="dxa"/>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政府性</w:t>
            </w:r>
            <w:r>
              <w:rPr>
                <w:rFonts w:hint="default" w:ascii="Times New Roman" w:hAnsi="Times New Roman" w:eastAsia="宋体" w:cs="Times New Roman"/>
                <w:color w:val="auto"/>
                <w:sz w:val="20"/>
                <w:szCs w:val="22"/>
              </w:rPr>
              <w:br w:type="textWrapping"/>
            </w:r>
            <w:r>
              <w:rPr>
                <w:rFonts w:hint="default" w:ascii="Times New Roman" w:hAnsi="Times New Roman" w:eastAsia="宋体" w:cs="Times New Roman"/>
                <w:color w:val="auto"/>
                <w:sz w:val="20"/>
                <w:szCs w:val="22"/>
              </w:rPr>
              <w:t>基金</w:t>
            </w:r>
            <w:r>
              <w:rPr>
                <w:rFonts w:hint="default" w:ascii="Times New Roman" w:hAnsi="Times New Roman" w:eastAsia="宋体" w:cs="Times New Roman"/>
                <w:color w:val="auto"/>
                <w:sz w:val="20"/>
                <w:szCs w:val="22"/>
              </w:rPr>
              <w:br w:type="textWrapping"/>
            </w:r>
            <w:r>
              <w:rPr>
                <w:rFonts w:hint="default" w:ascii="Times New Roman" w:hAnsi="Times New Roman" w:eastAsia="宋体" w:cs="Times New Roman"/>
                <w:color w:val="auto"/>
                <w:sz w:val="20"/>
                <w:szCs w:val="22"/>
              </w:rPr>
              <w:t>预算</w:t>
            </w:r>
          </w:p>
        </w:tc>
        <w:tc>
          <w:tcPr>
            <w:tcW w:w="546" w:type="dxa"/>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国有资本经营</w:t>
            </w:r>
            <w:r>
              <w:rPr>
                <w:rFonts w:hint="default" w:ascii="Times New Roman" w:hAnsi="Times New Roman" w:eastAsia="宋体" w:cs="Times New Roman"/>
                <w:color w:val="auto"/>
                <w:sz w:val="20"/>
                <w:szCs w:val="22"/>
              </w:rPr>
              <w:br w:type="textWrapping"/>
            </w:r>
            <w:r>
              <w:rPr>
                <w:rFonts w:hint="default" w:ascii="Times New Roman" w:hAnsi="Times New Roman" w:eastAsia="宋体" w:cs="Times New Roman"/>
                <w:color w:val="auto"/>
                <w:sz w:val="20"/>
                <w:szCs w:val="22"/>
              </w:rPr>
              <w:t>预算</w:t>
            </w:r>
          </w:p>
        </w:tc>
        <w:tc>
          <w:tcPr>
            <w:tcW w:w="491" w:type="dxa"/>
            <w:noWrap w:val="0"/>
            <w:vAlign w:val="center"/>
          </w:tcPr>
          <w:p>
            <w:pPr>
              <w:autoSpaceDN w:val="0"/>
              <w:jc w:val="center"/>
              <w:textAlignment w:val="center"/>
              <w:rPr>
                <w:rFonts w:hint="default" w:ascii="Times New Roman" w:hAnsi="Times New Roman" w:eastAsia="宋体" w:cs="Times New Roman"/>
                <w:color w:val="auto"/>
                <w:sz w:val="20"/>
                <w:szCs w:val="22"/>
                <w:lang w:eastAsia="zh-CN"/>
              </w:rPr>
            </w:pPr>
            <w:r>
              <w:rPr>
                <w:rFonts w:hint="default" w:ascii="Times New Roman" w:hAnsi="Times New Roman" w:eastAsia="宋体" w:cs="Times New Roman"/>
                <w:color w:val="auto"/>
                <w:sz w:val="20"/>
                <w:szCs w:val="22"/>
                <w:lang w:eastAsia="zh-CN"/>
              </w:rPr>
              <w:t>财政专户管理资金</w:t>
            </w:r>
          </w:p>
        </w:tc>
        <w:tc>
          <w:tcPr>
            <w:tcW w:w="360" w:type="dxa"/>
            <w:noWrap w:val="0"/>
            <w:vAlign w:val="center"/>
          </w:tcPr>
          <w:p>
            <w:pPr>
              <w:autoSpaceDN w:val="0"/>
              <w:jc w:val="center"/>
              <w:textAlignment w:val="center"/>
              <w:rPr>
                <w:rFonts w:hint="default" w:ascii="Times New Roman" w:hAnsi="Times New Roman" w:eastAsia="宋体" w:cs="Times New Roman"/>
                <w:color w:val="auto"/>
                <w:sz w:val="20"/>
                <w:szCs w:val="22"/>
              </w:rPr>
            </w:pPr>
            <w:r>
              <w:rPr>
                <w:rFonts w:hint="default" w:ascii="Times New Roman" w:hAnsi="Times New Roman" w:eastAsia="宋体" w:cs="Times New Roman"/>
                <w:color w:val="auto"/>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shd w:val="clear" w:color="auto"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default" w:ascii="Times New Roman" w:hAnsi="Times New Roman" w:cs="Times New Roman" w:eastAsiaTheme="minorEastAsia"/>
                <w:i w:val="0"/>
                <w:iCs w:val="0"/>
                <w:color w:val="auto"/>
                <w:kern w:val="0"/>
                <w:sz w:val="20"/>
                <w:szCs w:val="20"/>
                <w:u w:val="none"/>
                <w:lang w:val="en-US" w:eastAsia="zh-CN" w:bidi="ar"/>
              </w:rPr>
              <w:t>31部门特定目标类项目</w:t>
            </w:r>
          </w:p>
        </w:tc>
        <w:tc>
          <w:tcPr>
            <w:tcW w:w="619" w:type="dxa"/>
            <w:noWrap w:val="0"/>
            <w:vAlign w:val="center"/>
          </w:tcPr>
          <w:p>
            <w:pPr>
              <w:jc w:val="left"/>
              <w:rPr>
                <w:rFonts w:hint="default" w:ascii="Times New Roman" w:hAnsi="Times New Roman" w:cs="Times New Roman" w:eastAsiaTheme="minorEastAsia"/>
                <w:color w:val="auto"/>
                <w:kern w:val="0"/>
                <w:sz w:val="20"/>
                <w:szCs w:val="20"/>
              </w:rPr>
            </w:pPr>
          </w:p>
        </w:tc>
        <w:tc>
          <w:tcPr>
            <w:tcW w:w="645" w:type="dxa"/>
            <w:gridSpan w:val="2"/>
            <w:noWrap w:val="0"/>
            <w:vAlign w:val="center"/>
          </w:tcPr>
          <w:p>
            <w:pPr>
              <w:jc w:val="left"/>
              <w:rPr>
                <w:rFonts w:hint="default" w:ascii="Times New Roman" w:hAnsi="Times New Roman" w:cs="Times New Roman" w:eastAsiaTheme="minorEastAsia"/>
                <w:color w:val="auto"/>
                <w:kern w:val="0"/>
                <w:sz w:val="20"/>
                <w:szCs w:val="20"/>
              </w:rPr>
            </w:pPr>
          </w:p>
        </w:tc>
        <w:tc>
          <w:tcPr>
            <w:tcW w:w="1009"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782"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lang w:val="en-US"/>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773"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lang w:val="en-US"/>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436"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373"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82"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54"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546"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91"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360"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noWrap w:val="0"/>
            <w:vAlign w:val="center"/>
          </w:tcPr>
          <w:p>
            <w:pPr>
              <w:jc w:val="left"/>
              <w:rPr>
                <w:rFonts w:hint="default" w:ascii="Times New Roman" w:hAnsi="Times New Roman" w:cs="Times New Roman" w:eastAsiaTheme="minorEastAsia"/>
                <w:color w:val="auto"/>
                <w:kern w:val="0"/>
                <w:sz w:val="20"/>
                <w:szCs w:val="20"/>
              </w:rPr>
            </w:pPr>
          </w:p>
        </w:tc>
        <w:tc>
          <w:tcPr>
            <w:tcW w:w="619" w:type="dxa"/>
            <w:shd w:val="clear" w:color="auto"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default" w:ascii="Times New Roman" w:hAnsi="Times New Roman" w:cs="Times New Roman" w:eastAsiaTheme="minorEastAsia"/>
                <w:i w:val="0"/>
                <w:iCs w:val="0"/>
                <w:color w:val="auto"/>
                <w:kern w:val="0"/>
                <w:sz w:val="20"/>
                <w:szCs w:val="20"/>
                <w:u w:val="none"/>
                <w:lang w:val="en-US" w:eastAsia="zh-CN" w:bidi="ar"/>
              </w:rPr>
              <w:t>统计抽样调查</w:t>
            </w:r>
          </w:p>
        </w:tc>
        <w:tc>
          <w:tcPr>
            <w:tcW w:w="645" w:type="dxa"/>
            <w:gridSpan w:val="2"/>
            <w:noWrap w:val="0"/>
            <w:vAlign w:val="center"/>
          </w:tcPr>
          <w:p>
            <w:pPr>
              <w:jc w:val="left"/>
              <w:rPr>
                <w:rFonts w:hint="default" w:ascii="Times New Roman" w:hAnsi="Times New Roman" w:cs="Times New Roman" w:eastAsiaTheme="minorEastAsia"/>
                <w:color w:val="auto"/>
                <w:kern w:val="0"/>
                <w:sz w:val="20"/>
                <w:szCs w:val="20"/>
              </w:rPr>
            </w:pPr>
          </w:p>
        </w:tc>
        <w:tc>
          <w:tcPr>
            <w:tcW w:w="1009"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782"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773"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436"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373"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82"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54"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546"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91"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360"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noWrap w:val="0"/>
            <w:vAlign w:val="center"/>
          </w:tcPr>
          <w:p>
            <w:pPr>
              <w:jc w:val="left"/>
              <w:rPr>
                <w:rFonts w:hint="default" w:ascii="Times New Roman" w:hAnsi="Times New Roman" w:cs="Times New Roman" w:eastAsiaTheme="minorEastAsia"/>
                <w:color w:val="auto"/>
                <w:kern w:val="0"/>
                <w:sz w:val="20"/>
                <w:szCs w:val="20"/>
              </w:rPr>
            </w:pPr>
          </w:p>
        </w:tc>
        <w:tc>
          <w:tcPr>
            <w:tcW w:w="619" w:type="dxa"/>
            <w:noWrap w:val="0"/>
            <w:vAlign w:val="center"/>
          </w:tcPr>
          <w:p>
            <w:pPr>
              <w:jc w:val="left"/>
              <w:rPr>
                <w:rFonts w:hint="default" w:ascii="Times New Roman" w:hAnsi="Times New Roman" w:cs="Times New Roman" w:eastAsiaTheme="minorEastAsia"/>
                <w:color w:val="auto"/>
                <w:kern w:val="0"/>
                <w:sz w:val="20"/>
                <w:szCs w:val="20"/>
              </w:rPr>
            </w:pPr>
          </w:p>
        </w:tc>
        <w:tc>
          <w:tcPr>
            <w:tcW w:w="645" w:type="dxa"/>
            <w:gridSpan w:val="2"/>
            <w:shd w:val="clear" w:color="auto" w:fill="FFFFFF"/>
            <w:noWrap w:val="0"/>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default" w:ascii="Times New Roman" w:hAnsi="Times New Roman" w:cs="Times New Roman" w:eastAsiaTheme="minorEastAsia"/>
                <w:i w:val="0"/>
                <w:iCs w:val="0"/>
                <w:color w:val="auto"/>
                <w:kern w:val="0"/>
                <w:sz w:val="20"/>
                <w:szCs w:val="20"/>
                <w:u w:val="none"/>
                <w:lang w:val="en-US" w:eastAsia="zh-CN" w:bidi="ar"/>
              </w:rPr>
              <w:t>统计调查综合补助</w:t>
            </w:r>
          </w:p>
        </w:tc>
        <w:tc>
          <w:tcPr>
            <w:tcW w:w="1009" w:type="dxa"/>
            <w:noWrap w:val="0"/>
            <w:vAlign w:val="center"/>
          </w:tcPr>
          <w:p>
            <w:pPr>
              <w:spacing w:line="240" w:lineRule="auto"/>
              <w:jc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color w:val="auto"/>
                <w:kern w:val="0"/>
                <w:sz w:val="20"/>
                <w:szCs w:val="20"/>
              </w:rPr>
              <w:t>伊通满族自治县农村社会经济调查队</w:t>
            </w:r>
          </w:p>
        </w:tc>
        <w:tc>
          <w:tcPr>
            <w:tcW w:w="782"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773"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436"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373"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82"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54"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546"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91"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360"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noWrap w:val="0"/>
            <w:vAlign w:val="center"/>
          </w:tcPr>
          <w:p>
            <w:pPr>
              <w:autoSpaceDN w:val="0"/>
              <w:jc w:val="center"/>
              <w:textAlignment w:val="center"/>
              <w:rPr>
                <w:rFonts w:hint="default" w:ascii="Times New Roman" w:hAnsi="Times New Roman" w:cs="Times New Roman" w:eastAsiaTheme="minorEastAsia"/>
                <w:color w:val="auto"/>
                <w:sz w:val="20"/>
                <w:szCs w:val="20"/>
              </w:rPr>
            </w:pPr>
            <w:r>
              <w:rPr>
                <w:rFonts w:hint="default" w:ascii="Times New Roman" w:hAnsi="Times New Roman" w:cs="Times New Roman" w:eastAsiaTheme="minorEastAsia"/>
                <w:color w:val="auto"/>
                <w:sz w:val="20"/>
                <w:szCs w:val="20"/>
              </w:rPr>
              <w:t>合计</w:t>
            </w:r>
          </w:p>
        </w:tc>
        <w:tc>
          <w:tcPr>
            <w:tcW w:w="619" w:type="dxa"/>
            <w:noWrap w:val="0"/>
            <w:vAlign w:val="center"/>
          </w:tcPr>
          <w:p>
            <w:pPr>
              <w:autoSpaceDN w:val="0"/>
              <w:jc w:val="center"/>
              <w:textAlignment w:val="center"/>
              <w:rPr>
                <w:rFonts w:hint="default" w:ascii="Times New Roman" w:hAnsi="Times New Roman" w:cs="Times New Roman" w:eastAsiaTheme="minorEastAsia"/>
                <w:color w:val="auto"/>
                <w:sz w:val="20"/>
                <w:szCs w:val="20"/>
              </w:rPr>
            </w:pPr>
          </w:p>
        </w:tc>
        <w:tc>
          <w:tcPr>
            <w:tcW w:w="645" w:type="dxa"/>
            <w:gridSpan w:val="2"/>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1009"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782"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773"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auto"/>
                <w:kern w:val="0"/>
                <w:sz w:val="20"/>
                <w:szCs w:val="20"/>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436"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373"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18"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82"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54"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546"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491"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c>
          <w:tcPr>
            <w:tcW w:w="360" w:type="dxa"/>
            <w:noWrap w:val="0"/>
            <w:vAlign w:val="center"/>
          </w:tcPr>
          <w:p>
            <w:pPr>
              <w:spacing w:line="700" w:lineRule="exact"/>
              <w:jc w:val="center"/>
              <w:rPr>
                <w:rFonts w:hint="default" w:ascii="Times New Roman" w:hAnsi="Times New Roman" w:cs="Times New Roman" w:eastAsiaTheme="minorEastAsia"/>
                <w:color w:val="auto"/>
                <w:kern w:val="0"/>
                <w:sz w:val="20"/>
                <w:szCs w:val="20"/>
              </w:rPr>
            </w:pPr>
          </w:p>
        </w:tc>
      </w:tr>
    </w:tbl>
    <w:p>
      <w:pPr>
        <w:ind w:firstLine="640" w:firstLineChars="200"/>
        <w:rPr>
          <w:rFonts w:hint="default" w:ascii="Times New Roman" w:hAnsi="Times New Roman" w:eastAsia="楷体" w:cs="Times New Roman"/>
          <w:color w:val="auto"/>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1"/>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default" w:ascii="Times New Roman" w:hAnsi="Times New Roman" w:eastAsia="华文细黑" w:cs="Times New Roman"/>
                <w:color w:val="auto"/>
                <w:kern w:val="0"/>
                <w:sz w:val="20"/>
                <w:szCs w:val="20"/>
                <w:vertAlign w:val="baseline"/>
                <w:lang w:eastAsia="zh-CN"/>
              </w:rPr>
            </w:pPr>
            <w:r>
              <w:rPr>
                <w:rFonts w:hint="default" w:ascii="Times New Roman" w:hAnsi="Times New Roman" w:eastAsia="方正小标宋简体" w:cs="Times New Roman"/>
                <w:color w:val="auto"/>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color w:val="auto"/>
                <w:sz w:val="20"/>
                <w:szCs w:val="20"/>
                <w:lang w:val="en-US" w:eastAsia="zh-CN"/>
              </w:rPr>
              <w:t>单位名称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color w:val="auto"/>
                <w:sz w:val="20"/>
                <w:szCs w:val="20"/>
                <w:lang w:eastAsia="zh-CN"/>
              </w:rPr>
              <w:t>委托事</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rPr>
            </w:pPr>
            <w:r>
              <w:rPr>
                <w:rFonts w:hint="default" w:ascii="Times New Roman" w:hAnsi="Times New Roman" w:eastAsia="宋体" w:cs="Times New Roman"/>
                <w:color w:val="auto"/>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是否政府购买服务</w:t>
            </w:r>
            <w:r>
              <w:rPr>
                <w:rFonts w:hint="default" w:ascii="Times New Roman" w:hAnsi="Times New Roman" w:eastAsia="宋体" w:cs="Times New Roman"/>
                <w:color w:val="auto"/>
                <w:kern w:val="0"/>
                <w:sz w:val="20"/>
                <w:szCs w:val="20"/>
                <w:vertAlign w:val="baseline"/>
                <w:lang w:val="en-US" w:eastAsia="zh-CN"/>
              </w:rPr>
              <w:t xml:space="preserve">  </w:t>
            </w:r>
            <w:r>
              <w:rPr>
                <w:rFonts w:hint="default" w:ascii="Times New Roman" w:hAnsi="Times New Roman" w:eastAsia="宋体" w:cs="Times New Roman"/>
                <w:color w:val="auto"/>
                <w:kern w:val="0"/>
                <w:sz w:val="20"/>
                <w:szCs w:val="20"/>
                <w:vertAlign w:val="baseline"/>
                <w:lang w:eastAsia="zh-CN"/>
              </w:rPr>
              <w:t>（是</w:t>
            </w:r>
            <w:r>
              <w:rPr>
                <w:rFonts w:hint="default" w:ascii="Times New Roman" w:hAnsi="Times New Roman" w:eastAsia="宋体" w:cs="Times New Roman"/>
                <w:color w:val="auto"/>
                <w:kern w:val="0"/>
                <w:sz w:val="20"/>
                <w:szCs w:val="20"/>
                <w:vertAlign w:val="baseline"/>
                <w:lang w:val="en-US" w:eastAsia="zh-CN"/>
              </w:rPr>
              <w:t>/否</w:t>
            </w:r>
            <w:r>
              <w:rPr>
                <w:rFonts w:hint="default" w:ascii="Times New Roman" w:hAnsi="Times New Roman" w:eastAsia="宋体" w:cs="Times New Roman"/>
                <w:color w:val="auto"/>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是否政</w:t>
            </w:r>
            <w:r>
              <w:rPr>
                <w:rFonts w:hint="default" w:ascii="Times New Roman" w:hAnsi="Times New Roman" w:eastAsia="宋体" w:cs="Times New Roman"/>
                <w:color w:val="auto"/>
                <w:kern w:val="0"/>
                <w:sz w:val="20"/>
                <w:szCs w:val="20"/>
                <w:vertAlign w:val="baseline"/>
                <w:lang w:val="en-US" w:eastAsia="zh-CN"/>
              </w:rPr>
              <w:t xml:space="preserve">  </w:t>
            </w:r>
            <w:r>
              <w:rPr>
                <w:rFonts w:hint="default" w:ascii="Times New Roman" w:hAnsi="Times New Roman" w:eastAsia="宋体" w:cs="Times New Roman"/>
                <w:color w:val="auto"/>
                <w:kern w:val="0"/>
                <w:sz w:val="20"/>
                <w:szCs w:val="20"/>
                <w:vertAlign w:val="baseline"/>
                <w:lang w:eastAsia="zh-CN"/>
              </w:rPr>
              <w:t>府采购</w:t>
            </w:r>
            <w:r>
              <w:rPr>
                <w:rFonts w:hint="default" w:ascii="Times New Roman" w:hAnsi="Times New Roman" w:eastAsia="宋体" w:cs="Times New Roman"/>
                <w:color w:val="auto"/>
                <w:kern w:val="0"/>
                <w:sz w:val="20"/>
                <w:szCs w:val="20"/>
                <w:vertAlign w:val="baseline"/>
                <w:lang w:val="en-US" w:eastAsia="zh-CN"/>
              </w:rPr>
              <w:t xml:space="preserve">  </w:t>
            </w:r>
            <w:r>
              <w:rPr>
                <w:rFonts w:hint="default" w:ascii="Times New Roman" w:hAnsi="Times New Roman" w:eastAsia="宋体" w:cs="Times New Roman"/>
                <w:color w:val="auto"/>
                <w:kern w:val="0"/>
                <w:sz w:val="20"/>
                <w:szCs w:val="20"/>
                <w:vertAlign w:val="baseline"/>
                <w:lang w:eastAsia="zh-CN"/>
              </w:rPr>
              <w:t>（是</w:t>
            </w:r>
            <w:r>
              <w:rPr>
                <w:rFonts w:hint="default" w:ascii="Times New Roman" w:hAnsi="Times New Roman" w:eastAsia="宋体" w:cs="Times New Roman"/>
                <w:color w:val="auto"/>
                <w:kern w:val="0"/>
                <w:sz w:val="20"/>
                <w:szCs w:val="20"/>
                <w:vertAlign w:val="baseline"/>
                <w:lang w:val="en-US" w:eastAsia="zh-CN"/>
              </w:rPr>
              <w:t>/否</w:t>
            </w:r>
            <w:r>
              <w:rPr>
                <w:rFonts w:hint="default" w:ascii="Times New Roman" w:hAnsi="Times New Roman" w:eastAsia="宋体" w:cs="Times New Roman"/>
                <w:color w:val="auto"/>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lang w:eastAsia="zh-CN"/>
              </w:rPr>
            </w:pPr>
            <w:r>
              <w:rPr>
                <w:rFonts w:hint="default" w:ascii="Times New Roman" w:hAnsi="Times New Roman" w:eastAsia="宋体" w:cs="Times New Roman"/>
                <w:color w:val="auto"/>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lang w:eastAsia="zh-CN"/>
              </w:rPr>
            </w:pPr>
          </w:p>
        </w:tc>
        <w:tc>
          <w:tcPr>
            <w:tcW w:w="1284"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lang w:val="en-US" w:eastAsia="zh-CN"/>
              </w:rPr>
            </w:pPr>
          </w:p>
        </w:tc>
        <w:tc>
          <w:tcPr>
            <w:tcW w:w="1284"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宋体" w:cs="Times New Roman"/>
                <w:color w:val="auto"/>
                <w:kern w:val="0"/>
                <w:sz w:val="20"/>
                <w:szCs w:val="20"/>
                <w:vertAlign w:val="baseline"/>
              </w:rPr>
            </w:pPr>
          </w:p>
        </w:tc>
      </w:tr>
    </w:tbl>
    <w:p>
      <w:pPr>
        <w:ind w:firstLine="640" w:firstLineChars="200"/>
        <w:rPr>
          <w:rFonts w:hint="default" w:ascii="Times New Roman" w:hAnsi="Times New Roman" w:eastAsia="楷体" w:cs="Times New Roman"/>
          <w:color w:val="auto"/>
          <w:kern w:val="0"/>
          <w:szCs w:val="32"/>
        </w:rPr>
      </w:pPr>
    </w:p>
    <w:p>
      <w:pPr>
        <w:ind w:firstLine="640" w:firstLineChars="200"/>
        <w:rPr>
          <w:rFonts w:hint="default" w:ascii="Times New Roman" w:hAnsi="Times New Roman" w:eastAsia="楷体" w:cs="Times New Roman"/>
          <w:color w:val="auto"/>
          <w:kern w:val="0"/>
          <w:szCs w:val="32"/>
        </w:rPr>
      </w:pPr>
    </w:p>
    <w:p>
      <w:pPr>
        <w:rPr>
          <w:rFonts w:hint="default" w:ascii="Times New Roman" w:hAnsi="Times New Roman" w:eastAsia="楷体" w:cs="Times New Roman"/>
          <w:color w:val="auto"/>
        </w:rPr>
      </w:pPr>
      <w:r>
        <w:rPr>
          <w:rFonts w:hint="default" w:ascii="Times New Roman" w:hAnsi="Times New Roman" w:eastAsia="楷体" w:cs="Times New Roman"/>
          <w:color w:val="auto"/>
        </w:rPr>
        <w:br w:type="page"/>
      </w:r>
    </w:p>
    <w:tbl>
      <w:tblPr>
        <w:tblStyle w:val="11"/>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
        <w:gridCol w:w="812"/>
        <w:gridCol w:w="2529"/>
        <w:gridCol w:w="423"/>
        <w:gridCol w:w="631"/>
        <w:gridCol w:w="1074"/>
        <w:gridCol w:w="1111"/>
        <w:gridCol w:w="784"/>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000" w:type="pct"/>
            <w:gridSpan w:val="10"/>
            <w:tcBorders>
              <w:top w:val="nil"/>
              <w:left w:val="nil"/>
              <w:bottom w:val="single" w:color="000000" w:sz="4" w:space="0"/>
              <w:right w:val="nil"/>
            </w:tcBorders>
            <w:noWrap w:val="0"/>
            <w:vAlign w:val="top"/>
          </w:tcPr>
          <w:p>
            <w:pPr>
              <w:widowControl/>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项目支出</w:t>
            </w:r>
            <w:r>
              <w:rPr>
                <w:rFonts w:hint="default" w:ascii="Times New Roman" w:hAnsi="Times New Roman" w:eastAsia="方正小标宋简体" w:cs="Times New Roman"/>
                <w:color w:val="auto"/>
                <w:kern w:val="0"/>
                <w:sz w:val="44"/>
                <w:szCs w:val="44"/>
                <w:lang w:eastAsia="zh-CN"/>
              </w:rPr>
              <w:t>绩效目标</w:t>
            </w:r>
            <w:r>
              <w:rPr>
                <w:rFonts w:hint="default" w:ascii="Times New Roman" w:hAnsi="Times New Roman" w:eastAsia="方正小标宋简体" w:cs="Times New Roman"/>
                <w:color w:val="auto"/>
                <w:kern w:val="0"/>
                <w:sz w:val="44"/>
                <w:szCs w:val="44"/>
              </w:rPr>
              <w:t>表</w:t>
            </w:r>
          </w:p>
          <w:p>
            <w:pPr>
              <w:spacing w:line="700" w:lineRule="exact"/>
              <w:jc w:val="right"/>
              <w:rPr>
                <w:rFonts w:hint="default" w:ascii="Times New Roman" w:hAnsi="Times New Roman" w:eastAsia="楷体" w:cs="Times New Roman"/>
                <w:color w:val="auto"/>
                <w:kern w:val="0"/>
                <w:szCs w:val="32"/>
                <w:vertAlign w:val="baseline"/>
              </w:rPr>
            </w:pPr>
            <w:r>
              <w:rPr>
                <w:rFonts w:hint="default" w:ascii="Times New Roman" w:hAnsi="Times New Roman" w:eastAsia="宋体" w:cs="Times New Roman"/>
                <w:color w:val="auto"/>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cs="Times New Roman" w:eastAsiaTheme="minorEastAsia"/>
                <w:color w:val="auto"/>
                <w:kern w:val="0"/>
                <w:sz w:val="20"/>
                <w:szCs w:val="20"/>
                <w:vertAlign w:val="baseline"/>
                <w:lang w:val="en-US" w:eastAsia="zh-CN"/>
              </w:rPr>
            </w:pPr>
            <w:r>
              <w:rPr>
                <w:rFonts w:hint="default" w:ascii="Times New Roman" w:hAnsi="Times New Roman" w:cs="Times New Roman" w:eastAsiaTheme="minorEastAsia"/>
                <w:color w:val="auto"/>
                <w:kern w:val="0"/>
                <w:sz w:val="20"/>
                <w:szCs w:val="20"/>
                <w:vertAlign w:val="baseline"/>
                <w:lang w:val="en-US" w:eastAsia="zh-CN"/>
              </w:rPr>
              <w:t>单</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cs="Times New Roman" w:eastAsiaTheme="minorEastAsia"/>
                <w:color w:val="auto"/>
                <w:kern w:val="0"/>
                <w:sz w:val="20"/>
                <w:szCs w:val="20"/>
                <w:vertAlign w:val="baseline"/>
                <w:lang w:val="en-US" w:eastAsia="zh-CN"/>
              </w:rPr>
            </w:pPr>
            <w:r>
              <w:rPr>
                <w:rFonts w:hint="default" w:ascii="Times New Roman" w:hAnsi="Times New Roman" w:cs="Times New Roman" w:eastAsiaTheme="minorEastAsia"/>
                <w:color w:val="auto"/>
                <w:kern w:val="0"/>
                <w:sz w:val="20"/>
                <w:szCs w:val="20"/>
                <w:vertAlign w:val="baseline"/>
                <w:lang w:val="en-US" w:eastAsia="zh-CN"/>
              </w:rPr>
              <w:t>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cs="Times New Roman" w:eastAsiaTheme="minorEastAsia"/>
                <w:color w:val="auto"/>
                <w:kern w:val="0"/>
                <w:sz w:val="20"/>
                <w:szCs w:val="20"/>
                <w:vertAlign w:val="baseline"/>
                <w:lang w:val="en-US" w:eastAsia="zh-CN"/>
              </w:rPr>
            </w:pPr>
            <w:r>
              <w:rPr>
                <w:rFonts w:hint="default" w:ascii="Times New Roman" w:hAnsi="Times New Roman" w:cs="Times New Roman" w:eastAsiaTheme="minorEastAsia"/>
                <w:color w:val="auto"/>
                <w:kern w:val="0"/>
                <w:sz w:val="20"/>
                <w:szCs w:val="20"/>
                <w:vertAlign w:val="baseline"/>
                <w:lang w:val="en-US" w:eastAsia="zh-CN"/>
              </w:rPr>
              <w:t>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cs="Times New Roman" w:eastAsiaTheme="minorEastAsia"/>
                <w:color w:val="auto"/>
                <w:kern w:val="0"/>
                <w:sz w:val="20"/>
                <w:szCs w:val="20"/>
                <w:vertAlign w:val="baseline"/>
                <w:lang w:val="en-US" w:eastAsia="zh-CN"/>
              </w:rPr>
            </w:pPr>
            <w:r>
              <w:rPr>
                <w:rFonts w:hint="default" w:ascii="Times New Roman" w:hAnsi="Times New Roman" w:cs="Times New Roman" w:eastAsiaTheme="minorEastAsia"/>
                <w:color w:val="auto"/>
                <w:kern w:val="0"/>
                <w:sz w:val="20"/>
                <w:szCs w:val="20"/>
                <w:vertAlign w:val="baseline"/>
                <w:lang w:val="en-US" w:eastAsia="zh-CN"/>
              </w:rPr>
              <w:t>称</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项</w:t>
            </w:r>
          </w:p>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目</w:t>
            </w:r>
          </w:p>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名</w:t>
            </w:r>
          </w:p>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称</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年度</w:t>
            </w:r>
          </w:p>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资金</w:t>
            </w:r>
          </w:p>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总额</w:t>
            </w:r>
          </w:p>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val="en-US" w:eastAsia="zh-CN"/>
              </w:rPr>
              <w:t>(万元)</w:t>
            </w:r>
          </w:p>
        </w:tc>
        <w:tc>
          <w:tcPr>
            <w:tcW w:w="142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年度绩效目标</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一级指标</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二级指标</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三级指标</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指标解释</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指标值</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color w:val="auto"/>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36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伊通</w:t>
            </w:r>
            <w:r>
              <w:rPr>
                <w:rFonts w:hint="eastAsia" w:cs="Times New Roman" w:eastAsiaTheme="minorEastAsia"/>
                <w:i w:val="0"/>
                <w:iCs w:val="0"/>
                <w:color w:val="auto"/>
                <w:kern w:val="0"/>
                <w:sz w:val="20"/>
                <w:szCs w:val="20"/>
                <w:u w:val="none"/>
                <w:lang w:val="en-US" w:eastAsia="zh-CN" w:bidi="ar"/>
              </w:rPr>
              <w:t>满族自治</w:t>
            </w:r>
            <w:r>
              <w:rPr>
                <w:rFonts w:hint="default" w:ascii="Times New Roman" w:hAnsi="Times New Roman" w:cs="Times New Roman" w:eastAsiaTheme="minorEastAsia"/>
                <w:i w:val="0"/>
                <w:iCs w:val="0"/>
                <w:color w:val="auto"/>
                <w:kern w:val="0"/>
                <w:sz w:val="20"/>
                <w:szCs w:val="20"/>
                <w:u w:val="none"/>
                <w:lang w:val="en-US" w:eastAsia="zh-CN" w:bidi="ar"/>
              </w:rPr>
              <w:t>县农村社会经济调查队</w:t>
            </w:r>
          </w:p>
        </w:tc>
        <w:tc>
          <w:tcPr>
            <w:tcW w:w="22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统计调查综合补助</w:t>
            </w:r>
          </w:p>
        </w:tc>
        <w:tc>
          <w:tcPr>
            <w:tcW w:w="458"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22.00</w:t>
            </w:r>
          </w:p>
        </w:tc>
        <w:tc>
          <w:tcPr>
            <w:tcW w:w="1427"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按照国家城乡一体化调查制度要求，完成城乡居民家庭收支抽样调查和新增网点调查任务，在国民经济月报和年度公报中发布城乡住户各项调查数据。</w:t>
            </w:r>
            <w:r>
              <w:rPr>
                <w:rFonts w:hint="default" w:ascii="Times New Roman" w:hAnsi="Times New Roman" w:cs="Times New Roman" w:eastAsiaTheme="minorEastAsia"/>
                <w:i w:val="0"/>
                <w:iCs w:val="0"/>
                <w:color w:val="auto"/>
                <w:kern w:val="0"/>
                <w:sz w:val="20"/>
                <w:szCs w:val="20"/>
                <w:u w:val="none"/>
                <w:lang w:val="en-US" w:eastAsia="zh-CN" w:bidi="ar"/>
              </w:rPr>
              <w:br w:type="textWrapping"/>
            </w:r>
            <w:r>
              <w:rPr>
                <w:rFonts w:hint="default" w:ascii="Times New Roman" w:hAnsi="Times New Roman" w:cs="Times New Roman" w:eastAsiaTheme="minorEastAsia"/>
                <w:i w:val="0"/>
                <w:iCs w:val="0"/>
                <w:color w:val="auto"/>
                <w:kern w:val="0"/>
                <w:sz w:val="20"/>
                <w:szCs w:val="20"/>
                <w:u w:val="none"/>
                <w:lang w:val="en-US" w:eastAsia="zh-CN" w:bidi="ar"/>
              </w:rPr>
              <w:t>按照国家统计局城乡住户抽样调查网点轮换方法制度，对样本轮换采用多主题结合抽样，每年城乡住户调查要轮换50%的</w:t>
            </w:r>
            <w:r>
              <w:rPr>
                <w:rFonts w:hint="eastAsia" w:cs="Times New Roman" w:eastAsiaTheme="minorEastAsia"/>
                <w:i w:val="0"/>
                <w:iCs w:val="0"/>
                <w:color w:val="auto"/>
                <w:kern w:val="0"/>
                <w:sz w:val="20"/>
                <w:szCs w:val="20"/>
                <w:u w:val="none"/>
                <w:lang w:val="en-US" w:eastAsia="zh-CN" w:bidi="ar"/>
              </w:rPr>
              <w:t>记账户</w:t>
            </w:r>
            <w:r>
              <w:rPr>
                <w:rFonts w:hint="default" w:ascii="Times New Roman" w:hAnsi="Times New Roman" w:cs="Times New Roman" w:eastAsiaTheme="minorEastAsia"/>
                <w:i w:val="0"/>
                <w:iCs w:val="0"/>
                <w:color w:val="auto"/>
                <w:kern w:val="0"/>
                <w:sz w:val="20"/>
                <w:szCs w:val="20"/>
                <w:u w:val="none"/>
                <w:lang w:val="en-US" w:eastAsia="zh-CN" w:bidi="ar"/>
              </w:rPr>
              <w:t>，</w:t>
            </w:r>
            <w:r>
              <w:rPr>
                <w:rFonts w:hint="eastAsia" w:cs="Times New Roman" w:eastAsiaTheme="minorEastAsia"/>
                <w:i w:val="0"/>
                <w:iCs w:val="0"/>
                <w:color w:val="auto"/>
                <w:kern w:val="0"/>
                <w:sz w:val="20"/>
                <w:szCs w:val="20"/>
                <w:u w:val="none"/>
                <w:lang w:val="en-US" w:eastAsia="zh-CN" w:bidi="ar"/>
              </w:rPr>
              <w:t>即</w:t>
            </w:r>
            <w:r>
              <w:rPr>
                <w:rFonts w:hint="default" w:ascii="Times New Roman" w:hAnsi="Times New Roman" w:cs="Times New Roman" w:eastAsiaTheme="minorEastAsia"/>
                <w:i w:val="0"/>
                <w:iCs w:val="0"/>
                <w:color w:val="auto"/>
                <w:kern w:val="0"/>
                <w:sz w:val="20"/>
                <w:szCs w:val="20"/>
                <w:u w:val="none"/>
                <w:lang w:val="en-US" w:eastAsia="zh-CN" w:bidi="ar"/>
              </w:rPr>
              <w:t>每年要更换1890户</w:t>
            </w:r>
            <w:r>
              <w:rPr>
                <w:rFonts w:hint="eastAsia" w:cs="Times New Roman" w:eastAsiaTheme="minorEastAsia"/>
                <w:i w:val="0"/>
                <w:iCs w:val="0"/>
                <w:color w:val="auto"/>
                <w:kern w:val="0"/>
                <w:sz w:val="20"/>
                <w:szCs w:val="20"/>
                <w:u w:val="none"/>
                <w:lang w:val="en-US" w:eastAsia="zh-CN" w:bidi="ar"/>
              </w:rPr>
              <w:t>记账户</w:t>
            </w:r>
            <w:r>
              <w:rPr>
                <w:rFonts w:hint="default" w:ascii="Times New Roman" w:hAnsi="Times New Roman" w:cs="Times New Roman" w:eastAsiaTheme="minorEastAsia"/>
                <w:i w:val="0"/>
                <w:iCs w:val="0"/>
                <w:color w:val="auto"/>
                <w:kern w:val="0"/>
                <w:sz w:val="20"/>
                <w:szCs w:val="20"/>
                <w:u w:val="none"/>
                <w:lang w:val="en-US" w:eastAsia="zh-CN" w:bidi="ar"/>
              </w:rPr>
              <w:t>。</w:t>
            </w:r>
            <w:r>
              <w:rPr>
                <w:rFonts w:hint="default" w:ascii="Times New Roman" w:hAnsi="Times New Roman" w:cs="Times New Roman" w:eastAsiaTheme="minorEastAsia"/>
                <w:i w:val="0"/>
                <w:iCs w:val="0"/>
                <w:color w:val="auto"/>
                <w:kern w:val="0"/>
                <w:sz w:val="20"/>
                <w:szCs w:val="20"/>
                <w:u w:val="none"/>
                <w:lang w:val="en-US" w:eastAsia="zh-CN" w:bidi="ar"/>
              </w:rPr>
              <w:br w:type="textWrapping"/>
            </w:r>
            <w:r>
              <w:rPr>
                <w:rFonts w:hint="default" w:ascii="Times New Roman" w:hAnsi="Times New Roman" w:cs="Times New Roman" w:eastAsiaTheme="minorEastAsia"/>
                <w:i w:val="0"/>
                <w:iCs w:val="0"/>
                <w:color w:val="auto"/>
                <w:kern w:val="0"/>
                <w:sz w:val="20"/>
                <w:szCs w:val="20"/>
                <w:u w:val="none"/>
                <w:lang w:val="en-US" w:eastAsia="zh-CN" w:bidi="ar"/>
              </w:rPr>
              <w:t>通过发放记账户补贴，提高住户记账热情和责任感，有利于保障记账户数据质量，保证最终统计数据代表性，1-7月份发放城乡住户调查工作劳务费16.5万元，8-12月份发放5.5万元。</w:t>
            </w:r>
            <w:r>
              <w:rPr>
                <w:rFonts w:hint="default" w:ascii="Times New Roman" w:hAnsi="Times New Roman" w:cs="Times New Roman" w:eastAsiaTheme="minorEastAsia"/>
                <w:i w:val="0"/>
                <w:iCs w:val="0"/>
                <w:color w:val="auto"/>
                <w:kern w:val="0"/>
                <w:sz w:val="20"/>
                <w:szCs w:val="20"/>
                <w:u w:val="none"/>
                <w:lang w:val="en-US" w:eastAsia="zh-CN" w:bidi="ar"/>
              </w:rPr>
              <w:br w:type="textWrapping"/>
            </w:r>
            <w:r>
              <w:rPr>
                <w:rFonts w:hint="default" w:ascii="Times New Roman" w:hAnsi="Times New Roman" w:cs="Times New Roman" w:eastAsiaTheme="minorEastAsia"/>
                <w:i w:val="0"/>
                <w:iCs w:val="0"/>
                <w:color w:val="auto"/>
                <w:kern w:val="0"/>
                <w:sz w:val="20"/>
                <w:szCs w:val="20"/>
                <w:u w:val="none"/>
                <w:lang w:val="en-US" w:eastAsia="zh-CN" w:bidi="ar"/>
              </w:rPr>
              <w:t>根据国家县域经济城镇居民人均可支配收入调查方案和方法制度，制定本地经济县域城镇居民人均可支配收入，科学合理推算城乡居民收支调查数据，确保数据真实可信，有效使用。</w:t>
            </w:r>
            <w:r>
              <w:rPr>
                <w:rFonts w:hint="default" w:ascii="Times New Roman" w:hAnsi="Times New Roman" w:cs="Times New Roman" w:eastAsiaTheme="minorEastAsia"/>
                <w:i w:val="0"/>
                <w:iCs w:val="0"/>
                <w:color w:val="auto"/>
                <w:kern w:val="0"/>
                <w:sz w:val="20"/>
                <w:szCs w:val="20"/>
                <w:u w:val="none"/>
                <w:lang w:val="en-US" w:eastAsia="zh-CN" w:bidi="ar"/>
              </w:rPr>
              <w:br w:type="textWrapping"/>
            </w:r>
            <w:r>
              <w:rPr>
                <w:rFonts w:hint="default" w:ascii="Times New Roman" w:hAnsi="Times New Roman" w:cs="Times New Roman" w:eastAsiaTheme="minorEastAsia"/>
                <w:i w:val="0"/>
                <w:iCs w:val="0"/>
                <w:color w:val="auto"/>
                <w:kern w:val="0"/>
                <w:sz w:val="20"/>
                <w:szCs w:val="20"/>
                <w:u w:val="none"/>
                <w:lang w:val="en-US" w:eastAsia="zh-CN" w:bidi="ar"/>
              </w:rPr>
              <w:t>按照国家统计局住户调查制度，通过动员会、培训会议等实现全体人员参与完成电子记账有关制度要求，顺利完成数据处理、审核、汇总等，使全部调查户实现电子记账。</w:t>
            </w:r>
          </w:p>
        </w:tc>
        <w:tc>
          <w:tcPr>
            <w:tcW w:w="238"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i w:val="0"/>
                <w:iCs w:val="0"/>
                <w:color w:val="auto"/>
                <w:kern w:val="0"/>
                <w:sz w:val="20"/>
                <w:szCs w:val="20"/>
                <w:u w:val="none"/>
                <w:lang w:val="en-US" w:eastAsia="zh-CN" w:bidi="ar"/>
              </w:rPr>
              <w:t>产出指标</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i w:val="0"/>
                <w:iCs w:val="0"/>
                <w:color w:val="auto"/>
                <w:kern w:val="0"/>
                <w:sz w:val="20"/>
                <w:szCs w:val="20"/>
                <w:u w:val="none"/>
                <w:lang w:val="en-US" w:eastAsia="zh-CN" w:bidi="ar"/>
              </w:rPr>
              <w:t>数量指标</w:t>
            </w:r>
          </w:p>
        </w:tc>
        <w:tc>
          <w:tcPr>
            <w:tcW w:w="6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城乡住户调查补助发放人数</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反映发放城乡住户调查劳务费的人数情况。</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≥180人</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64"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229"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458"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1427" w:type="pct"/>
            <w:vMerge w:val="continue"/>
            <w:tcBorders>
              <w:left w:val="single" w:color="000000" w:sz="4" w:space="0"/>
              <w:right w:val="single" w:color="000000" w:sz="4" w:space="0"/>
            </w:tcBorders>
            <w:noWrap w:val="0"/>
            <w:vAlign w:val="center"/>
          </w:tcPr>
          <w:p>
            <w:pPr>
              <w:jc w:val="left"/>
              <w:rPr>
                <w:rFonts w:hint="default" w:ascii="Times New Roman" w:hAnsi="Times New Roman" w:cs="Times New Roman" w:eastAsiaTheme="minorEastAsia"/>
                <w:color w:val="auto"/>
                <w:kern w:val="0"/>
                <w:sz w:val="20"/>
                <w:szCs w:val="20"/>
                <w:vertAlign w:val="baseline"/>
              </w:rPr>
            </w:pPr>
          </w:p>
        </w:tc>
        <w:tc>
          <w:tcPr>
            <w:tcW w:w="238" w:type="pc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产出指标</w:t>
            </w:r>
          </w:p>
        </w:tc>
        <w:tc>
          <w:tcPr>
            <w:tcW w:w="356" w:type="pct"/>
            <w:tcBorders>
              <w:top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i w:val="0"/>
                <w:iCs w:val="0"/>
                <w:color w:val="auto"/>
                <w:kern w:val="0"/>
                <w:sz w:val="20"/>
                <w:szCs w:val="20"/>
                <w:u w:val="none"/>
                <w:lang w:val="en-US" w:eastAsia="zh-CN" w:bidi="ar"/>
              </w:rPr>
              <w:t>数量指标</w:t>
            </w:r>
          </w:p>
        </w:tc>
        <w:tc>
          <w:tcPr>
            <w:tcW w:w="606" w:type="pct"/>
            <w:tcBorders>
              <w:top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城镇住户调查户数</w:t>
            </w:r>
          </w:p>
        </w:tc>
        <w:tc>
          <w:tcPr>
            <w:tcW w:w="626" w:type="pct"/>
            <w:tcBorders>
              <w:top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反映城镇住户数量</w:t>
            </w:r>
          </w:p>
        </w:tc>
        <w:tc>
          <w:tcPr>
            <w:tcW w:w="442" w:type="pct"/>
            <w:tcBorders>
              <w:top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≥70户</w:t>
            </w:r>
          </w:p>
        </w:tc>
        <w:tc>
          <w:tcPr>
            <w:tcW w:w="250" w:type="pct"/>
            <w:tcBorders>
              <w:top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364"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229"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458"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1427" w:type="pct"/>
            <w:vMerge w:val="continue"/>
            <w:tcBorders>
              <w:left w:val="single" w:color="000000" w:sz="4" w:space="0"/>
              <w:right w:val="single" w:color="000000" w:sz="4" w:space="0"/>
            </w:tcBorders>
            <w:noWrap w:val="0"/>
            <w:vAlign w:val="center"/>
          </w:tcPr>
          <w:p>
            <w:pPr>
              <w:jc w:val="left"/>
              <w:rPr>
                <w:rFonts w:hint="default" w:ascii="Times New Roman" w:hAnsi="Times New Roman" w:cs="Times New Roman" w:eastAsiaTheme="minorEastAsia"/>
                <w:color w:val="auto"/>
                <w:kern w:val="0"/>
                <w:sz w:val="20"/>
                <w:szCs w:val="20"/>
                <w:vertAlign w:val="baseline"/>
              </w:rPr>
            </w:pPr>
          </w:p>
        </w:tc>
        <w:tc>
          <w:tcPr>
            <w:tcW w:w="238" w:type="pc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产出指标</w:t>
            </w:r>
          </w:p>
        </w:tc>
        <w:tc>
          <w:tcPr>
            <w:tcW w:w="356"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i w:val="0"/>
                <w:iCs w:val="0"/>
                <w:color w:val="auto"/>
                <w:kern w:val="0"/>
                <w:sz w:val="20"/>
                <w:szCs w:val="20"/>
                <w:u w:val="none"/>
                <w:lang w:val="en-US" w:eastAsia="zh-CN" w:bidi="ar"/>
              </w:rPr>
              <w:t>数量指标</w:t>
            </w:r>
          </w:p>
        </w:tc>
        <w:tc>
          <w:tcPr>
            <w:tcW w:w="606"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电子记账劳务费用发放人数</w:t>
            </w:r>
          </w:p>
        </w:tc>
        <w:tc>
          <w:tcPr>
            <w:tcW w:w="626" w:type="pct"/>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反映发放电子记账劳务费用的人数情况。</w:t>
            </w:r>
          </w:p>
        </w:tc>
        <w:tc>
          <w:tcPr>
            <w:tcW w:w="442"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≥155人</w:t>
            </w:r>
          </w:p>
        </w:tc>
        <w:tc>
          <w:tcPr>
            <w:tcW w:w="250"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64"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229"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458"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1427" w:type="pct"/>
            <w:vMerge w:val="continue"/>
            <w:tcBorders>
              <w:left w:val="single" w:color="000000" w:sz="4" w:space="0"/>
              <w:right w:val="single" w:color="000000" w:sz="4" w:space="0"/>
            </w:tcBorders>
            <w:noWrap w:val="0"/>
            <w:vAlign w:val="center"/>
          </w:tcPr>
          <w:p>
            <w:pPr>
              <w:jc w:val="left"/>
              <w:rPr>
                <w:rFonts w:hint="default" w:ascii="Times New Roman" w:hAnsi="Times New Roman" w:cs="Times New Roman" w:eastAsiaTheme="minorEastAsia"/>
                <w:color w:val="auto"/>
                <w:kern w:val="0"/>
                <w:sz w:val="20"/>
                <w:szCs w:val="20"/>
                <w:vertAlign w:val="baseline"/>
              </w:rPr>
            </w:pPr>
          </w:p>
        </w:tc>
        <w:tc>
          <w:tcPr>
            <w:tcW w:w="238"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i w:val="0"/>
                <w:iCs w:val="0"/>
                <w:color w:val="auto"/>
                <w:kern w:val="0"/>
                <w:sz w:val="20"/>
                <w:szCs w:val="20"/>
                <w:u w:val="none"/>
                <w:lang w:val="en-US" w:eastAsia="zh-CN" w:bidi="ar"/>
              </w:rPr>
              <w:t>产出指标</w:t>
            </w:r>
          </w:p>
        </w:tc>
        <w:tc>
          <w:tcPr>
            <w:tcW w:w="356"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i w:val="0"/>
                <w:iCs w:val="0"/>
                <w:color w:val="auto"/>
                <w:kern w:val="0"/>
                <w:sz w:val="20"/>
                <w:szCs w:val="20"/>
                <w:u w:val="none"/>
                <w:lang w:val="en-US" w:eastAsia="zh-CN" w:bidi="ar"/>
              </w:rPr>
              <w:t>时效指标</w:t>
            </w:r>
          </w:p>
        </w:tc>
        <w:tc>
          <w:tcPr>
            <w:tcW w:w="606"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城乡住户调查工作劳务费发放及时性</w:t>
            </w:r>
          </w:p>
        </w:tc>
        <w:tc>
          <w:tcPr>
            <w:tcW w:w="626" w:type="pct"/>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反映城乡住户调查工作劳务费发放及时性情况。</w:t>
            </w:r>
          </w:p>
        </w:tc>
        <w:tc>
          <w:tcPr>
            <w:tcW w:w="442"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于12月15日前完成发放</w:t>
            </w:r>
          </w:p>
        </w:tc>
        <w:tc>
          <w:tcPr>
            <w:tcW w:w="250"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364"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229"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458"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1427" w:type="pct"/>
            <w:vMerge w:val="continue"/>
            <w:tcBorders>
              <w:left w:val="single" w:color="000000" w:sz="4" w:space="0"/>
              <w:right w:val="single" w:color="000000" w:sz="4" w:space="0"/>
            </w:tcBorders>
            <w:noWrap w:val="0"/>
            <w:vAlign w:val="center"/>
          </w:tcPr>
          <w:p>
            <w:pPr>
              <w:jc w:val="left"/>
              <w:rPr>
                <w:rFonts w:hint="default" w:ascii="Times New Roman" w:hAnsi="Times New Roman" w:cs="Times New Roman" w:eastAsiaTheme="minorEastAsia"/>
                <w:color w:val="auto"/>
                <w:kern w:val="0"/>
                <w:sz w:val="20"/>
                <w:szCs w:val="20"/>
                <w:vertAlign w:val="baseline"/>
              </w:rPr>
            </w:pPr>
          </w:p>
        </w:tc>
        <w:tc>
          <w:tcPr>
            <w:tcW w:w="238"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产出指标</w:t>
            </w:r>
          </w:p>
        </w:tc>
        <w:tc>
          <w:tcPr>
            <w:tcW w:w="356"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i w:val="0"/>
                <w:iCs w:val="0"/>
                <w:color w:val="auto"/>
                <w:kern w:val="0"/>
                <w:sz w:val="20"/>
                <w:szCs w:val="20"/>
                <w:u w:val="none"/>
                <w:lang w:val="en-US" w:eastAsia="zh-CN" w:bidi="ar"/>
              </w:rPr>
              <w:t>质量指标</w:t>
            </w:r>
          </w:p>
        </w:tc>
        <w:tc>
          <w:tcPr>
            <w:tcW w:w="606"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核定农村居民收入报表审核通过率</w:t>
            </w:r>
          </w:p>
        </w:tc>
        <w:tc>
          <w:tcPr>
            <w:tcW w:w="626" w:type="pct"/>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反映核定农村居民收入报表审核通过情况。</w:t>
            </w:r>
          </w:p>
        </w:tc>
        <w:tc>
          <w:tcPr>
            <w:tcW w:w="442"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≥98%</w:t>
            </w:r>
          </w:p>
        </w:tc>
        <w:tc>
          <w:tcPr>
            <w:tcW w:w="250"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364"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229"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458" w:type="pct"/>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eastAsiaTheme="minorEastAsia"/>
                <w:color w:val="auto"/>
                <w:kern w:val="0"/>
                <w:sz w:val="20"/>
                <w:szCs w:val="20"/>
                <w:vertAlign w:val="baseline"/>
              </w:rPr>
            </w:pPr>
          </w:p>
        </w:tc>
        <w:tc>
          <w:tcPr>
            <w:tcW w:w="1427" w:type="pct"/>
            <w:vMerge w:val="continue"/>
            <w:tcBorders>
              <w:left w:val="single" w:color="000000" w:sz="4" w:space="0"/>
              <w:right w:val="single" w:color="000000" w:sz="4" w:space="0"/>
            </w:tcBorders>
            <w:noWrap w:val="0"/>
            <w:vAlign w:val="center"/>
          </w:tcPr>
          <w:p>
            <w:pPr>
              <w:jc w:val="left"/>
              <w:rPr>
                <w:rFonts w:hint="default" w:ascii="Times New Roman" w:hAnsi="Times New Roman" w:cs="Times New Roman" w:eastAsiaTheme="minorEastAsia"/>
                <w:color w:val="auto"/>
                <w:kern w:val="0"/>
                <w:sz w:val="20"/>
                <w:szCs w:val="20"/>
                <w:vertAlign w:val="baseline"/>
              </w:rPr>
            </w:pPr>
          </w:p>
        </w:tc>
        <w:tc>
          <w:tcPr>
            <w:tcW w:w="238"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效益指标</w:t>
            </w:r>
          </w:p>
        </w:tc>
        <w:tc>
          <w:tcPr>
            <w:tcW w:w="356"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lang w:eastAsia="zh-CN"/>
              </w:rPr>
            </w:pPr>
            <w:r>
              <w:rPr>
                <w:rFonts w:hint="default" w:ascii="Times New Roman" w:hAnsi="Times New Roman" w:cs="Times New Roman" w:eastAsiaTheme="minorEastAsia"/>
                <w:i w:val="0"/>
                <w:iCs w:val="0"/>
                <w:color w:val="auto"/>
                <w:kern w:val="0"/>
                <w:sz w:val="20"/>
                <w:szCs w:val="20"/>
                <w:u w:val="none"/>
                <w:lang w:val="en-US" w:eastAsia="zh-CN" w:bidi="ar"/>
              </w:rPr>
              <w:t>社会效益指标</w:t>
            </w:r>
          </w:p>
        </w:tc>
        <w:tc>
          <w:tcPr>
            <w:tcW w:w="606"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为社会提供本县居民现金可支配收入可靠数据</w:t>
            </w:r>
          </w:p>
        </w:tc>
        <w:tc>
          <w:tcPr>
            <w:tcW w:w="626" w:type="pct"/>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向社会提供本县城乡居民现金可支配收入数据。</w:t>
            </w:r>
          </w:p>
        </w:tc>
        <w:tc>
          <w:tcPr>
            <w:tcW w:w="442"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≥1篇</w:t>
            </w:r>
          </w:p>
        </w:tc>
        <w:tc>
          <w:tcPr>
            <w:tcW w:w="250"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0"/>
                <w:szCs w:val="20"/>
                <w:vertAlign w:val="baseline"/>
              </w:rPr>
            </w:pPr>
            <w:r>
              <w:rPr>
                <w:rFonts w:hint="default" w:ascii="Times New Roman" w:hAnsi="Times New Roman" w:cs="Times New Roman" w:eastAsiaTheme="minorEastAsia"/>
                <w:i w:val="0"/>
                <w:iCs w:val="0"/>
                <w:color w:val="auto"/>
                <w:kern w:val="0"/>
                <w:sz w:val="20"/>
                <w:szCs w:val="20"/>
                <w:u w:val="none"/>
                <w:lang w:val="en-US" w:eastAsia="zh-CN" w:bidi="ar"/>
              </w:rPr>
              <w:t>40</w:t>
            </w:r>
          </w:p>
        </w:tc>
      </w:tr>
    </w:tbl>
    <w:p>
      <w:pPr>
        <w:spacing w:line="700" w:lineRule="exact"/>
        <w:rPr>
          <w:rFonts w:hint="default" w:ascii="Times New Roman" w:hAnsi="Times New Roman" w:eastAsia="楷体" w:cs="Times New Roman"/>
          <w:color w:val="auto"/>
          <w:kern w:val="0"/>
          <w:szCs w:val="32"/>
        </w:rPr>
      </w:pPr>
    </w:p>
    <w:p>
      <w:pPr>
        <w:spacing w:line="700" w:lineRule="exact"/>
        <w:ind w:firstLine="640" w:firstLineChars="200"/>
        <w:rPr>
          <w:rFonts w:hint="default" w:ascii="Times New Roman" w:hAnsi="Times New Roman" w:eastAsia="楷体" w:cs="Times New Roman"/>
          <w:color w:val="auto"/>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第三部分 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年收支预算总体情况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按照综合预算的原则，所有收入和支出全部纳入</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预算管理。收入包括：一般公共预算拨款收入；支出包括：一般公共服务支出、社会保障和就业支出、卫生健康支出、住房保障支出。202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年收支总预算83.51万元</w:t>
      </w:r>
      <w:r>
        <w:rPr>
          <w:rFonts w:hint="default" w:ascii="Times New Roman" w:hAnsi="Times New Roman" w:eastAsia="仿宋_GB2312" w:cs="Times New Roman"/>
          <w:color w:val="auto"/>
          <w:sz w:val="32"/>
          <w:szCs w:val="32"/>
          <w:lang w:eastAsia="zh-CN"/>
        </w:rPr>
        <w:t>，其中：本年预算</w:t>
      </w:r>
      <w:r>
        <w:rPr>
          <w:rFonts w:hint="default" w:ascii="Times New Roman" w:hAnsi="Times New Roman" w:eastAsia="仿宋_GB2312" w:cs="Times New Roman"/>
          <w:color w:val="auto"/>
          <w:sz w:val="32"/>
          <w:szCs w:val="32"/>
        </w:rPr>
        <w:t>83.51</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lang w:val="en-US" w:eastAsia="zh-CN"/>
        </w:rPr>
        <w:t>2025年本年预算</w:t>
      </w:r>
      <w:r>
        <w:rPr>
          <w:rFonts w:hint="default" w:ascii="Times New Roman" w:hAnsi="Times New Roman" w:eastAsia="仿宋_GB2312" w:cs="Times New Roman"/>
          <w:color w:val="auto"/>
          <w:sz w:val="32"/>
          <w:szCs w:val="32"/>
        </w:rPr>
        <w:t>比202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当年</w:t>
      </w:r>
      <w:r>
        <w:rPr>
          <w:rFonts w:hint="default" w:ascii="Times New Roman" w:hAnsi="Times New Roman" w:eastAsia="仿宋_GB2312" w:cs="Times New Roman"/>
          <w:color w:val="auto"/>
          <w:sz w:val="32"/>
          <w:szCs w:val="32"/>
        </w:rPr>
        <w:t>预算</w:t>
      </w:r>
      <w:r>
        <w:rPr>
          <w:rFonts w:hint="eastAsia" w:cs="Times New Roman"/>
          <w:color w:val="auto"/>
          <w:sz w:val="32"/>
          <w:szCs w:val="32"/>
          <w:lang w:val="en-US" w:eastAsia="zh-CN"/>
        </w:rPr>
        <w:t>增加14.67</w:t>
      </w:r>
      <w:r>
        <w:rPr>
          <w:rFonts w:hint="default" w:ascii="Times New Roman" w:hAnsi="Times New Roman" w:eastAsia="仿宋_GB2312" w:cs="Times New Roman"/>
          <w:color w:val="auto"/>
          <w:sz w:val="32"/>
          <w:szCs w:val="32"/>
        </w:rPr>
        <w:t>万元，主要原因是</w:t>
      </w:r>
      <w:r>
        <w:rPr>
          <w:rFonts w:hint="eastAsia" w:cs="Times New Roman"/>
          <w:color w:val="auto"/>
          <w:sz w:val="32"/>
          <w:szCs w:val="32"/>
          <w:lang w:val="en-US" w:eastAsia="zh-CN"/>
        </w:rPr>
        <w:t>2025年比2024年增加一名新招录人员，预算经费增加</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年收入预算情况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年收入预算</w:t>
      </w:r>
      <w:r>
        <w:rPr>
          <w:rFonts w:hint="eastAsia" w:cs="Times New Roman"/>
          <w:color w:val="auto"/>
          <w:sz w:val="32"/>
          <w:szCs w:val="32"/>
          <w:lang w:val="en-US" w:eastAsia="zh-CN"/>
        </w:rPr>
        <w:t>83.51</w:t>
      </w:r>
      <w:r>
        <w:rPr>
          <w:rFonts w:hint="default" w:ascii="Times New Roman" w:hAnsi="Times New Roman" w:eastAsia="仿宋_GB2312" w:cs="Times New Roman"/>
          <w:color w:val="auto"/>
          <w:sz w:val="32"/>
          <w:szCs w:val="32"/>
        </w:rPr>
        <w:t>万元，其中：本年收入</w:t>
      </w:r>
      <w:r>
        <w:rPr>
          <w:rFonts w:hint="eastAsia" w:cs="Times New Roman"/>
          <w:color w:val="auto"/>
          <w:sz w:val="32"/>
          <w:szCs w:val="32"/>
          <w:lang w:val="en-US" w:eastAsia="zh-CN"/>
        </w:rPr>
        <w:t>83.51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本年收入中，一般公共预算拨款收入</w:t>
      </w:r>
      <w:r>
        <w:rPr>
          <w:rFonts w:hint="eastAsia" w:cs="Times New Roman"/>
          <w:color w:val="auto"/>
          <w:sz w:val="32"/>
          <w:szCs w:val="32"/>
          <w:lang w:val="en-US" w:eastAsia="zh-CN"/>
        </w:rPr>
        <w:t>83.51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年支出预算情况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年支出预算</w:t>
      </w:r>
      <w:r>
        <w:rPr>
          <w:rFonts w:hint="eastAsia" w:cs="Times New Roman"/>
          <w:color w:val="auto"/>
          <w:sz w:val="32"/>
          <w:szCs w:val="32"/>
          <w:lang w:val="en-US" w:eastAsia="zh-CN"/>
        </w:rPr>
        <w:t>83.51</w:t>
      </w:r>
      <w:r>
        <w:rPr>
          <w:rFonts w:hint="default" w:ascii="Times New Roman" w:hAnsi="Times New Roman" w:eastAsia="仿宋_GB2312" w:cs="Times New Roman"/>
          <w:color w:val="auto"/>
          <w:sz w:val="32"/>
          <w:szCs w:val="32"/>
        </w:rPr>
        <w:t>万元，其中：基本支出</w:t>
      </w:r>
      <w:r>
        <w:rPr>
          <w:rFonts w:hint="eastAsia" w:cs="Times New Roman"/>
          <w:color w:val="auto"/>
          <w:sz w:val="32"/>
          <w:szCs w:val="32"/>
          <w:lang w:val="en-US" w:eastAsia="zh-CN"/>
        </w:rPr>
        <w:t>61.51</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73.66</w:t>
      </w:r>
      <w:r>
        <w:rPr>
          <w:rFonts w:hint="default" w:ascii="Times New Roman" w:hAnsi="Times New Roman" w:eastAsia="仿宋_GB2312" w:cs="Times New Roman"/>
          <w:color w:val="auto"/>
          <w:sz w:val="32"/>
          <w:szCs w:val="32"/>
        </w:rPr>
        <w:t>%；项目支出22.</w:t>
      </w:r>
      <w:r>
        <w:rPr>
          <w:rFonts w:hint="eastAsia" w:cs="Times New Roman"/>
          <w:color w:val="auto"/>
          <w:sz w:val="32"/>
          <w:szCs w:val="32"/>
          <w:lang w:val="en-US" w:eastAsia="zh-CN"/>
        </w:rPr>
        <w:t>00</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26.34</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年财政拨款收支预算情况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年财政拨款收支总预算</w:t>
      </w:r>
      <w:r>
        <w:rPr>
          <w:rFonts w:hint="eastAsia" w:cs="Times New Roman"/>
          <w:color w:val="auto"/>
          <w:sz w:val="32"/>
          <w:szCs w:val="32"/>
          <w:lang w:val="en-US" w:eastAsia="zh-CN"/>
        </w:rPr>
        <w:t>83.51</w:t>
      </w:r>
      <w:r>
        <w:rPr>
          <w:rFonts w:hint="default" w:ascii="Times New Roman" w:hAnsi="Times New Roman" w:eastAsia="仿宋_GB2312" w:cs="Times New Roman"/>
          <w:color w:val="auto"/>
          <w:sz w:val="32"/>
          <w:szCs w:val="32"/>
        </w:rPr>
        <w:t>万元，其中：本年</w:t>
      </w:r>
      <w:r>
        <w:rPr>
          <w:rFonts w:hint="default" w:ascii="Times New Roman" w:hAnsi="Times New Roman" w:eastAsia="仿宋_GB2312" w:cs="Times New Roman"/>
          <w:color w:val="auto"/>
          <w:sz w:val="32"/>
          <w:szCs w:val="32"/>
          <w:lang w:eastAsia="zh-CN"/>
        </w:rPr>
        <w:t>预算</w:t>
      </w:r>
      <w:r>
        <w:rPr>
          <w:rFonts w:hint="eastAsia" w:cs="Times New Roman"/>
          <w:color w:val="auto"/>
          <w:sz w:val="32"/>
          <w:szCs w:val="32"/>
          <w:lang w:val="en-US" w:eastAsia="zh-CN"/>
        </w:rPr>
        <w:t>83.51</w:t>
      </w:r>
      <w:r>
        <w:rPr>
          <w:rFonts w:hint="default" w:ascii="Times New Roman" w:hAnsi="Times New Roman" w:eastAsia="仿宋_GB2312" w:cs="Times New Roman"/>
          <w:color w:val="auto"/>
          <w:sz w:val="32"/>
          <w:szCs w:val="32"/>
        </w:rPr>
        <w:t>万元</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支出包括：</w:t>
      </w:r>
      <w:r>
        <w:rPr>
          <w:rFonts w:hint="default" w:ascii="Times New Roman" w:hAnsi="Times New Roman" w:eastAsia="仿宋_GB2312" w:cs="Times New Roman"/>
          <w:color w:val="auto"/>
          <w:kern w:val="0"/>
          <w:sz w:val="32"/>
          <w:szCs w:val="32"/>
        </w:rPr>
        <w:t>一般公共服务支出</w:t>
      </w:r>
      <w:r>
        <w:rPr>
          <w:rFonts w:hint="eastAsia" w:cs="Times New Roman"/>
          <w:color w:val="auto"/>
          <w:sz w:val="32"/>
          <w:szCs w:val="32"/>
          <w:lang w:val="en-US" w:eastAsia="zh-CN"/>
        </w:rPr>
        <w:t>68.45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kern w:val="0"/>
          <w:sz w:val="32"/>
          <w:szCs w:val="32"/>
        </w:rPr>
        <w:t>社会保障和就业支出</w:t>
      </w:r>
      <w:r>
        <w:rPr>
          <w:rFonts w:hint="eastAsia" w:cs="Times New Roman"/>
          <w:color w:val="auto"/>
          <w:kern w:val="0"/>
          <w:sz w:val="32"/>
          <w:szCs w:val="32"/>
          <w:lang w:val="en-US" w:eastAsia="zh-CN"/>
        </w:rPr>
        <w:t>8.90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kern w:val="0"/>
          <w:sz w:val="32"/>
          <w:szCs w:val="32"/>
        </w:rPr>
        <w:t>卫生健康支出</w:t>
      </w:r>
      <w:r>
        <w:rPr>
          <w:rFonts w:hint="eastAsia" w:cs="Times New Roman"/>
          <w:color w:val="auto"/>
          <w:kern w:val="0"/>
          <w:sz w:val="32"/>
          <w:szCs w:val="32"/>
          <w:lang w:val="en-US" w:eastAsia="zh-CN"/>
        </w:rPr>
        <w:t>1.76</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kern w:val="0"/>
          <w:sz w:val="32"/>
          <w:szCs w:val="32"/>
        </w:rPr>
        <w:t>住房保障支出</w:t>
      </w:r>
      <w:r>
        <w:rPr>
          <w:rFonts w:hint="eastAsia" w:cs="Times New Roman"/>
          <w:color w:val="auto"/>
          <w:sz w:val="32"/>
          <w:szCs w:val="32"/>
          <w:lang w:val="en-US" w:eastAsia="zh-CN"/>
        </w:rPr>
        <w:t>4.40</w:t>
      </w:r>
      <w:r>
        <w:rPr>
          <w:rFonts w:hint="default" w:ascii="Times New Roman" w:hAnsi="Times New Roman" w:eastAsia="仿宋_GB2312"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年一般公共预算支出情况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年一般公共预算拨款</w:t>
      </w:r>
      <w:r>
        <w:rPr>
          <w:rFonts w:hint="eastAsia" w:cs="Times New Roman"/>
          <w:color w:val="auto"/>
          <w:sz w:val="32"/>
          <w:szCs w:val="32"/>
          <w:lang w:val="en-US" w:eastAsia="zh-CN"/>
        </w:rPr>
        <w:t>83.51</w:t>
      </w:r>
      <w:r>
        <w:rPr>
          <w:rFonts w:hint="default" w:ascii="Times New Roman" w:hAnsi="Times New Roman" w:eastAsia="仿宋_GB2312" w:cs="Times New Roman"/>
          <w:color w:val="auto"/>
          <w:sz w:val="32"/>
          <w:szCs w:val="32"/>
        </w:rPr>
        <w:t>万元，其中：基本支出</w:t>
      </w:r>
      <w:r>
        <w:rPr>
          <w:rFonts w:hint="eastAsia" w:cs="Times New Roman"/>
          <w:color w:val="auto"/>
          <w:sz w:val="32"/>
          <w:szCs w:val="32"/>
          <w:lang w:val="en-US" w:eastAsia="zh-CN"/>
        </w:rPr>
        <w:t>61.51</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73.66</w:t>
      </w:r>
      <w:r>
        <w:rPr>
          <w:rFonts w:hint="default" w:ascii="Times New Roman" w:hAnsi="Times New Roman" w:eastAsia="仿宋_GB2312" w:cs="Times New Roman"/>
          <w:color w:val="auto"/>
          <w:sz w:val="32"/>
          <w:szCs w:val="32"/>
        </w:rPr>
        <w:t>%；项目支出22.</w:t>
      </w:r>
      <w:r>
        <w:rPr>
          <w:rFonts w:hint="eastAsia" w:cs="Times New Roman"/>
          <w:color w:val="auto"/>
          <w:sz w:val="32"/>
          <w:szCs w:val="32"/>
          <w:lang w:val="en-US" w:eastAsia="zh-CN"/>
        </w:rPr>
        <w:t>00</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26.34</w:t>
      </w:r>
      <w:r>
        <w:rPr>
          <w:rFonts w:hint="default" w:ascii="Times New Roman" w:hAnsi="Times New Roman" w:eastAsia="仿宋_GB2312" w:cs="Times New Roman"/>
          <w:color w:val="auto"/>
          <w:sz w:val="32"/>
          <w:szCs w:val="32"/>
        </w:rPr>
        <w:t>%。基本支出中，人员经费</w:t>
      </w:r>
      <w:r>
        <w:rPr>
          <w:rFonts w:hint="eastAsia" w:cs="Times New Roman"/>
          <w:color w:val="auto"/>
          <w:sz w:val="32"/>
          <w:szCs w:val="32"/>
          <w:lang w:val="en-US" w:eastAsia="zh-CN"/>
        </w:rPr>
        <w:t>52.14</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84.77</w:t>
      </w:r>
      <w:r>
        <w:rPr>
          <w:rFonts w:hint="default" w:ascii="Times New Roman" w:hAnsi="Times New Roman" w:eastAsia="仿宋_GB2312" w:cs="Times New Roman"/>
          <w:color w:val="auto"/>
          <w:sz w:val="32"/>
          <w:szCs w:val="32"/>
        </w:rPr>
        <w:t>%；公用经费</w:t>
      </w:r>
      <w:r>
        <w:rPr>
          <w:rFonts w:hint="eastAsia" w:cs="Times New Roman"/>
          <w:color w:val="auto"/>
          <w:sz w:val="32"/>
          <w:szCs w:val="32"/>
          <w:lang w:val="en-US" w:eastAsia="zh-CN"/>
        </w:rPr>
        <w:t>9.37</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15.23</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一般公共服务（类）支出</w:t>
      </w:r>
      <w:r>
        <w:rPr>
          <w:rFonts w:hint="eastAsia" w:cs="Times New Roman"/>
          <w:color w:val="auto"/>
          <w:sz w:val="32"/>
          <w:szCs w:val="32"/>
          <w:lang w:val="en-US" w:eastAsia="zh-CN"/>
        </w:rPr>
        <w:t>68.45</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81.96%</w:t>
      </w:r>
      <w:r>
        <w:rPr>
          <w:rFonts w:hint="default" w:ascii="Times New Roman" w:hAnsi="Times New Roman" w:eastAsia="仿宋_GB2312" w:cs="Times New Roman"/>
          <w:color w:val="auto"/>
          <w:sz w:val="32"/>
          <w:szCs w:val="32"/>
        </w:rPr>
        <w:t>，主要用于保障职工工资，维持机关正常运行，完成年度统计工作任务。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社会保障和就业（类）支出</w:t>
      </w:r>
      <w:r>
        <w:rPr>
          <w:rFonts w:hint="eastAsia" w:cs="Times New Roman"/>
          <w:color w:val="auto"/>
          <w:sz w:val="32"/>
          <w:szCs w:val="32"/>
          <w:lang w:val="en-US" w:eastAsia="zh-CN"/>
        </w:rPr>
        <w:t>8.90</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10.66</w:t>
      </w:r>
      <w:r>
        <w:rPr>
          <w:rFonts w:hint="default" w:ascii="Times New Roman" w:hAnsi="Times New Roman" w:eastAsia="仿宋_GB2312" w:cs="Times New Roman"/>
          <w:color w:val="auto"/>
          <w:sz w:val="32"/>
          <w:szCs w:val="32"/>
        </w:rPr>
        <w:t>%，主要用于保障离退休职工工资及机关单位基本养老保险缴费支出。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卫生健康（类）支出</w:t>
      </w:r>
      <w:r>
        <w:rPr>
          <w:rFonts w:hint="eastAsia" w:cs="Times New Roman"/>
          <w:color w:val="auto"/>
          <w:sz w:val="32"/>
          <w:szCs w:val="32"/>
          <w:lang w:val="en-US" w:eastAsia="zh-CN"/>
        </w:rPr>
        <w:t>1.76</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2.11</w:t>
      </w:r>
      <w:r>
        <w:rPr>
          <w:rFonts w:hint="default" w:ascii="Times New Roman" w:hAnsi="Times New Roman" w:eastAsia="仿宋_GB2312" w:cs="Times New Roman"/>
          <w:color w:val="auto"/>
          <w:sz w:val="32"/>
          <w:szCs w:val="32"/>
        </w:rPr>
        <w:t>%，主要用于缴纳职工医疗保险。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住房保障（类）支出</w:t>
      </w:r>
      <w:r>
        <w:rPr>
          <w:rFonts w:hint="eastAsia" w:cs="Times New Roman"/>
          <w:color w:val="auto"/>
          <w:sz w:val="32"/>
          <w:szCs w:val="32"/>
          <w:lang w:val="en-US" w:eastAsia="zh-CN"/>
        </w:rPr>
        <w:t>4.40</w:t>
      </w:r>
      <w:r>
        <w:rPr>
          <w:rFonts w:hint="default" w:ascii="Times New Roman" w:hAnsi="Times New Roman" w:eastAsia="仿宋_GB2312" w:cs="Times New Roman"/>
          <w:color w:val="auto"/>
          <w:sz w:val="32"/>
          <w:szCs w:val="32"/>
        </w:rPr>
        <w:t>万元，占</w:t>
      </w:r>
      <w:r>
        <w:rPr>
          <w:rFonts w:hint="eastAsia" w:cs="Times New Roman"/>
          <w:color w:val="auto"/>
          <w:sz w:val="32"/>
          <w:szCs w:val="32"/>
          <w:lang w:val="en-US" w:eastAsia="zh-CN"/>
        </w:rPr>
        <w:t>5.27</w:t>
      </w:r>
      <w:r>
        <w:rPr>
          <w:rFonts w:hint="default" w:ascii="Times New Roman" w:hAnsi="Times New Roman" w:eastAsia="仿宋_GB2312" w:cs="Times New Roman"/>
          <w:color w:val="auto"/>
          <w:sz w:val="32"/>
          <w:szCs w:val="32"/>
        </w:rPr>
        <w:t>%，主要用于缴纳职工住房公积金。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年一般公共预算基本支出情况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年一般公共预算基本支出</w:t>
      </w:r>
      <w:r>
        <w:rPr>
          <w:rFonts w:hint="eastAsia" w:cs="Times New Roman"/>
          <w:color w:val="auto"/>
          <w:sz w:val="32"/>
          <w:szCs w:val="32"/>
          <w:lang w:val="en-US" w:eastAsia="zh-CN"/>
        </w:rPr>
        <w:t>61.51</w:t>
      </w:r>
      <w:r>
        <w:rPr>
          <w:rFonts w:hint="default" w:ascii="Times New Roman" w:hAnsi="Times New Roman" w:eastAsia="仿宋_GB2312" w:cs="Times New Roman"/>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人员经费</w:t>
      </w:r>
      <w:r>
        <w:rPr>
          <w:rFonts w:hint="eastAsia" w:cs="Times New Roman"/>
          <w:color w:val="auto"/>
          <w:sz w:val="32"/>
          <w:szCs w:val="32"/>
          <w:lang w:val="en-US" w:eastAsia="zh-CN"/>
        </w:rPr>
        <w:t>52.14</w:t>
      </w:r>
      <w:r>
        <w:rPr>
          <w:rFonts w:hint="default" w:ascii="Times New Roman" w:hAnsi="Times New Roman" w:eastAsia="仿宋_GB2312" w:cs="Times New Roman"/>
          <w:color w:val="auto"/>
          <w:sz w:val="32"/>
          <w:szCs w:val="32"/>
        </w:rPr>
        <w:t>万元，主要包括：</w:t>
      </w:r>
      <w:r>
        <w:rPr>
          <w:rFonts w:hint="default" w:ascii="Times New Roman" w:hAnsi="Times New Roman" w:eastAsia="仿宋_GB2312" w:cs="Times New Roman"/>
          <w:color w:val="auto"/>
          <w:kern w:val="0"/>
          <w:sz w:val="32"/>
          <w:szCs w:val="32"/>
        </w:rPr>
        <w:t>基本工资、津贴补贴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奖金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机关事业单位基本养老保险缴费、职工基本医疗保险缴费、其他</w:t>
      </w:r>
      <w:r>
        <w:rPr>
          <w:rFonts w:hint="default" w:ascii="Times New Roman" w:hAnsi="Times New Roman" w:eastAsia="仿宋_GB2312" w:cs="Times New Roman"/>
          <w:color w:val="auto"/>
          <w:kern w:val="0"/>
          <w:sz w:val="32"/>
          <w:szCs w:val="32"/>
        </w:rPr>
        <w:t>社会保障缴费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住房公积金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医疗费、</w:t>
      </w:r>
      <w:r>
        <w:rPr>
          <w:rFonts w:hint="default" w:ascii="Times New Roman" w:hAnsi="Times New Roman" w:eastAsia="仿宋_GB2312" w:cs="Times New Roman"/>
          <w:color w:val="auto"/>
          <w:kern w:val="0"/>
          <w:sz w:val="32"/>
          <w:szCs w:val="32"/>
        </w:rPr>
        <w:t>其他工资福利支出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退休费</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其他对个人和家庭的补助。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公用经费</w:t>
      </w:r>
      <w:r>
        <w:rPr>
          <w:rFonts w:hint="eastAsia" w:cs="Times New Roman"/>
          <w:color w:val="auto"/>
          <w:sz w:val="32"/>
          <w:szCs w:val="32"/>
          <w:lang w:val="en-US" w:eastAsia="zh-CN"/>
        </w:rPr>
        <w:t>9.37</w:t>
      </w:r>
      <w:r>
        <w:rPr>
          <w:rFonts w:hint="default" w:ascii="Times New Roman" w:hAnsi="Times New Roman" w:eastAsia="仿宋_GB2312" w:cs="Times New Roman"/>
          <w:color w:val="auto"/>
          <w:sz w:val="32"/>
          <w:szCs w:val="32"/>
        </w:rPr>
        <w:t>万元，主要包括：</w:t>
      </w:r>
      <w:r>
        <w:rPr>
          <w:rFonts w:hint="default" w:ascii="Times New Roman" w:hAnsi="Times New Roman" w:eastAsia="仿宋_GB2312" w:cs="Times New Roman"/>
          <w:color w:val="auto"/>
          <w:kern w:val="0"/>
          <w:sz w:val="32"/>
          <w:szCs w:val="32"/>
        </w:rPr>
        <w:t>办公费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邮电费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差旅费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培训费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工会经费、福利费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其他交通</w:t>
      </w:r>
      <w:r>
        <w:rPr>
          <w:rFonts w:hint="default" w:ascii="Times New Roman" w:hAnsi="Times New Roman" w:eastAsia="仿宋_GB2312" w:cs="Times New Roman"/>
          <w:color w:val="auto"/>
          <w:kern w:val="0"/>
          <w:sz w:val="32"/>
          <w:szCs w:val="32"/>
          <w:lang w:eastAsia="zh-CN"/>
        </w:rPr>
        <w:t>费用、</w:t>
      </w:r>
      <w:r>
        <w:rPr>
          <w:rFonts w:hint="default" w:ascii="Times New Roman" w:hAnsi="Times New Roman" w:eastAsia="仿宋_GB2312" w:cs="Times New Roman"/>
          <w:color w:val="auto"/>
          <w:kern w:val="0"/>
          <w:sz w:val="32"/>
          <w:szCs w:val="32"/>
        </w:rPr>
        <w:t>其他商品和服务支出</w:t>
      </w:r>
      <w:r>
        <w:rPr>
          <w:rFonts w:hint="default" w:ascii="Times New Roman" w:hAnsi="Times New Roman" w:eastAsia="仿宋_GB2312" w:cs="Times New Roman"/>
          <w:color w:val="auto"/>
          <w:kern w:val="0"/>
          <w:sz w:val="32"/>
          <w:szCs w:val="32"/>
          <w:lang w:eastAsia="zh-CN"/>
        </w:rPr>
        <w:t>；办公设备购置</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年一般公共预算财政拨款“三公”经费情况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szCs w:val="32"/>
          <w:lang w:eastAsia="zh-CN"/>
        </w:rPr>
        <w:t>本单位无一般公共预算拨款“三公”经费</w:t>
      </w:r>
      <w:r>
        <w:rPr>
          <w:rFonts w:hint="eastAsia"/>
          <w:szCs w:val="32"/>
          <w:lang w:val="en-US" w:eastAsia="zh-CN"/>
        </w:rPr>
        <w:t>拨款</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年政府性基金预算支出情况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本单位无政府性基金预算</w:t>
      </w:r>
      <w:r>
        <w:rPr>
          <w:rFonts w:hint="default" w:ascii="Times New Roman" w:hAnsi="Times New Roman" w:eastAsia="仿宋_GB2312" w:cs="Times New Roman"/>
          <w:color w:val="auto"/>
          <w:sz w:val="32"/>
          <w:szCs w:val="32"/>
          <w:lang w:val="en-US" w:eastAsia="zh-CN"/>
        </w:rPr>
        <w:t>支出</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年国有资本经营预算支出情况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本单位无</w:t>
      </w:r>
      <w:r>
        <w:rPr>
          <w:rFonts w:hint="default" w:ascii="Times New Roman" w:hAnsi="Times New Roman" w:cs="Times New Roman"/>
          <w:color w:val="auto"/>
          <w:sz w:val="32"/>
          <w:szCs w:val="32"/>
        </w:rPr>
        <w:t>国有资本经营预算支出。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十、其他重要事项的说明情况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highlight w:val="none"/>
        </w:rPr>
        <w:t>伊通满族自治县统计局1家行政单位</w:t>
      </w:r>
      <w:r>
        <w:rPr>
          <w:rFonts w:hint="default" w:ascii="Times New Roman" w:hAnsi="Times New Roman" w:eastAsia="仿宋_GB2312" w:cs="Times New Roman"/>
          <w:color w:val="auto"/>
          <w:sz w:val="32"/>
          <w:szCs w:val="32"/>
        </w:rPr>
        <w:t>的机关运行经费财政拨款预算</w:t>
      </w:r>
      <w:r>
        <w:rPr>
          <w:rFonts w:hint="eastAsia" w:cs="Times New Roman"/>
          <w:color w:val="auto"/>
          <w:sz w:val="32"/>
          <w:szCs w:val="32"/>
          <w:lang w:val="en-US" w:eastAsia="zh-CN"/>
        </w:rPr>
        <w:t>9.37</w:t>
      </w:r>
      <w:r>
        <w:rPr>
          <w:rFonts w:hint="default" w:ascii="Times New Roman" w:hAnsi="Times New Roman" w:eastAsia="仿宋_GB2312" w:cs="Times New Roman"/>
          <w:color w:val="auto"/>
          <w:sz w:val="32"/>
          <w:szCs w:val="32"/>
        </w:rPr>
        <w:t>万元，比202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年预算</w:t>
      </w:r>
      <w:r>
        <w:rPr>
          <w:rFonts w:hint="eastAsia" w:cs="Times New Roman"/>
          <w:color w:val="auto"/>
          <w:sz w:val="32"/>
          <w:szCs w:val="32"/>
          <w:lang w:val="en-US" w:eastAsia="zh-CN"/>
        </w:rPr>
        <w:t>增加1.83</w:t>
      </w:r>
      <w:r>
        <w:rPr>
          <w:rFonts w:hint="default" w:ascii="Times New Roman" w:hAnsi="Times New Roman" w:eastAsia="仿宋_GB2312" w:cs="Times New Roman"/>
          <w:color w:val="auto"/>
          <w:sz w:val="32"/>
          <w:szCs w:val="32"/>
        </w:rPr>
        <w:t>万元，</w:t>
      </w:r>
      <w:r>
        <w:rPr>
          <w:rFonts w:hint="eastAsia" w:cs="Times New Roman"/>
          <w:color w:val="auto"/>
          <w:sz w:val="32"/>
          <w:szCs w:val="32"/>
          <w:lang w:val="en-US" w:eastAsia="zh-CN"/>
        </w:rPr>
        <w:t>增长24.27</w:t>
      </w:r>
      <w:r>
        <w:rPr>
          <w:rFonts w:hint="default" w:ascii="Times New Roman" w:hAnsi="Times New Roman" w:eastAsia="仿宋_GB2312" w:cs="Times New Roman"/>
          <w:color w:val="auto"/>
          <w:sz w:val="32"/>
          <w:szCs w:val="32"/>
        </w:rPr>
        <w:t>%，主要原因是</w:t>
      </w:r>
      <w:r>
        <w:rPr>
          <w:rFonts w:hint="eastAsia" w:cs="Times New Roman"/>
          <w:color w:val="auto"/>
          <w:sz w:val="32"/>
          <w:szCs w:val="32"/>
          <w:lang w:val="en-US" w:eastAsia="zh-CN"/>
        </w:rPr>
        <w:t>2025年比2024年增加一名新招录人员，相应经费增加</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本单位无政府采购预算拨款。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年8月底，</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单位共有车辆</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辆，土地</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平方米，房屋</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平方米，单价50万元以上设备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预算安排购置车辆</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辆，安排购置土地</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平方米，安排购置房屋</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平方米，计划新增单价50万元以上设备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项目支出情况说明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cs="Times New Roman"/>
          <w:color w:val="auto"/>
          <w:sz w:val="32"/>
          <w:szCs w:val="32"/>
          <w:lang w:val="en-US" w:eastAsia="zh-CN"/>
        </w:rPr>
        <w:t>单位</w:t>
      </w:r>
      <w:r>
        <w:rPr>
          <w:rFonts w:hint="default" w:ascii="Times New Roman" w:hAnsi="Times New Roman" w:eastAsia="仿宋_GB2312" w:cs="Times New Roman"/>
          <w:color w:val="auto"/>
          <w:sz w:val="32"/>
          <w:szCs w:val="32"/>
        </w:rPr>
        <w:t>项目支出</w:t>
      </w:r>
      <w:r>
        <w:rPr>
          <w:rFonts w:hint="eastAsia" w:cs="Times New Roman"/>
          <w:color w:val="auto"/>
          <w:sz w:val="32"/>
          <w:szCs w:val="32"/>
          <w:lang w:val="en-US" w:eastAsia="zh-CN"/>
        </w:rPr>
        <w:t>22.00</w:t>
      </w:r>
      <w:r>
        <w:rPr>
          <w:rFonts w:hint="default" w:ascii="Times New Roman" w:hAnsi="Times New Roman" w:eastAsia="仿宋_GB2312" w:cs="Times New Roman"/>
          <w:color w:val="auto"/>
          <w:sz w:val="32"/>
          <w:szCs w:val="32"/>
        </w:rPr>
        <w:t>万元，其中：一级项目</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个，二级项目</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个；使用本年拨款</w:t>
      </w:r>
      <w:r>
        <w:rPr>
          <w:rFonts w:hint="eastAsia" w:cs="Times New Roman"/>
          <w:color w:val="auto"/>
          <w:sz w:val="32"/>
          <w:szCs w:val="32"/>
          <w:lang w:val="en-US" w:eastAsia="zh-CN"/>
        </w:rPr>
        <w:t>22.00</w:t>
      </w:r>
      <w:r>
        <w:rPr>
          <w:rFonts w:hint="default" w:ascii="Times New Roman" w:hAnsi="Times New Roman" w:eastAsia="仿宋_GB2312" w:cs="Times New Roman"/>
          <w:color w:val="auto"/>
          <w:sz w:val="32"/>
          <w:szCs w:val="32"/>
        </w:rPr>
        <w:t>万元，财政拨款结转</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（五）项目支出绩效目标情况说明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按照全面实施预算绩效管理的要求，结合本</w:t>
      </w:r>
      <w:r>
        <w:rPr>
          <w:rFonts w:hint="eastAsia" w:cs="Times New Roman"/>
          <w:color w:val="auto"/>
          <w:sz w:val="32"/>
          <w:szCs w:val="32"/>
          <w:lang w:val="en-US" w:eastAsia="zh-CN"/>
        </w:rPr>
        <w:t>单位</w:t>
      </w:r>
      <w:r>
        <w:rPr>
          <w:rFonts w:hint="default" w:ascii="Times New Roman" w:hAnsi="Times New Roman" w:eastAsia="仿宋_GB2312" w:cs="Times New Roman"/>
          <w:color w:val="auto"/>
          <w:sz w:val="32"/>
          <w:szCs w:val="32"/>
        </w:rPr>
        <w:t>职能和重点工作，202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个项目支出的绩效目标和指标向社会公开，涉及金额</w:t>
      </w:r>
      <w:r>
        <w:rPr>
          <w:rFonts w:hint="eastAsia" w:cs="Times New Roman"/>
          <w:color w:val="auto"/>
          <w:sz w:val="32"/>
          <w:szCs w:val="32"/>
          <w:lang w:val="en-US" w:eastAsia="zh-CN"/>
        </w:rPr>
        <w:t>22.00</w:t>
      </w:r>
      <w:r>
        <w:rPr>
          <w:rFonts w:hint="default" w:ascii="Times New Roman" w:hAnsi="Times New Roman" w:eastAsia="仿宋_GB2312"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br w:type="page"/>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（一）一般公共预算拨款收入：</w:t>
      </w:r>
      <w:r>
        <w:rPr>
          <w:rFonts w:hint="default" w:ascii="Times New Roman" w:hAnsi="Times New Roman" w:cs="Times New Roman"/>
          <w:color w:val="auto"/>
          <w:sz w:val="32"/>
          <w:szCs w:val="32"/>
        </w:rPr>
        <w:t>指省级财政通过当年一般公共预算拨付的资金。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（二）政府性基金预算拨款收入：</w:t>
      </w:r>
      <w:r>
        <w:rPr>
          <w:rFonts w:hint="default" w:ascii="Times New Roman" w:hAnsi="Times New Roman" w:cs="Times New Roman"/>
          <w:color w:val="auto"/>
          <w:sz w:val="32"/>
          <w:szCs w:val="32"/>
        </w:rPr>
        <w:t>指省级财政通过当年政府性基金预算拨付的资金。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（三）国有资本经营预算拨款收入：</w:t>
      </w:r>
      <w:r>
        <w:rPr>
          <w:rFonts w:hint="default" w:ascii="Times New Roman" w:hAnsi="Times New Roman" w:cs="Times New Roman"/>
          <w:color w:val="auto"/>
          <w:sz w:val="32"/>
          <w:szCs w:val="32"/>
        </w:rPr>
        <w:t>指省级财政通过当年国有资本经营预算拨付的资金。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（四）财政专户管理资金收入：</w:t>
      </w:r>
      <w:r>
        <w:rPr>
          <w:rFonts w:hint="default" w:ascii="Times New Roman" w:hAnsi="Times New Roman" w:cs="Times New Roman"/>
          <w:color w:val="auto"/>
          <w:sz w:val="32"/>
          <w:szCs w:val="32"/>
        </w:rPr>
        <w:t>指</w:t>
      </w:r>
      <w:r>
        <w:rPr>
          <w:rFonts w:hint="default" w:ascii="Times New Roman" w:hAnsi="Times New Roman" w:cs="Times New Roman"/>
          <w:color w:val="auto"/>
          <w:sz w:val="32"/>
          <w:szCs w:val="32"/>
          <w:lang w:eastAsia="zh-CN"/>
        </w:rPr>
        <w:t>缴入财政专户</w:t>
      </w:r>
      <w:r>
        <w:rPr>
          <w:rFonts w:hint="default" w:ascii="Times New Roman" w:hAnsi="Times New Roman" w:cs="Times New Roman"/>
          <w:color w:val="auto"/>
          <w:sz w:val="32"/>
          <w:szCs w:val="32"/>
        </w:rPr>
        <w:t>并实行财政专</w:t>
      </w:r>
      <w:r>
        <w:rPr>
          <w:rFonts w:hint="default" w:ascii="Times New Roman" w:hAnsi="Times New Roman" w:cs="Times New Roman"/>
          <w:color w:val="auto"/>
          <w:sz w:val="32"/>
          <w:szCs w:val="32"/>
          <w:lang w:eastAsia="zh-CN"/>
        </w:rPr>
        <w:t>项</w:t>
      </w:r>
      <w:r>
        <w:rPr>
          <w:rFonts w:hint="default" w:ascii="Times New Roman" w:hAnsi="Times New Roman" w:cs="Times New Roman"/>
          <w:color w:val="auto"/>
          <w:sz w:val="32"/>
          <w:szCs w:val="32"/>
        </w:rPr>
        <w:t>管理的资金收入。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rPr>
        <w:t>（五）事业收入：</w:t>
      </w:r>
      <w:r>
        <w:rPr>
          <w:rFonts w:hint="default" w:ascii="Times New Roman" w:hAnsi="Times New Roman" w:cs="Times New Roman"/>
          <w:color w:val="auto"/>
          <w:sz w:val="32"/>
          <w:szCs w:val="32"/>
          <w:lang w:val="en-US" w:eastAsia="zh-CN"/>
        </w:rPr>
        <w:t>是指</w:t>
      </w:r>
      <w:r>
        <w:rPr>
          <w:rFonts w:hint="default" w:ascii="Times New Roman" w:hAnsi="Times New Roman" w:eastAsia="仿宋_GB2312" w:cs="Times New Roman"/>
          <w:color w:val="auto"/>
          <w:sz w:val="32"/>
          <w:szCs w:val="32"/>
          <w:lang w:val="en-US" w:eastAsia="zh-CN"/>
        </w:rPr>
        <w:t>事业单位开展专业业务活动及其辅助活动取得的收入。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（六）上级补助收入：</w:t>
      </w:r>
      <w:r>
        <w:rPr>
          <w:rFonts w:hint="default" w:ascii="Times New Roman" w:hAnsi="Times New Roman" w:cs="Times New Roman"/>
          <w:color w:val="auto"/>
          <w:sz w:val="32"/>
          <w:szCs w:val="32"/>
        </w:rPr>
        <w:t>指预算单位从主管部门或上级单位取得的非财政拨款补助收入。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rPr>
        <w:t>（七）附属单位上缴收入：</w:t>
      </w:r>
      <w:r>
        <w:rPr>
          <w:rFonts w:hint="default" w:ascii="Times New Roman" w:hAnsi="Times New Roman" w:cs="Times New Roman"/>
          <w:color w:val="auto"/>
          <w:sz w:val="32"/>
          <w:szCs w:val="32"/>
          <w:lang w:val="en-US" w:eastAsia="zh-CN"/>
        </w:rPr>
        <w:t>是指本单位所属下级单位上缴给本单位的全部收入。包括下级事业单位上缴的事业收入、其他收入和下级企业单位上缴的利润等。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（八）事业单位经营收入：</w:t>
      </w:r>
      <w:r>
        <w:rPr>
          <w:rFonts w:hint="default" w:ascii="Times New Roman" w:hAnsi="Times New Roman" w:cs="Times New Roman"/>
          <w:color w:val="auto"/>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rPr>
        <w:t>（九）其他收入：</w:t>
      </w:r>
      <w:r>
        <w:rPr>
          <w:rFonts w:hint="default" w:ascii="Times New Roman" w:hAnsi="Times New Roman" w:cs="Times New Roman"/>
          <w:color w:val="auto"/>
          <w:sz w:val="32"/>
          <w:szCs w:val="32"/>
        </w:rPr>
        <w:t>指除上述</w:t>
      </w:r>
      <w:r>
        <w:rPr>
          <w:rFonts w:hint="default" w:ascii="Times New Roman" w:hAnsi="Times New Roman" w:cs="Times New Roman"/>
          <w:color w:val="auto"/>
          <w:sz w:val="32"/>
          <w:szCs w:val="32"/>
          <w:lang w:eastAsia="zh-CN"/>
        </w:rPr>
        <w:t>收入</w:t>
      </w:r>
      <w:r>
        <w:rPr>
          <w:rFonts w:hint="default" w:ascii="Times New Roman" w:hAnsi="Times New Roman" w:cs="Times New Roman"/>
          <w:color w:val="auto"/>
          <w:sz w:val="32"/>
          <w:szCs w:val="32"/>
        </w:rPr>
        <w:t>以外的</w:t>
      </w:r>
      <w:r>
        <w:rPr>
          <w:rFonts w:hint="default" w:ascii="Times New Roman" w:hAnsi="Times New Roman" w:cs="Times New Roman"/>
          <w:color w:val="auto"/>
          <w:sz w:val="32"/>
          <w:szCs w:val="32"/>
          <w:lang w:eastAsia="zh-CN"/>
        </w:rPr>
        <w:t>各项</w:t>
      </w:r>
      <w:r>
        <w:rPr>
          <w:rFonts w:hint="default" w:ascii="Times New Roman" w:hAnsi="Times New Roman" w:cs="Times New Roman"/>
          <w:color w:val="auto"/>
          <w:sz w:val="32"/>
          <w:szCs w:val="32"/>
        </w:rPr>
        <w:t>收入</w:t>
      </w:r>
      <w:r>
        <w:rPr>
          <w:rFonts w:hint="default" w:ascii="Times New Roman" w:hAnsi="Times New Roman" w:cs="Times New Roman"/>
          <w:color w:val="auto"/>
          <w:sz w:val="32"/>
          <w:szCs w:val="32"/>
          <w:lang w:eastAsia="zh-CN"/>
        </w:rPr>
        <w:t>，主要包括非本级财政拨款、事业单位的投资收益等收入。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（十）上年结转：</w:t>
      </w:r>
      <w:r>
        <w:rPr>
          <w:rFonts w:hint="default" w:ascii="Times New Roman" w:hAnsi="Times New Roman" w:cs="Times New Roman"/>
          <w:color w:val="auto"/>
          <w:sz w:val="32"/>
          <w:szCs w:val="32"/>
        </w:rPr>
        <w:t>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一</w:t>
      </w:r>
      <w:r>
        <w:rPr>
          <w:rFonts w:hint="default" w:ascii="Times New Roman" w:hAnsi="Times New Roman" w:eastAsia="楷体" w:cs="Times New Roman"/>
          <w:color w:val="auto"/>
          <w:sz w:val="32"/>
          <w:szCs w:val="32"/>
        </w:rPr>
        <w:t>）结转下年：</w:t>
      </w:r>
      <w:r>
        <w:rPr>
          <w:rFonts w:hint="default" w:ascii="Times New Roman" w:hAnsi="Times New Roman" w:cs="Times New Roman"/>
          <w:color w:val="auto"/>
          <w:sz w:val="32"/>
          <w:szCs w:val="32"/>
        </w:rPr>
        <w:t>指以前年度预算安排、因客观条件发生变化无法按原计划实施，需延迟到以后年度按原规定用途继续使用的资金。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二</w:t>
      </w:r>
      <w:r>
        <w:rPr>
          <w:rFonts w:hint="default" w:ascii="Times New Roman" w:hAnsi="Times New Roman" w:eastAsia="楷体" w:cs="Times New Roman"/>
          <w:color w:val="auto"/>
          <w:sz w:val="32"/>
          <w:szCs w:val="32"/>
        </w:rPr>
        <w:t>）基本支出：</w:t>
      </w:r>
      <w:r>
        <w:rPr>
          <w:rFonts w:hint="default" w:ascii="Times New Roman" w:hAnsi="Times New Roman" w:cs="Times New Roman"/>
          <w:color w:val="auto"/>
          <w:sz w:val="32"/>
          <w:szCs w:val="32"/>
        </w:rPr>
        <w:t>指为保障机构正常运转</w:t>
      </w:r>
      <w:r>
        <w:rPr>
          <w:rFonts w:hint="default" w:ascii="Times New Roman" w:hAnsi="Times New Roman" w:cs="Times New Roman"/>
          <w:color w:val="auto"/>
          <w:sz w:val="32"/>
          <w:szCs w:val="32"/>
          <w:lang w:eastAsia="zh-CN"/>
        </w:rPr>
        <w:t>和</w:t>
      </w:r>
      <w:r>
        <w:rPr>
          <w:rFonts w:hint="default" w:ascii="Times New Roman" w:hAnsi="Times New Roman" w:cs="Times New Roman"/>
          <w:color w:val="auto"/>
          <w:sz w:val="32"/>
          <w:szCs w:val="32"/>
        </w:rPr>
        <w:t>完成日常工作任务</w:t>
      </w:r>
      <w:r>
        <w:rPr>
          <w:rFonts w:hint="default" w:ascii="Times New Roman" w:hAnsi="Times New Roman" w:cs="Times New Roman"/>
          <w:color w:val="auto"/>
          <w:sz w:val="32"/>
          <w:szCs w:val="32"/>
          <w:lang w:eastAsia="zh-CN"/>
        </w:rPr>
        <w:t>所必需的支出，具体分为人员类项目和运转类项目中的公用经费项目</w:t>
      </w:r>
      <w:r>
        <w:rPr>
          <w:rFonts w:hint="default" w:ascii="Times New Roman" w:hAnsi="Times New Roman"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三</w:t>
      </w:r>
      <w:r>
        <w:rPr>
          <w:rFonts w:hint="default" w:ascii="Times New Roman" w:hAnsi="Times New Roman" w:eastAsia="楷体" w:cs="Times New Roman"/>
          <w:color w:val="auto"/>
          <w:sz w:val="32"/>
          <w:szCs w:val="32"/>
        </w:rPr>
        <w:t>）项目支出：</w:t>
      </w:r>
      <w:r>
        <w:rPr>
          <w:rFonts w:hint="default" w:ascii="Times New Roman" w:hAnsi="Times New Roman" w:cs="Times New Roman"/>
          <w:color w:val="auto"/>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四</w:t>
      </w:r>
      <w:r>
        <w:rPr>
          <w:rFonts w:hint="default" w:ascii="Times New Roman" w:hAnsi="Times New Roman" w:eastAsia="楷体" w:cs="Times New Roman"/>
          <w:color w:val="auto"/>
          <w:sz w:val="32"/>
          <w:szCs w:val="32"/>
        </w:rPr>
        <w:t>）上缴上级支出：</w:t>
      </w:r>
      <w:r>
        <w:rPr>
          <w:rFonts w:hint="default" w:ascii="Times New Roman" w:hAnsi="Times New Roman" w:cs="Times New Roman"/>
          <w:color w:val="auto"/>
          <w:sz w:val="32"/>
          <w:szCs w:val="32"/>
        </w:rPr>
        <w:t>指附属单位上缴上级的支出。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五</w:t>
      </w:r>
      <w:r>
        <w:rPr>
          <w:rFonts w:hint="default" w:ascii="Times New Roman" w:hAnsi="Times New Roman" w:eastAsia="楷体" w:cs="Times New Roman"/>
          <w:color w:val="auto"/>
          <w:sz w:val="32"/>
          <w:szCs w:val="32"/>
        </w:rPr>
        <w:t>）事业单位经营支出：</w:t>
      </w:r>
      <w:r>
        <w:rPr>
          <w:rFonts w:hint="default" w:ascii="Times New Roman" w:hAnsi="Times New Roman" w:cs="Times New Roman"/>
          <w:color w:val="auto"/>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六</w:t>
      </w:r>
      <w:r>
        <w:rPr>
          <w:rFonts w:hint="default" w:ascii="Times New Roman" w:hAnsi="Times New Roman" w:eastAsia="楷体" w:cs="Times New Roman"/>
          <w:color w:val="auto"/>
          <w:sz w:val="32"/>
          <w:szCs w:val="32"/>
        </w:rPr>
        <w:t>）对附属单位补助支出：</w:t>
      </w:r>
      <w:r>
        <w:rPr>
          <w:rFonts w:hint="default" w:ascii="Times New Roman" w:hAnsi="Times New Roman" w:eastAsia="仿宋_GB2312" w:cs="Times New Roman"/>
          <w:color w:val="auto"/>
          <w:sz w:val="32"/>
          <w:szCs w:val="32"/>
        </w:rPr>
        <w:t>指对附属单位补助发生的支出。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七</w:t>
      </w:r>
      <w:r>
        <w:rPr>
          <w:rFonts w:hint="default" w:ascii="Times New Roman" w:hAnsi="Times New Roman" w:eastAsia="楷体" w:cs="Times New Roman"/>
          <w:color w:val="auto"/>
          <w:sz w:val="32"/>
          <w:szCs w:val="32"/>
        </w:rPr>
        <w:t>）“三公”经费：</w:t>
      </w:r>
      <w:r>
        <w:rPr>
          <w:rFonts w:hint="default" w:ascii="Times New Roman" w:hAnsi="Times New Roman" w:eastAsia="仿宋_GB2312" w:cs="Times New Roman"/>
          <w:color w:val="auto"/>
          <w:sz w:val="32"/>
          <w:szCs w:val="32"/>
        </w:rPr>
        <w:t>纳入财政预决算管理的“三公”经费，是指</w:t>
      </w:r>
      <w:r>
        <w:rPr>
          <w:rFonts w:hint="eastAsia" w:cs="Times New Roman"/>
          <w:color w:val="auto"/>
          <w:sz w:val="32"/>
          <w:szCs w:val="32"/>
          <w:lang w:val="en-US" w:eastAsia="zh-CN"/>
        </w:rPr>
        <w:t>单位</w:t>
      </w:r>
      <w:r>
        <w:rPr>
          <w:rFonts w:hint="default" w:ascii="Times New Roman" w:hAnsi="Times New Roman" w:eastAsia="仿宋_GB2312" w:cs="Times New Roman"/>
          <w:color w:val="auto"/>
          <w:sz w:val="32"/>
          <w:szCs w:val="32"/>
        </w:rPr>
        <w:t>用财政拨款安排的因公出国（境）费、公务用车购置及运行</w:t>
      </w:r>
      <w:r>
        <w:rPr>
          <w:rFonts w:hint="default" w:ascii="Times New Roman" w:hAnsi="Times New Roman" w:eastAsia="仿宋_GB2312" w:cs="Times New Roman"/>
          <w:color w:val="auto"/>
          <w:sz w:val="32"/>
          <w:szCs w:val="32"/>
          <w:lang w:eastAsia="zh-CN"/>
        </w:rPr>
        <w:t>维护</w:t>
      </w:r>
      <w:r>
        <w:rPr>
          <w:rFonts w:hint="default" w:ascii="Times New Roman" w:hAnsi="Times New Roman" w:eastAsia="仿宋_GB2312" w:cs="Times New Roman"/>
          <w:color w:val="auto"/>
          <w:sz w:val="32"/>
          <w:szCs w:val="32"/>
        </w:rPr>
        <w:t>费和公务接待费。其中，因公出国（境）费反映单位公务出国（境）费的国际旅游、国外城市间交通费、住宿费、伙食费、培训费、公杂费等支出；公务用车购置及运行</w:t>
      </w:r>
      <w:r>
        <w:rPr>
          <w:rFonts w:hint="default" w:ascii="Times New Roman" w:hAnsi="Times New Roman" w:eastAsia="仿宋_GB2312" w:cs="Times New Roman"/>
          <w:color w:val="auto"/>
          <w:sz w:val="32"/>
          <w:szCs w:val="32"/>
          <w:lang w:eastAsia="zh-CN"/>
        </w:rPr>
        <w:t>维护</w:t>
      </w:r>
      <w:r>
        <w:rPr>
          <w:rFonts w:hint="default" w:ascii="Times New Roman" w:hAnsi="Times New Roman" w:eastAsia="仿宋_GB2312" w:cs="Times New Roman"/>
          <w:color w:val="auto"/>
          <w:sz w:val="32"/>
          <w:szCs w:val="32"/>
        </w:rPr>
        <w:t>费反映单位公务用车车辆购置支出（含车辆购置税）及</w:t>
      </w:r>
      <w:r>
        <w:rPr>
          <w:rFonts w:hint="default" w:ascii="Times New Roman" w:hAnsi="Times New Roman" w:eastAsia="仿宋_GB2312" w:cs="Times New Roman"/>
          <w:color w:val="auto"/>
          <w:sz w:val="32"/>
          <w:szCs w:val="32"/>
          <w:lang w:eastAsia="zh-CN"/>
        </w:rPr>
        <w:t>公务用车</w:t>
      </w:r>
      <w:r>
        <w:rPr>
          <w:rFonts w:hint="default" w:ascii="Times New Roman" w:hAnsi="Times New Roman" w:eastAsia="仿宋_GB2312" w:cs="Times New Roman"/>
          <w:color w:val="auto"/>
          <w:sz w:val="32"/>
          <w:szCs w:val="32"/>
        </w:rPr>
        <w:t>燃料费</w:t>
      </w:r>
      <w:r>
        <w:rPr>
          <w:rFonts w:hint="default" w:ascii="Times New Roman" w:hAnsi="Times New Roman" w:eastAsia="仿宋_GB2312" w:cs="Times New Roman"/>
          <w:color w:val="auto"/>
          <w:sz w:val="32"/>
          <w:szCs w:val="32"/>
          <w:lang w:eastAsia="zh-CN"/>
        </w:rPr>
        <w:t>、新能源汽车充电费</w:t>
      </w:r>
      <w:r>
        <w:rPr>
          <w:rFonts w:hint="default" w:ascii="Times New Roman" w:hAnsi="Times New Roman" w:eastAsia="仿宋_GB2312" w:cs="Times New Roman"/>
          <w:color w:val="auto"/>
          <w:sz w:val="32"/>
          <w:szCs w:val="32"/>
        </w:rPr>
        <w:t>、维修费、过路过桥费、保险费、安全奖励费用等支出；公务接待费反映单位按规定开支的各类公务接待（含外宾接待）支出。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楷体" w:cs="Times New Roman"/>
          <w:color w:val="auto"/>
          <w:sz w:val="32"/>
          <w:szCs w:val="32"/>
        </w:rPr>
        <w:t>（十</w:t>
      </w:r>
      <w:r>
        <w:rPr>
          <w:rFonts w:hint="default" w:ascii="Times New Roman" w:hAnsi="Times New Roman" w:eastAsia="楷体" w:cs="Times New Roman"/>
          <w:color w:val="auto"/>
          <w:sz w:val="32"/>
          <w:szCs w:val="32"/>
          <w:lang w:eastAsia="zh-CN"/>
        </w:rPr>
        <w:t>八</w:t>
      </w:r>
      <w:r>
        <w:rPr>
          <w:rFonts w:hint="default" w:ascii="Times New Roman" w:hAnsi="Times New Roman" w:eastAsia="楷体" w:cs="Times New Roman"/>
          <w:color w:val="auto"/>
          <w:sz w:val="32"/>
          <w:szCs w:val="32"/>
        </w:rPr>
        <w:t>）机关运行经费：</w:t>
      </w:r>
      <w:r>
        <w:rPr>
          <w:rFonts w:hint="default" w:ascii="Times New Roman" w:hAnsi="Times New Roman" w:eastAsia="仿宋_GB2312" w:cs="Times New Roman"/>
          <w:color w:val="auto"/>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十九</w:t>
      </w:r>
      <w:r>
        <w:rPr>
          <w:rFonts w:hint="default" w:ascii="Times New Roman" w:hAnsi="Times New Roman" w:eastAsia="楷体" w:cs="Times New Roman"/>
          <w:color w:val="auto"/>
          <w:sz w:val="32"/>
          <w:szCs w:val="32"/>
        </w:rPr>
        <w:t>）项目支出绩效目标：</w:t>
      </w:r>
      <w:r>
        <w:rPr>
          <w:rFonts w:hint="default" w:ascii="Times New Roman" w:hAnsi="Times New Roman" w:eastAsia="仿宋_GB2312" w:cs="Times New Roman"/>
          <w:b w:val="0"/>
          <w:bCs w:val="0"/>
          <w:color w:val="auto"/>
          <w:sz w:val="32"/>
          <w:szCs w:val="32"/>
        </w:rPr>
        <w:t>项目支出绩效目标是指</w:t>
      </w:r>
      <w:r>
        <w:rPr>
          <w:rFonts w:hint="eastAsia" w:cs="Times New Roman"/>
          <w:b w:val="0"/>
          <w:bCs w:val="0"/>
          <w:color w:val="auto"/>
          <w:sz w:val="32"/>
          <w:szCs w:val="32"/>
          <w:lang w:val="en-US" w:eastAsia="zh-CN"/>
        </w:rPr>
        <w:t>单位</w:t>
      </w:r>
      <w:r>
        <w:rPr>
          <w:rFonts w:hint="default" w:ascii="Times New Roman" w:hAnsi="Times New Roman" w:eastAsia="仿宋_GB2312" w:cs="Times New Roman"/>
          <w:b w:val="0"/>
          <w:bCs w:val="0"/>
          <w:color w:val="auto"/>
          <w:sz w:val="32"/>
          <w:szCs w:val="32"/>
        </w:rPr>
        <w:t>预算安排的项目支出在一定期限内预期达到的产出和效果。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color w:val="auto"/>
          <w:szCs w:val="32"/>
        </w:rPr>
      </w:pPr>
    </w:p>
    <w:p>
      <w:pPr>
        <w:ind w:firstLine="640"/>
        <w:rPr>
          <w:rFonts w:hint="default" w:ascii="Times New Roman" w:hAnsi="Times New Roman" w:cs="Times New Roman"/>
          <w:color w:val="auto"/>
          <w:szCs w:val="32"/>
        </w:rPr>
      </w:pPr>
    </w:p>
    <w:p>
      <w:pPr>
        <w:rPr>
          <w:rFonts w:hint="default" w:ascii="Times New Roman" w:hAnsi="Times New Roman" w:cs="Times New Roman"/>
          <w:color w:val="auto"/>
          <w:szCs w:val="32"/>
        </w:rPr>
      </w:pPr>
    </w:p>
    <w:p>
      <w:pPr>
        <w:spacing w:line="700" w:lineRule="exact"/>
        <w:rPr>
          <w:rFonts w:hint="default" w:ascii="Times New Roman" w:hAnsi="Times New Roman" w:cs="Times New Roman"/>
          <w:color w:val="auto"/>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p>
  <w:p>
    <w:pPr>
      <w:pStyle w:val="7"/>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0</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OW8Gj8MBAABxAwAADgAAAAAAAAABACAA&#10;AAA0AQAAZHJzL2Uyb0RvYy54bWxQSwUGAAAAAAYABgBZAQAAa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7"/>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AotJK4BAABLAwAADgAAAAAAAAABACAAAAA0AQAAZHJzL2Uyb0RvYy54bWxQ&#10;SwUGAAAAAAYABgBZAQAAVA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3718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C206D"/>
    <w:rsid w:val="00FF7928"/>
    <w:rsid w:val="01265BCF"/>
    <w:rsid w:val="019B69D8"/>
    <w:rsid w:val="01B7145A"/>
    <w:rsid w:val="02033000"/>
    <w:rsid w:val="020E6D2C"/>
    <w:rsid w:val="022278B2"/>
    <w:rsid w:val="02C44267"/>
    <w:rsid w:val="02DA4630"/>
    <w:rsid w:val="031D7D4B"/>
    <w:rsid w:val="037F2004"/>
    <w:rsid w:val="03BB7FBE"/>
    <w:rsid w:val="03D57286"/>
    <w:rsid w:val="03FA6D38"/>
    <w:rsid w:val="047C1236"/>
    <w:rsid w:val="0486486A"/>
    <w:rsid w:val="04954460"/>
    <w:rsid w:val="04B818D1"/>
    <w:rsid w:val="04C03770"/>
    <w:rsid w:val="04F76DD4"/>
    <w:rsid w:val="050D06DA"/>
    <w:rsid w:val="051448F8"/>
    <w:rsid w:val="05310B72"/>
    <w:rsid w:val="05513E94"/>
    <w:rsid w:val="056F5A6D"/>
    <w:rsid w:val="059B3770"/>
    <w:rsid w:val="062260D2"/>
    <w:rsid w:val="063949A0"/>
    <w:rsid w:val="066C559F"/>
    <w:rsid w:val="06BD5BC7"/>
    <w:rsid w:val="06F008FF"/>
    <w:rsid w:val="077E1262"/>
    <w:rsid w:val="079E5032"/>
    <w:rsid w:val="09015F14"/>
    <w:rsid w:val="091C5C63"/>
    <w:rsid w:val="09421190"/>
    <w:rsid w:val="09A0082A"/>
    <w:rsid w:val="09DB4F16"/>
    <w:rsid w:val="09EF6C13"/>
    <w:rsid w:val="0A00435B"/>
    <w:rsid w:val="0AAA1697"/>
    <w:rsid w:val="0ABA06FE"/>
    <w:rsid w:val="0B386398"/>
    <w:rsid w:val="0B49202F"/>
    <w:rsid w:val="0B5F5ADA"/>
    <w:rsid w:val="0B956BE6"/>
    <w:rsid w:val="0C0F70F9"/>
    <w:rsid w:val="0C2A5C84"/>
    <w:rsid w:val="0C3C2B64"/>
    <w:rsid w:val="0C4F64D9"/>
    <w:rsid w:val="0C583939"/>
    <w:rsid w:val="0C6D1BAE"/>
    <w:rsid w:val="0D144A85"/>
    <w:rsid w:val="0D2A2435"/>
    <w:rsid w:val="0DA001B0"/>
    <w:rsid w:val="0DE34399"/>
    <w:rsid w:val="0DEB170B"/>
    <w:rsid w:val="0E1E6608"/>
    <w:rsid w:val="0E4C7841"/>
    <w:rsid w:val="0E97506F"/>
    <w:rsid w:val="0EAF340D"/>
    <w:rsid w:val="0F3E0406"/>
    <w:rsid w:val="0F980230"/>
    <w:rsid w:val="0FD62F63"/>
    <w:rsid w:val="0FDE2A27"/>
    <w:rsid w:val="104F3F68"/>
    <w:rsid w:val="10AA3894"/>
    <w:rsid w:val="10AE7F82"/>
    <w:rsid w:val="10C93B35"/>
    <w:rsid w:val="10F7015B"/>
    <w:rsid w:val="11177619"/>
    <w:rsid w:val="112605C8"/>
    <w:rsid w:val="114809B7"/>
    <w:rsid w:val="115F467E"/>
    <w:rsid w:val="11943BFC"/>
    <w:rsid w:val="11A6707B"/>
    <w:rsid w:val="11B35B2F"/>
    <w:rsid w:val="12E711B7"/>
    <w:rsid w:val="136D62BD"/>
    <w:rsid w:val="136E4388"/>
    <w:rsid w:val="13E56991"/>
    <w:rsid w:val="13F21722"/>
    <w:rsid w:val="1441443C"/>
    <w:rsid w:val="14B86DA4"/>
    <w:rsid w:val="14C12787"/>
    <w:rsid w:val="150C68CB"/>
    <w:rsid w:val="15593E10"/>
    <w:rsid w:val="159F7E25"/>
    <w:rsid w:val="15F848D0"/>
    <w:rsid w:val="160E1FA5"/>
    <w:rsid w:val="160F2600"/>
    <w:rsid w:val="16573316"/>
    <w:rsid w:val="16C829AB"/>
    <w:rsid w:val="16C86822"/>
    <w:rsid w:val="16DD34F5"/>
    <w:rsid w:val="17765BCA"/>
    <w:rsid w:val="17775522"/>
    <w:rsid w:val="17A027D8"/>
    <w:rsid w:val="17AF79E2"/>
    <w:rsid w:val="17CC2625"/>
    <w:rsid w:val="17DE2FB7"/>
    <w:rsid w:val="17F673BF"/>
    <w:rsid w:val="18365A0D"/>
    <w:rsid w:val="19132BE0"/>
    <w:rsid w:val="191F4716"/>
    <w:rsid w:val="1954649C"/>
    <w:rsid w:val="195F2D42"/>
    <w:rsid w:val="1A817DF8"/>
    <w:rsid w:val="1A8A6135"/>
    <w:rsid w:val="1A8F455C"/>
    <w:rsid w:val="1ADC594E"/>
    <w:rsid w:val="1ADD0AA9"/>
    <w:rsid w:val="1AEB5252"/>
    <w:rsid w:val="1B4F7512"/>
    <w:rsid w:val="1B5F630F"/>
    <w:rsid w:val="1B8A03E4"/>
    <w:rsid w:val="1B9C1459"/>
    <w:rsid w:val="1C852172"/>
    <w:rsid w:val="1CA40C0C"/>
    <w:rsid w:val="1CB57848"/>
    <w:rsid w:val="1CFF4A32"/>
    <w:rsid w:val="1D003925"/>
    <w:rsid w:val="1D686669"/>
    <w:rsid w:val="1D833200"/>
    <w:rsid w:val="1E3A3FD0"/>
    <w:rsid w:val="1EB55C07"/>
    <w:rsid w:val="1F351A10"/>
    <w:rsid w:val="1F857EA5"/>
    <w:rsid w:val="1FED47E9"/>
    <w:rsid w:val="206816AC"/>
    <w:rsid w:val="21134335"/>
    <w:rsid w:val="215E1EE5"/>
    <w:rsid w:val="226E581D"/>
    <w:rsid w:val="22A4003E"/>
    <w:rsid w:val="23135C25"/>
    <w:rsid w:val="23290648"/>
    <w:rsid w:val="23876A99"/>
    <w:rsid w:val="23A75A11"/>
    <w:rsid w:val="23EB3B50"/>
    <w:rsid w:val="23EC61F6"/>
    <w:rsid w:val="244C543C"/>
    <w:rsid w:val="24624768"/>
    <w:rsid w:val="24A8271E"/>
    <w:rsid w:val="24B00755"/>
    <w:rsid w:val="254029E1"/>
    <w:rsid w:val="259B5BC5"/>
    <w:rsid w:val="25EF7FBC"/>
    <w:rsid w:val="25F62C4E"/>
    <w:rsid w:val="2640597C"/>
    <w:rsid w:val="26597496"/>
    <w:rsid w:val="26643D6C"/>
    <w:rsid w:val="26FE109D"/>
    <w:rsid w:val="27073E1E"/>
    <w:rsid w:val="27274296"/>
    <w:rsid w:val="27B04AB3"/>
    <w:rsid w:val="27EB6814"/>
    <w:rsid w:val="282C3BA1"/>
    <w:rsid w:val="28A63332"/>
    <w:rsid w:val="28C96E8E"/>
    <w:rsid w:val="29527C78"/>
    <w:rsid w:val="29C45F24"/>
    <w:rsid w:val="2A635BCF"/>
    <w:rsid w:val="2B9D7E25"/>
    <w:rsid w:val="2C1A03BD"/>
    <w:rsid w:val="2D405AAC"/>
    <w:rsid w:val="2D9038E4"/>
    <w:rsid w:val="2DF8796C"/>
    <w:rsid w:val="2E187A30"/>
    <w:rsid w:val="2EB22F18"/>
    <w:rsid w:val="2EBA6F40"/>
    <w:rsid w:val="2EE12108"/>
    <w:rsid w:val="2EED35E3"/>
    <w:rsid w:val="2F0B5068"/>
    <w:rsid w:val="2F250383"/>
    <w:rsid w:val="2F63610B"/>
    <w:rsid w:val="2FBC646B"/>
    <w:rsid w:val="2FCF4325"/>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E003CD"/>
    <w:rsid w:val="34FF687B"/>
    <w:rsid w:val="35040E8C"/>
    <w:rsid w:val="354C4987"/>
    <w:rsid w:val="35616772"/>
    <w:rsid w:val="35EA1663"/>
    <w:rsid w:val="363C4E84"/>
    <w:rsid w:val="364C598E"/>
    <w:rsid w:val="368A3622"/>
    <w:rsid w:val="36AF6C5F"/>
    <w:rsid w:val="36B543E5"/>
    <w:rsid w:val="36CC2B0F"/>
    <w:rsid w:val="36FC762F"/>
    <w:rsid w:val="37074CED"/>
    <w:rsid w:val="37A24324"/>
    <w:rsid w:val="37B678A0"/>
    <w:rsid w:val="37CC4352"/>
    <w:rsid w:val="3838492F"/>
    <w:rsid w:val="383A009B"/>
    <w:rsid w:val="384F64CE"/>
    <w:rsid w:val="3887374F"/>
    <w:rsid w:val="38CB0ABC"/>
    <w:rsid w:val="39041A07"/>
    <w:rsid w:val="39043B77"/>
    <w:rsid w:val="39670895"/>
    <w:rsid w:val="3A387943"/>
    <w:rsid w:val="3A657F9A"/>
    <w:rsid w:val="3A9113D4"/>
    <w:rsid w:val="3AC54F32"/>
    <w:rsid w:val="3B144A0A"/>
    <w:rsid w:val="3B254018"/>
    <w:rsid w:val="3B5257F8"/>
    <w:rsid w:val="3B710987"/>
    <w:rsid w:val="3BC37796"/>
    <w:rsid w:val="3BC92948"/>
    <w:rsid w:val="3BD52013"/>
    <w:rsid w:val="3BE370D4"/>
    <w:rsid w:val="3C1A026D"/>
    <w:rsid w:val="3C29381E"/>
    <w:rsid w:val="3C711E1D"/>
    <w:rsid w:val="3C7F463D"/>
    <w:rsid w:val="3CAE3960"/>
    <w:rsid w:val="3CEF6494"/>
    <w:rsid w:val="3D365BF6"/>
    <w:rsid w:val="3D7F7007"/>
    <w:rsid w:val="3DB008AA"/>
    <w:rsid w:val="3DF23324"/>
    <w:rsid w:val="3E1D6BA4"/>
    <w:rsid w:val="3E21232F"/>
    <w:rsid w:val="3EA14040"/>
    <w:rsid w:val="3EC75624"/>
    <w:rsid w:val="3EE576C2"/>
    <w:rsid w:val="3EE8108D"/>
    <w:rsid w:val="3F220916"/>
    <w:rsid w:val="3F8201A3"/>
    <w:rsid w:val="3FB427C9"/>
    <w:rsid w:val="402675EA"/>
    <w:rsid w:val="403F380C"/>
    <w:rsid w:val="40B80EFF"/>
    <w:rsid w:val="416F5968"/>
    <w:rsid w:val="41990C37"/>
    <w:rsid w:val="41A35364"/>
    <w:rsid w:val="41C31686"/>
    <w:rsid w:val="41C837BC"/>
    <w:rsid w:val="421643AC"/>
    <w:rsid w:val="42982B4E"/>
    <w:rsid w:val="429F5D0C"/>
    <w:rsid w:val="42D83665"/>
    <w:rsid w:val="43000F6E"/>
    <w:rsid w:val="431A7B56"/>
    <w:rsid w:val="434A6B47"/>
    <w:rsid w:val="436B1E42"/>
    <w:rsid w:val="43904B5F"/>
    <w:rsid w:val="44316F05"/>
    <w:rsid w:val="45264590"/>
    <w:rsid w:val="456D114B"/>
    <w:rsid w:val="45EB670F"/>
    <w:rsid w:val="46AB7C0D"/>
    <w:rsid w:val="46D44808"/>
    <w:rsid w:val="46DA5E03"/>
    <w:rsid w:val="46ED776B"/>
    <w:rsid w:val="479D2523"/>
    <w:rsid w:val="47CF49E6"/>
    <w:rsid w:val="4866767E"/>
    <w:rsid w:val="48674ED2"/>
    <w:rsid w:val="487708E6"/>
    <w:rsid w:val="48B540F2"/>
    <w:rsid w:val="49005E88"/>
    <w:rsid w:val="49340105"/>
    <w:rsid w:val="493F6F72"/>
    <w:rsid w:val="49645F71"/>
    <w:rsid w:val="499F5C68"/>
    <w:rsid w:val="4A52465C"/>
    <w:rsid w:val="4A5C4AC6"/>
    <w:rsid w:val="4A662FBF"/>
    <w:rsid w:val="4AD870BB"/>
    <w:rsid w:val="4AF16062"/>
    <w:rsid w:val="4B0A57E5"/>
    <w:rsid w:val="4B646DDD"/>
    <w:rsid w:val="4B7F44F8"/>
    <w:rsid w:val="4BAC24C5"/>
    <w:rsid w:val="4BDC1EA0"/>
    <w:rsid w:val="4BFA0656"/>
    <w:rsid w:val="4D3439E8"/>
    <w:rsid w:val="4D4E2809"/>
    <w:rsid w:val="4D730507"/>
    <w:rsid w:val="4D741DD3"/>
    <w:rsid w:val="4DA913D0"/>
    <w:rsid w:val="4DC93207"/>
    <w:rsid w:val="4DCA1572"/>
    <w:rsid w:val="4E010C4C"/>
    <w:rsid w:val="4E067654"/>
    <w:rsid w:val="4E214B2B"/>
    <w:rsid w:val="4E5A441A"/>
    <w:rsid w:val="4E8D5761"/>
    <w:rsid w:val="4EF54A85"/>
    <w:rsid w:val="4EF972C6"/>
    <w:rsid w:val="4FD95020"/>
    <w:rsid w:val="501B3C66"/>
    <w:rsid w:val="50394127"/>
    <w:rsid w:val="504B40C5"/>
    <w:rsid w:val="505C7A00"/>
    <w:rsid w:val="508605D9"/>
    <w:rsid w:val="50987DC2"/>
    <w:rsid w:val="50A4703E"/>
    <w:rsid w:val="50D17AA6"/>
    <w:rsid w:val="51282B99"/>
    <w:rsid w:val="5136104F"/>
    <w:rsid w:val="51465EDE"/>
    <w:rsid w:val="515B05A9"/>
    <w:rsid w:val="52071113"/>
    <w:rsid w:val="52085509"/>
    <w:rsid w:val="522774C4"/>
    <w:rsid w:val="522A7431"/>
    <w:rsid w:val="525A440D"/>
    <w:rsid w:val="52626449"/>
    <w:rsid w:val="52734B8D"/>
    <w:rsid w:val="52E15F9A"/>
    <w:rsid w:val="544E511A"/>
    <w:rsid w:val="54741940"/>
    <w:rsid w:val="54810E66"/>
    <w:rsid w:val="54947832"/>
    <w:rsid w:val="54C063E4"/>
    <w:rsid w:val="54C2556E"/>
    <w:rsid w:val="54D70AFE"/>
    <w:rsid w:val="55480EEF"/>
    <w:rsid w:val="555314A7"/>
    <w:rsid w:val="569B7F91"/>
    <w:rsid w:val="56D21BED"/>
    <w:rsid w:val="572651B2"/>
    <w:rsid w:val="57272B15"/>
    <w:rsid w:val="57AE5C26"/>
    <w:rsid w:val="57DD75A9"/>
    <w:rsid w:val="5801059F"/>
    <w:rsid w:val="58256ABD"/>
    <w:rsid w:val="58C27FDB"/>
    <w:rsid w:val="59472AC7"/>
    <w:rsid w:val="59D514A6"/>
    <w:rsid w:val="59DF7FB0"/>
    <w:rsid w:val="59EC6E09"/>
    <w:rsid w:val="5AB343F7"/>
    <w:rsid w:val="5ABA77FD"/>
    <w:rsid w:val="5ABF50F2"/>
    <w:rsid w:val="5AF25D13"/>
    <w:rsid w:val="5AF76904"/>
    <w:rsid w:val="5B052E7A"/>
    <w:rsid w:val="5B3D7F7E"/>
    <w:rsid w:val="5B4B2B4A"/>
    <w:rsid w:val="5B6339F0"/>
    <w:rsid w:val="5B7C7777"/>
    <w:rsid w:val="5BD62414"/>
    <w:rsid w:val="5BEC6771"/>
    <w:rsid w:val="5C1378B8"/>
    <w:rsid w:val="5C681D31"/>
    <w:rsid w:val="5CA506B9"/>
    <w:rsid w:val="5CDD3C76"/>
    <w:rsid w:val="5CF74CE4"/>
    <w:rsid w:val="5D5A7C63"/>
    <w:rsid w:val="5DAD53F7"/>
    <w:rsid w:val="5DEA03F9"/>
    <w:rsid w:val="5E256F6F"/>
    <w:rsid w:val="5EBD2BD2"/>
    <w:rsid w:val="5EDA6CA9"/>
    <w:rsid w:val="5F313E05"/>
    <w:rsid w:val="5F6235A9"/>
    <w:rsid w:val="5F781C91"/>
    <w:rsid w:val="6031230F"/>
    <w:rsid w:val="60DC439E"/>
    <w:rsid w:val="614125C2"/>
    <w:rsid w:val="61AA1D1F"/>
    <w:rsid w:val="61F74972"/>
    <w:rsid w:val="624C5C52"/>
    <w:rsid w:val="629628FD"/>
    <w:rsid w:val="63DF08E4"/>
    <w:rsid w:val="64C04AFD"/>
    <w:rsid w:val="64EA5182"/>
    <w:rsid w:val="655B219F"/>
    <w:rsid w:val="660A3F5C"/>
    <w:rsid w:val="661A7B69"/>
    <w:rsid w:val="66455323"/>
    <w:rsid w:val="664909C1"/>
    <w:rsid w:val="66635AE4"/>
    <w:rsid w:val="66C63EB5"/>
    <w:rsid w:val="67592674"/>
    <w:rsid w:val="679461D3"/>
    <w:rsid w:val="6858287E"/>
    <w:rsid w:val="68593A1E"/>
    <w:rsid w:val="687731D1"/>
    <w:rsid w:val="687A681D"/>
    <w:rsid w:val="68B35EA6"/>
    <w:rsid w:val="68C04D52"/>
    <w:rsid w:val="68D33DE9"/>
    <w:rsid w:val="69157114"/>
    <w:rsid w:val="691A443E"/>
    <w:rsid w:val="69E203A0"/>
    <w:rsid w:val="6A5B6D7D"/>
    <w:rsid w:val="6A765FBC"/>
    <w:rsid w:val="6A80735F"/>
    <w:rsid w:val="6AC17181"/>
    <w:rsid w:val="6ACC5E47"/>
    <w:rsid w:val="6AD43ED1"/>
    <w:rsid w:val="6B11024D"/>
    <w:rsid w:val="6B7D5B36"/>
    <w:rsid w:val="6BBD539F"/>
    <w:rsid w:val="6C834DAA"/>
    <w:rsid w:val="6C993CCE"/>
    <w:rsid w:val="6CF120A8"/>
    <w:rsid w:val="6D4573FA"/>
    <w:rsid w:val="6D72413D"/>
    <w:rsid w:val="6D726A5D"/>
    <w:rsid w:val="6EBF4F8A"/>
    <w:rsid w:val="6F2D6397"/>
    <w:rsid w:val="6FF50B81"/>
    <w:rsid w:val="70330B9C"/>
    <w:rsid w:val="709D17BE"/>
    <w:rsid w:val="70CB230C"/>
    <w:rsid w:val="714213DD"/>
    <w:rsid w:val="717F272E"/>
    <w:rsid w:val="7188763B"/>
    <w:rsid w:val="71BC7EA6"/>
    <w:rsid w:val="72600832"/>
    <w:rsid w:val="72783A23"/>
    <w:rsid w:val="728027C6"/>
    <w:rsid w:val="733046A8"/>
    <w:rsid w:val="73335F46"/>
    <w:rsid w:val="73D62FA6"/>
    <w:rsid w:val="73FE7ACC"/>
    <w:rsid w:val="74556746"/>
    <w:rsid w:val="74743258"/>
    <w:rsid w:val="755D54FC"/>
    <w:rsid w:val="761B13C4"/>
    <w:rsid w:val="764B6A8A"/>
    <w:rsid w:val="76C17E06"/>
    <w:rsid w:val="76CA67BD"/>
    <w:rsid w:val="76E6298C"/>
    <w:rsid w:val="770021AC"/>
    <w:rsid w:val="774E6400"/>
    <w:rsid w:val="77570FE4"/>
    <w:rsid w:val="775B0046"/>
    <w:rsid w:val="777F7854"/>
    <w:rsid w:val="783C764B"/>
    <w:rsid w:val="796C3F60"/>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B3E"/>
    <w:rsid w:val="7DCC0CD6"/>
    <w:rsid w:val="7E6F077A"/>
    <w:rsid w:val="7EE33CEC"/>
    <w:rsid w:val="7F2C21C7"/>
    <w:rsid w:val="F7DF51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tabs>
        <w:tab w:val="left" w:pos="8372"/>
      </w:tabs>
      <w:spacing w:line="540" w:lineRule="exact"/>
      <w:ind w:firstLine="630"/>
    </w:pPr>
    <w:rPr>
      <w:rFonts w:eastAsia="黑体"/>
    </w:rPr>
  </w:style>
  <w:style w:type="paragraph" w:styleId="4">
    <w:name w:val="Date"/>
    <w:basedOn w:val="1"/>
    <w:next w:val="1"/>
    <w:qFormat/>
    <w:uiPriority w:val="0"/>
  </w:style>
  <w:style w:type="paragraph" w:styleId="5">
    <w:name w:val="Body Text Indent 2"/>
    <w:basedOn w:val="1"/>
    <w:qFormat/>
    <w:uiPriority w:val="0"/>
    <w:pPr>
      <w:tabs>
        <w:tab w:val="left" w:pos="8372"/>
      </w:tabs>
      <w:spacing w:line="540" w:lineRule="exact"/>
      <w:ind w:firstLine="630"/>
    </w:pPr>
    <w:rPr>
      <w:b/>
      <w:bCs/>
    </w:rPr>
  </w:style>
  <w:style w:type="paragraph" w:styleId="6">
    <w:name w:val="Balloon Text"/>
    <w:basedOn w:val="1"/>
    <w:link w:val="18"/>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1">
    <w:name w:val="Table Grid"/>
    <w:basedOn w:val="10"/>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customStyle="1" w:styleId="14">
    <w:name w:val="font21"/>
    <w:qFormat/>
    <w:uiPriority w:val="0"/>
    <w:rPr>
      <w:rFonts w:hint="default" w:ascii="Arial" w:hAnsi="Arial" w:cs="Arial"/>
      <w:color w:val="000000"/>
      <w:sz w:val="20"/>
      <w:szCs w:val="20"/>
      <w:u w:val="none"/>
    </w:rPr>
  </w:style>
  <w:style w:type="character" w:customStyle="1" w:styleId="15">
    <w:name w:val="font61"/>
    <w:qFormat/>
    <w:uiPriority w:val="0"/>
    <w:rPr>
      <w:rFonts w:hint="eastAsia" w:ascii="宋体" w:hAnsi="宋体" w:eastAsia="宋体" w:cs="宋体"/>
      <w:color w:val="000000"/>
      <w:sz w:val="24"/>
      <w:szCs w:val="24"/>
      <w:u w:val="none"/>
    </w:rPr>
  </w:style>
  <w:style w:type="character" w:customStyle="1" w:styleId="16">
    <w:name w:val="font01"/>
    <w:qFormat/>
    <w:uiPriority w:val="0"/>
    <w:rPr>
      <w:rFonts w:hint="default" w:ascii="Times New Roman" w:hAnsi="Times New Roman" w:cs="Times New Roman"/>
      <w:color w:val="000000"/>
      <w:sz w:val="24"/>
      <w:szCs w:val="24"/>
      <w:u w:val="none"/>
    </w:rPr>
  </w:style>
  <w:style w:type="character" w:customStyle="1" w:styleId="17">
    <w:name w:val="font41"/>
    <w:qFormat/>
    <w:uiPriority w:val="0"/>
    <w:rPr>
      <w:rFonts w:hint="default" w:ascii="华文细黑" w:hAnsi="华文细黑" w:eastAsia="华文细黑" w:cs="华文细黑"/>
      <w:color w:val="000000"/>
      <w:sz w:val="20"/>
      <w:szCs w:val="20"/>
      <w:u w:val="none"/>
    </w:rPr>
  </w:style>
  <w:style w:type="character" w:customStyle="1" w:styleId="18">
    <w:name w:val="批注框文本 字符"/>
    <w:link w:val="6"/>
    <w:qFormat/>
    <w:uiPriority w:val="0"/>
    <w:rPr>
      <w:rFonts w:eastAsia="仿宋_GB2312"/>
      <w:kern w:val="2"/>
      <w:sz w:val="18"/>
      <w:szCs w:val="18"/>
    </w:rPr>
  </w:style>
  <w:style w:type="character" w:customStyle="1" w:styleId="19">
    <w:name w:val="font11"/>
    <w:qFormat/>
    <w:uiPriority w:val="0"/>
    <w:rPr>
      <w:rFonts w:hint="default" w:ascii="Arial" w:hAnsi="Arial" w:cs="Arial"/>
      <w:color w:val="000000"/>
      <w:sz w:val="24"/>
      <w:szCs w:val="24"/>
      <w:u w:val="none"/>
    </w:rPr>
  </w:style>
  <w:style w:type="character" w:customStyle="1" w:styleId="20">
    <w:name w:val="页脚 字符"/>
    <w:link w:val="7"/>
    <w:qFormat/>
    <w:uiPriority w:val="0"/>
    <w:rPr>
      <w:rFonts w:eastAsia="仿宋_GB2312"/>
      <w:kern w:val="2"/>
      <w:sz w:val="18"/>
    </w:rPr>
  </w:style>
  <w:style w:type="paragraph" w:customStyle="1" w:styleId="21">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4">
    <w:name w:val="p0"/>
    <w:basedOn w:val="1"/>
    <w:qFormat/>
    <w:uiPriority w:val="0"/>
    <w:pPr>
      <w:widowControl/>
    </w:pPr>
    <w:rPr>
      <w:rFonts w:eastAsia="宋体"/>
      <w:kern w:val="0"/>
      <w:szCs w:val="32"/>
    </w:rPr>
  </w:style>
  <w:style w:type="paragraph" w:customStyle="1" w:styleId="25">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Char"/>
    <w:basedOn w:val="1"/>
    <w:qFormat/>
    <w:uiPriority w:val="0"/>
    <w:rPr>
      <w:rFonts w:eastAsia="宋体"/>
      <w:sz w:val="21"/>
      <w:szCs w:val="21"/>
    </w:rPr>
  </w:style>
  <w:style w:type="paragraph" w:customStyle="1" w:styleId="38">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6">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8">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文本 21"/>
    <w:basedOn w:val="1"/>
    <w:qFormat/>
    <w:uiPriority w:val="0"/>
    <w:pPr>
      <w:adjustRightInd w:val="0"/>
      <w:ind w:firstLine="630"/>
      <w:jc w:val="left"/>
      <w:textAlignment w:val="baseline"/>
    </w:pPr>
    <w:rPr>
      <w:rFonts w:eastAsia="黑体"/>
    </w:rPr>
  </w:style>
  <w:style w:type="paragraph" w:customStyle="1" w:styleId="54">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pc6/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5284</Words>
  <Characters>6249</Characters>
  <Lines>71</Lines>
  <Paragraphs>20</Paragraphs>
  <TotalTime>0</TotalTime>
  <ScaleCrop>false</ScaleCrop>
  <LinksUpToDate>false</LinksUpToDate>
  <CharactersWithSpaces>6734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2022-02-20T17:24:00Z</dcterms:created>
  <dc:creator>Administrator</dc:creator>
  <cp:lastModifiedBy>pc6</cp:lastModifiedBy>
  <cp:lastPrinted>2025-02-11T11:07:00Z</cp:lastPrinted>
  <dcterms:modified xsi:type="dcterms:W3CDTF">2025-02-20T16:21:45Z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4BC8B690FE9A4C17864E55BB0663B492_13</vt:lpwstr>
  </property>
  <property fmtid="{D5CDD505-2E9C-101B-9397-08002B2CF9AE}" pid="4" name="KSOTemplateDocerSaveRecord">
    <vt:lpwstr>eyJoZGlkIjoiZGFhMTkyODlkY2YyM2QwNmRlNDczNjUyNThkZGYxZjciLCJ1c2VySWQiOiI0MTk1MjIyMTIifQ==</vt:lpwstr>
  </property>
</Properties>
</file>