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color w:val="auto"/>
        </w:rPr>
      </w:pPr>
    </w:p>
    <w:p>
      <w:pPr>
        <w:spacing w:line="700" w:lineRule="exact"/>
        <w:rPr>
          <w:rFonts w:eastAsia="黑体"/>
          <w:color w:val="auto"/>
        </w:rPr>
      </w:pPr>
    </w:p>
    <w:p>
      <w:pPr>
        <w:spacing w:line="700" w:lineRule="exact"/>
        <w:rPr>
          <w:rFonts w:eastAsia="黑体"/>
          <w:color w:val="auto"/>
        </w:rPr>
      </w:pPr>
    </w:p>
    <w:p>
      <w:pPr>
        <w:spacing w:line="700" w:lineRule="exact"/>
        <w:rPr>
          <w:rFonts w:eastAsia="黑体"/>
          <w:color w:val="auto"/>
        </w:rPr>
      </w:pPr>
    </w:p>
    <w:p>
      <w:pPr>
        <w:spacing w:line="700" w:lineRule="exact"/>
        <w:rPr>
          <w:rFonts w:eastAsia="黑体"/>
          <w:color w:val="auto"/>
        </w:rPr>
      </w:pPr>
    </w:p>
    <w:p>
      <w:pPr>
        <w:jc w:val="center"/>
        <w:rPr>
          <w:rFonts w:eastAsia="方正小标宋简体"/>
          <w:color w:val="auto"/>
          <w:sz w:val="44"/>
          <w:szCs w:val="44"/>
        </w:rPr>
      </w:pPr>
      <w:r>
        <w:rPr>
          <w:rFonts w:hint="eastAsia" w:eastAsia="方正小标宋简体"/>
          <w:color w:val="auto"/>
          <w:sz w:val="44"/>
          <w:szCs w:val="44"/>
          <w:u w:val="none"/>
          <w:lang w:val="en-US" w:eastAsia="zh-CN"/>
        </w:rPr>
        <w:t>四平市统计局铁东区分局</w:t>
      </w:r>
      <w:r>
        <w:rPr>
          <w:rFonts w:eastAsia="方正小标宋简体"/>
          <w:color w:val="auto"/>
          <w:sz w:val="44"/>
          <w:szCs w:val="44"/>
        </w:rPr>
        <w:t>20</w:t>
      </w:r>
      <w:r>
        <w:rPr>
          <w:rFonts w:hint="eastAsia" w:eastAsia="方正小标宋简体"/>
          <w:color w:val="auto"/>
          <w:sz w:val="44"/>
          <w:szCs w:val="44"/>
        </w:rPr>
        <w:t>2</w:t>
      </w:r>
      <w:r>
        <w:rPr>
          <w:rFonts w:hint="eastAsia" w:eastAsia="方正小标宋简体"/>
          <w:color w:val="auto"/>
          <w:sz w:val="44"/>
          <w:szCs w:val="44"/>
          <w:lang w:val="en-US" w:eastAsia="zh-CN"/>
        </w:rPr>
        <w:t>5</w:t>
      </w:r>
      <w:r>
        <w:rPr>
          <w:rFonts w:eastAsia="方正小标宋简体"/>
          <w:color w:val="auto"/>
          <w:sz w:val="44"/>
          <w:szCs w:val="44"/>
        </w:rPr>
        <w:t>年</w:t>
      </w:r>
      <w:r>
        <w:rPr>
          <w:rFonts w:hint="eastAsia" w:eastAsia="方正小标宋简体"/>
          <w:color w:val="auto"/>
          <w:sz w:val="44"/>
          <w:szCs w:val="44"/>
          <w:lang w:val="en-US" w:eastAsia="zh-CN"/>
        </w:rPr>
        <w:t>单位</w:t>
      </w:r>
      <w:r>
        <w:rPr>
          <w:rFonts w:eastAsia="方正小标宋简体"/>
          <w:color w:val="auto"/>
          <w:sz w:val="44"/>
          <w:szCs w:val="44"/>
        </w:rPr>
        <w:t>预算</w:t>
      </w:r>
    </w:p>
    <w:p>
      <w:pPr>
        <w:jc w:val="left"/>
        <w:rPr>
          <w:color w:val="auto"/>
        </w:rPr>
      </w:pPr>
      <w:r>
        <w:rPr>
          <w:color w:val="auto"/>
        </w:rPr>
        <w:tab/>
      </w:r>
      <w:r>
        <w:rPr>
          <w:color w:val="auto"/>
        </w:rPr>
        <w:tab/>
      </w:r>
      <w:r>
        <w:rPr>
          <w:color w:val="auto"/>
        </w:rPr>
        <w:tab/>
      </w:r>
      <w:r>
        <w:rPr>
          <w:color w:val="auto"/>
        </w:rPr>
        <w:tab/>
      </w:r>
      <w:r>
        <w:rPr>
          <w:color w:val="auto"/>
        </w:rPr>
        <w:tab/>
      </w:r>
      <w:r>
        <w:rPr>
          <w:color w:val="auto"/>
        </w:rPr>
        <w:tab/>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r>
        <w:rPr>
          <w:color w:val="auto"/>
        </w:rPr>
        <w:tab/>
      </w:r>
      <w:r>
        <w:rPr>
          <w:color w:val="auto"/>
        </w:rPr>
        <w:tab/>
      </w:r>
      <w:r>
        <w:rPr>
          <w:color w:val="auto"/>
        </w:rPr>
        <w:tab/>
      </w:r>
      <w:r>
        <w:rPr>
          <w:color w:val="auto"/>
        </w:rPr>
        <w:tab/>
      </w:r>
      <w:r>
        <w:rPr>
          <w:color w:val="auto"/>
        </w:rPr>
        <w:tab/>
      </w:r>
      <w:r>
        <w:rPr>
          <w:color w:val="auto"/>
        </w:rPr>
        <w:tab/>
      </w:r>
    </w:p>
    <w:p>
      <w:pPr>
        <w:jc w:val="left"/>
        <w:rPr>
          <w:color w:val="auto"/>
        </w:rPr>
      </w:pPr>
    </w:p>
    <w:p>
      <w:pPr>
        <w:jc w:val="left"/>
        <w:rPr>
          <w:color w:val="auto"/>
        </w:rPr>
      </w:pPr>
    </w:p>
    <w:p>
      <w:pPr>
        <w:jc w:val="left"/>
        <w:rPr>
          <w:color w:val="auto"/>
        </w:rPr>
      </w:pPr>
    </w:p>
    <w:p>
      <w:pPr>
        <w:jc w:val="center"/>
        <w:rPr>
          <w:rFonts w:eastAsia="华文细黑"/>
          <w:color w:val="auto"/>
        </w:rPr>
      </w:pPr>
      <w:r>
        <w:rPr>
          <w:rFonts w:eastAsia="华文细黑"/>
          <w:color w:val="auto"/>
        </w:rPr>
        <w:t>二〇二</w:t>
      </w:r>
      <w:r>
        <w:rPr>
          <w:rFonts w:hint="eastAsia" w:eastAsia="华文细黑"/>
          <w:color w:val="auto"/>
          <w:lang w:eastAsia="zh-CN"/>
        </w:rPr>
        <w:t>五</w:t>
      </w:r>
      <w:r>
        <w:rPr>
          <w:rFonts w:eastAsia="华文细黑"/>
          <w:color w:val="auto"/>
        </w:rPr>
        <w:t>年</w:t>
      </w:r>
      <w:r>
        <w:rPr>
          <w:rFonts w:hint="eastAsia" w:eastAsia="华文细黑"/>
          <w:color w:val="auto"/>
          <w:lang w:val="en-US" w:eastAsia="zh-CN"/>
        </w:rPr>
        <w:t>二</w:t>
      </w:r>
      <w:r>
        <w:rPr>
          <w:rFonts w:eastAsia="华文细黑"/>
          <w:color w:val="auto"/>
        </w:rPr>
        <w:t>月</w:t>
      </w:r>
      <w:r>
        <w:rPr>
          <w:rFonts w:hint="eastAsia" w:eastAsia="华文细黑"/>
          <w:color w:val="auto"/>
          <w:lang w:val="en-US" w:eastAsia="zh-CN"/>
        </w:rPr>
        <w:t>二十一</w:t>
      </w:r>
      <w:r>
        <w:rPr>
          <w:rFonts w:eastAsia="华文细黑"/>
          <w:color w:val="auto"/>
        </w:rPr>
        <w:t>日</w:t>
      </w:r>
    </w:p>
    <w:p>
      <w:pPr>
        <w:rPr>
          <w:rFonts w:eastAsia="黑体"/>
          <w:color w:val="auto"/>
        </w:rPr>
      </w:pPr>
    </w:p>
    <w:p>
      <w:pPr>
        <w:ind w:firstLine="640" w:firstLineChars="200"/>
        <w:rPr>
          <w:rFonts w:eastAsia="黑体"/>
          <w:color w:val="auto"/>
        </w:rPr>
      </w:pPr>
    </w:p>
    <w:p>
      <w:pPr>
        <w:ind w:firstLine="640" w:firstLineChars="200"/>
        <w:rPr>
          <w:rFonts w:eastAsia="黑体"/>
          <w:color w:val="auto"/>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color w:val="auto"/>
        </w:rPr>
      </w:pPr>
    </w:p>
    <w:p>
      <w:pPr>
        <w:jc w:val="center"/>
        <w:rPr>
          <w:rFonts w:eastAsia="方正小标宋简体"/>
          <w:color w:val="auto"/>
          <w:sz w:val="44"/>
          <w:szCs w:val="44"/>
        </w:rPr>
      </w:pPr>
      <w:r>
        <w:rPr>
          <w:rFonts w:eastAsia="方正小标宋简体"/>
          <w:color w:val="auto"/>
          <w:sz w:val="44"/>
          <w:szCs w:val="44"/>
        </w:rPr>
        <w:t>目  录</w:t>
      </w:r>
    </w:p>
    <w:p>
      <w:pPr>
        <w:rPr>
          <w:rFonts w:eastAsia="黑体"/>
          <w:color w:val="auto"/>
        </w:rPr>
      </w:pPr>
    </w:p>
    <w:p>
      <w:pPr>
        <w:rPr>
          <w:rFonts w:eastAsia="黑体"/>
          <w:color w:val="auto"/>
        </w:rPr>
      </w:pPr>
      <w:r>
        <w:rPr>
          <w:rFonts w:eastAsia="黑体"/>
          <w:color w:val="auto"/>
        </w:rPr>
        <w:t xml:space="preserve">第一部分  </w:t>
      </w:r>
      <w:r>
        <w:rPr>
          <w:rFonts w:hint="eastAsia" w:eastAsia="黑体"/>
          <w:color w:val="auto"/>
          <w:lang w:val="en-US" w:eastAsia="zh-CN"/>
        </w:rPr>
        <w:t>单位</w:t>
      </w:r>
      <w:r>
        <w:rPr>
          <w:rFonts w:eastAsia="黑体"/>
          <w:color w:val="auto"/>
        </w:rPr>
        <w:t>概况</w:t>
      </w:r>
      <w:r>
        <w:rPr>
          <w:rFonts w:eastAsia="黑体"/>
          <w:color w:val="auto"/>
        </w:rPr>
        <w:tab/>
      </w:r>
      <w:r>
        <w:rPr>
          <w:rFonts w:eastAsia="黑体"/>
          <w:color w:val="auto"/>
        </w:rPr>
        <w:tab/>
      </w:r>
      <w:r>
        <w:rPr>
          <w:rFonts w:eastAsia="黑体"/>
          <w:color w:val="auto"/>
        </w:rPr>
        <w:tab/>
      </w:r>
      <w:r>
        <w:rPr>
          <w:rFonts w:eastAsia="黑体"/>
          <w:color w:val="auto"/>
        </w:rPr>
        <w:tab/>
      </w:r>
      <w:r>
        <w:rPr>
          <w:rFonts w:eastAsia="黑体"/>
          <w:color w:val="auto"/>
        </w:rPr>
        <w:tab/>
      </w:r>
    </w:p>
    <w:p>
      <w:pPr>
        <w:ind w:left="320" w:leftChars="100" w:firstLine="320" w:firstLineChars="100"/>
        <w:rPr>
          <w:color w:val="auto"/>
        </w:rPr>
      </w:pPr>
      <w:r>
        <w:rPr>
          <w:color w:val="auto"/>
        </w:rPr>
        <w:t>一、主要职能</w:t>
      </w:r>
    </w:p>
    <w:p>
      <w:pPr>
        <w:ind w:left="320" w:leftChars="100" w:firstLine="320" w:firstLineChars="100"/>
        <w:rPr>
          <w:color w:val="auto"/>
        </w:rPr>
      </w:pPr>
      <w:r>
        <w:rPr>
          <w:color w:val="auto"/>
        </w:rPr>
        <w:t>二、机构设置</w:t>
      </w:r>
    </w:p>
    <w:p>
      <w:pPr>
        <w:rPr>
          <w:rFonts w:eastAsia="黑体"/>
          <w:color w:val="auto"/>
        </w:rPr>
      </w:pPr>
      <w:r>
        <w:rPr>
          <w:rFonts w:eastAsia="黑体"/>
          <w:color w:val="auto"/>
        </w:rPr>
        <w:t>第二部分  预算表格</w:t>
      </w:r>
    </w:p>
    <w:p>
      <w:pPr>
        <w:ind w:left="320" w:leftChars="100" w:firstLine="320" w:firstLineChars="100"/>
        <w:rPr>
          <w:color w:val="auto"/>
        </w:rPr>
      </w:pPr>
      <w:r>
        <w:rPr>
          <w:color w:val="auto"/>
        </w:rPr>
        <w:t>一、收支</w:t>
      </w:r>
      <w:r>
        <w:rPr>
          <w:rFonts w:hint="eastAsia"/>
          <w:color w:val="auto"/>
          <w:lang w:eastAsia="zh-CN"/>
        </w:rPr>
        <w:t>预算</w:t>
      </w:r>
      <w:r>
        <w:rPr>
          <w:rFonts w:hint="eastAsia"/>
          <w:color w:val="auto"/>
        </w:rPr>
        <w:t>总</w:t>
      </w:r>
      <w:r>
        <w:rPr>
          <w:color w:val="auto"/>
        </w:rPr>
        <w:t>表</w:t>
      </w:r>
    </w:p>
    <w:p>
      <w:pPr>
        <w:ind w:left="320" w:leftChars="100" w:firstLine="320" w:firstLineChars="100"/>
        <w:rPr>
          <w:color w:val="auto"/>
        </w:rPr>
      </w:pPr>
      <w:r>
        <w:rPr>
          <w:color w:val="auto"/>
        </w:rPr>
        <w:t>二、收入</w:t>
      </w:r>
      <w:r>
        <w:rPr>
          <w:rFonts w:hint="eastAsia"/>
          <w:color w:val="auto"/>
          <w:lang w:eastAsia="zh-CN"/>
        </w:rPr>
        <w:t>预算</w:t>
      </w:r>
      <w:r>
        <w:rPr>
          <w:rFonts w:hint="eastAsia"/>
          <w:color w:val="auto"/>
        </w:rPr>
        <w:t>总</w:t>
      </w:r>
      <w:r>
        <w:rPr>
          <w:color w:val="auto"/>
        </w:rPr>
        <w:t>表</w:t>
      </w:r>
    </w:p>
    <w:p>
      <w:pPr>
        <w:ind w:left="320" w:leftChars="100" w:firstLine="320" w:firstLineChars="100"/>
        <w:rPr>
          <w:color w:val="auto"/>
        </w:rPr>
      </w:pPr>
      <w:r>
        <w:rPr>
          <w:color w:val="auto"/>
        </w:rPr>
        <w:t>三、支出</w:t>
      </w:r>
      <w:r>
        <w:rPr>
          <w:rFonts w:hint="eastAsia"/>
          <w:color w:val="auto"/>
          <w:lang w:eastAsia="zh-CN"/>
        </w:rPr>
        <w:t>预算</w:t>
      </w:r>
      <w:r>
        <w:rPr>
          <w:rFonts w:hint="eastAsia"/>
          <w:color w:val="auto"/>
        </w:rPr>
        <w:t>总</w:t>
      </w:r>
      <w:r>
        <w:rPr>
          <w:color w:val="auto"/>
        </w:rPr>
        <w:t>表</w:t>
      </w:r>
    </w:p>
    <w:p>
      <w:pPr>
        <w:ind w:left="320" w:leftChars="100" w:firstLine="320" w:firstLineChars="100"/>
        <w:rPr>
          <w:color w:val="auto"/>
        </w:rPr>
      </w:pPr>
      <w:r>
        <w:rPr>
          <w:color w:val="auto"/>
        </w:rPr>
        <w:t>四、财政拨款收支</w:t>
      </w:r>
      <w:r>
        <w:rPr>
          <w:rFonts w:hint="eastAsia"/>
          <w:color w:val="auto"/>
          <w:lang w:eastAsia="zh-CN"/>
        </w:rPr>
        <w:t>预算</w:t>
      </w:r>
      <w:r>
        <w:rPr>
          <w:rFonts w:hint="eastAsia"/>
          <w:color w:val="auto"/>
        </w:rPr>
        <w:t>总</w:t>
      </w:r>
      <w:r>
        <w:rPr>
          <w:color w:val="auto"/>
        </w:rPr>
        <w:t>表</w:t>
      </w:r>
    </w:p>
    <w:p>
      <w:pPr>
        <w:ind w:left="320" w:leftChars="100" w:firstLine="320" w:firstLineChars="100"/>
        <w:rPr>
          <w:rFonts w:hint="eastAsia"/>
          <w:color w:val="auto"/>
        </w:rPr>
      </w:pPr>
      <w:r>
        <w:rPr>
          <w:color w:val="auto"/>
        </w:rPr>
        <w:t>五、</w:t>
      </w:r>
      <w:r>
        <w:rPr>
          <w:rFonts w:hint="eastAsia"/>
          <w:color w:val="auto"/>
        </w:rPr>
        <w:t>一般公共预算</w:t>
      </w:r>
      <w:r>
        <w:rPr>
          <w:rFonts w:hint="eastAsia"/>
          <w:color w:val="auto"/>
          <w:lang w:eastAsia="zh-CN"/>
        </w:rPr>
        <w:t>拨款</w:t>
      </w:r>
      <w:r>
        <w:rPr>
          <w:rFonts w:hint="eastAsia"/>
          <w:color w:val="auto"/>
        </w:rPr>
        <w:t>支出</w:t>
      </w:r>
      <w:r>
        <w:rPr>
          <w:rFonts w:hint="eastAsia"/>
          <w:color w:val="auto"/>
          <w:lang w:eastAsia="zh-CN"/>
        </w:rPr>
        <w:t>预算</w:t>
      </w:r>
      <w:r>
        <w:rPr>
          <w:rFonts w:hint="eastAsia"/>
          <w:color w:val="auto"/>
        </w:rPr>
        <w:t>表</w:t>
      </w:r>
    </w:p>
    <w:p>
      <w:pPr>
        <w:ind w:left="320" w:leftChars="100" w:firstLine="320" w:firstLineChars="100"/>
        <w:rPr>
          <w:rFonts w:hint="eastAsia"/>
          <w:color w:val="auto"/>
        </w:rPr>
      </w:pPr>
      <w:r>
        <w:rPr>
          <w:color w:val="auto"/>
        </w:rPr>
        <w:t>六、</w:t>
      </w:r>
      <w:r>
        <w:rPr>
          <w:rFonts w:hint="eastAsia"/>
          <w:color w:val="auto"/>
        </w:rPr>
        <w:t>一般公共预算基本支出</w:t>
      </w:r>
      <w:r>
        <w:rPr>
          <w:rFonts w:hint="eastAsia"/>
          <w:color w:val="auto"/>
          <w:lang w:eastAsia="zh-CN"/>
        </w:rPr>
        <w:t>预算</w:t>
      </w:r>
      <w:r>
        <w:rPr>
          <w:rFonts w:hint="eastAsia"/>
          <w:color w:val="auto"/>
        </w:rPr>
        <w:t>表</w:t>
      </w:r>
      <w:bookmarkStart w:id="0" w:name="_GoBack"/>
      <w:bookmarkEnd w:id="0"/>
    </w:p>
    <w:p>
      <w:pPr>
        <w:ind w:left="320" w:leftChars="100" w:firstLine="320" w:firstLineChars="100"/>
        <w:rPr>
          <w:color w:val="auto"/>
        </w:rPr>
      </w:pPr>
      <w:r>
        <w:rPr>
          <w:color w:val="auto"/>
        </w:rPr>
        <w:t>七、一般公共预算“三公”经费支出</w:t>
      </w:r>
      <w:r>
        <w:rPr>
          <w:rFonts w:hint="eastAsia"/>
          <w:color w:val="auto"/>
          <w:lang w:eastAsia="zh-CN"/>
        </w:rPr>
        <w:t>预算</w:t>
      </w:r>
      <w:r>
        <w:rPr>
          <w:color w:val="auto"/>
        </w:rPr>
        <w:t>表</w:t>
      </w:r>
    </w:p>
    <w:p>
      <w:pPr>
        <w:ind w:left="320" w:leftChars="100" w:firstLine="320" w:firstLineChars="100"/>
        <w:rPr>
          <w:color w:val="auto"/>
        </w:rPr>
      </w:pPr>
      <w:r>
        <w:rPr>
          <w:color w:val="auto"/>
        </w:rPr>
        <w:t>八、政府性基金预算</w:t>
      </w:r>
      <w:r>
        <w:rPr>
          <w:rFonts w:hint="eastAsia"/>
          <w:color w:val="auto"/>
          <w:lang w:eastAsia="zh-CN"/>
        </w:rPr>
        <w:t>拨款</w:t>
      </w:r>
      <w:r>
        <w:rPr>
          <w:color w:val="auto"/>
        </w:rPr>
        <w:t>支出</w:t>
      </w:r>
      <w:r>
        <w:rPr>
          <w:rFonts w:hint="eastAsia"/>
          <w:color w:val="auto"/>
          <w:lang w:eastAsia="zh-CN"/>
        </w:rPr>
        <w:t>预算</w:t>
      </w:r>
      <w:r>
        <w:rPr>
          <w:color w:val="auto"/>
        </w:rPr>
        <w:t>表</w:t>
      </w:r>
    </w:p>
    <w:p>
      <w:pPr>
        <w:ind w:left="320" w:leftChars="100" w:firstLine="320" w:firstLineChars="100"/>
        <w:rPr>
          <w:color w:val="auto"/>
        </w:rPr>
      </w:pPr>
      <w:r>
        <w:rPr>
          <w:rFonts w:hint="eastAsia"/>
          <w:color w:val="auto"/>
        </w:rPr>
        <w:t>九、国有资本经营</w:t>
      </w:r>
      <w:r>
        <w:rPr>
          <w:color w:val="auto"/>
        </w:rPr>
        <w:t>预算支出</w:t>
      </w:r>
      <w:r>
        <w:rPr>
          <w:rFonts w:hint="eastAsia"/>
          <w:color w:val="auto"/>
          <w:lang w:eastAsia="zh-CN"/>
        </w:rPr>
        <w:t>预算</w:t>
      </w:r>
      <w:r>
        <w:rPr>
          <w:color w:val="auto"/>
        </w:rPr>
        <w:t>表</w:t>
      </w:r>
    </w:p>
    <w:p>
      <w:pPr>
        <w:ind w:left="320" w:leftChars="100" w:firstLine="320" w:firstLineChars="100"/>
        <w:rPr>
          <w:rFonts w:hint="eastAsia"/>
          <w:color w:val="auto"/>
        </w:rPr>
      </w:pPr>
      <w:r>
        <w:rPr>
          <w:rFonts w:hint="eastAsia"/>
          <w:color w:val="auto"/>
          <w:lang w:eastAsia="zh-CN"/>
        </w:rPr>
        <w:t>十、</w:t>
      </w:r>
      <w:r>
        <w:rPr>
          <w:rFonts w:hint="eastAsia"/>
          <w:color w:val="auto"/>
        </w:rPr>
        <w:t>项目支出</w:t>
      </w:r>
      <w:r>
        <w:rPr>
          <w:rFonts w:hint="eastAsia"/>
          <w:color w:val="auto"/>
          <w:lang w:eastAsia="zh-CN"/>
        </w:rPr>
        <w:t>预算</w:t>
      </w:r>
      <w:r>
        <w:rPr>
          <w:rFonts w:hint="eastAsia"/>
          <w:color w:val="auto"/>
        </w:rPr>
        <w:t>表</w:t>
      </w:r>
    </w:p>
    <w:p>
      <w:pPr>
        <w:ind w:left="320" w:leftChars="100" w:firstLine="320" w:firstLineChars="100"/>
        <w:rPr>
          <w:rFonts w:hint="eastAsia" w:eastAsia="仿宋_GB2312"/>
          <w:color w:val="auto"/>
          <w:lang w:eastAsia="zh-CN"/>
        </w:rPr>
      </w:pPr>
      <w:r>
        <w:rPr>
          <w:rFonts w:hint="eastAsia"/>
          <w:color w:val="auto"/>
          <w:lang w:eastAsia="zh-CN"/>
        </w:rPr>
        <w:t>十一、财政拨款委托业务费支出预算表</w:t>
      </w:r>
    </w:p>
    <w:p>
      <w:pPr>
        <w:ind w:firstLine="640" w:firstLineChars="200"/>
        <w:rPr>
          <w:rFonts w:hint="eastAsia"/>
          <w:color w:val="auto"/>
        </w:rPr>
      </w:pPr>
      <w:r>
        <w:rPr>
          <w:rFonts w:hint="eastAsia"/>
          <w:color w:val="auto"/>
        </w:rPr>
        <w:t>十</w:t>
      </w:r>
      <w:r>
        <w:rPr>
          <w:rFonts w:hint="eastAsia"/>
          <w:color w:val="auto"/>
          <w:lang w:eastAsia="zh-CN"/>
        </w:rPr>
        <w:t>二</w:t>
      </w:r>
      <w:r>
        <w:rPr>
          <w:rFonts w:hint="eastAsia"/>
          <w:color w:val="auto"/>
        </w:rPr>
        <w:t>、项目支出绩效目标表</w:t>
      </w:r>
    </w:p>
    <w:p>
      <w:pPr>
        <w:rPr>
          <w:rFonts w:eastAsia="黑体"/>
          <w:color w:val="auto"/>
        </w:rPr>
      </w:pPr>
      <w:r>
        <w:rPr>
          <w:rFonts w:eastAsia="黑体"/>
          <w:color w:val="auto"/>
        </w:rPr>
        <w:t>第三部分  情况说明</w:t>
      </w:r>
    </w:p>
    <w:p>
      <w:pPr>
        <w:rPr>
          <w:rFonts w:eastAsia="黑体"/>
          <w:color w:val="auto"/>
        </w:rPr>
      </w:pPr>
      <w:r>
        <w:rPr>
          <w:rFonts w:eastAsia="黑体"/>
          <w:color w:val="auto"/>
        </w:rPr>
        <w:t>第四部分  名词解释</w:t>
      </w:r>
    </w:p>
    <w:p>
      <w:pPr>
        <w:rPr>
          <w:rFonts w:eastAsia="黑体"/>
          <w:color w:val="auto"/>
        </w:rPr>
      </w:pPr>
      <w:r>
        <w:rPr>
          <w:rFonts w:eastAsia="黑体"/>
          <w:color w:val="auto"/>
        </w:rPr>
        <w:br w:type="page"/>
      </w:r>
    </w:p>
    <w:p>
      <w:pPr>
        <w:ind w:firstLine="640" w:firstLineChars="200"/>
        <w:jc w:val="center"/>
        <w:rPr>
          <w:rFonts w:eastAsia="黑体"/>
          <w:color w:val="auto"/>
        </w:rPr>
      </w:pPr>
      <w:r>
        <w:rPr>
          <w:rFonts w:eastAsia="黑体"/>
          <w:color w:val="auto"/>
        </w:rPr>
        <w:t xml:space="preserve">第一部分 </w:t>
      </w:r>
      <w:r>
        <w:rPr>
          <w:rFonts w:hint="eastAsia" w:eastAsia="黑体"/>
          <w:color w:val="auto"/>
          <w:lang w:val="en-US" w:eastAsia="zh-CN"/>
        </w:rPr>
        <w:t>单位</w:t>
      </w:r>
      <w:r>
        <w:rPr>
          <w:rFonts w:eastAsia="黑体"/>
          <w:color w:val="auto"/>
        </w:rPr>
        <w:t>概况</w:t>
      </w:r>
    </w:p>
    <w:p>
      <w:pPr>
        <w:ind w:firstLine="640" w:firstLineChars="200"/>
        <w:rPr>
          <w:rFonts w:eastAsia="楷体_GB2312"/>
          <w:color w:val="auto"/>
        </w:rPr>
      </w:pPr>
    </w:p>
    <w:p>
      <w:pPr>
        <w:ind w:firstLine="640" w:firstLineChars="200"/>
        <w:rPr>
          <w:rFonts w:eastAsia="楷体_GB2312"/>
          <w:color w:val="auto"/>
        </w:rPr>
      </w:pPr>
      <w:r>
        <w:rPr>
          <w:rFonts w:eastAsia="楷体_GB2312"/>
          <w:color w:val="auto"/>
        </w:rPr>
        <w:t>一、主要职能</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（一）贯彻执行国家、省、市统计局的各项工作方针，组织领导和监督检查各乡、镇、街各单位及有关单位的统计和国民经济核算工作，监督检查统计法律、法规的实施。</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（二）代政府组织实施重大的国情、国力普查，统一组织各乡、镇、街各单位的社会经济统计调查。</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（三）统一核定、管理、公布全区性的基本统计资料，定期向社会公众发布全区国民经济和社会发展状况的统计信息。</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（四）建立、完善和管理全区统计信息自动化系统和全区统计数据库体系。</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（五）组织全区统计干部培训，组织指导全区统计科学研究、统计宣传。</w:t>
      </w:r>
    </w:p>
    <w:p>
      <w:pPr>
        <w:ind w:firstLine="640" w:firstLineChars="200"/>
        <w:rPr>
          <w:rFonts w:hint="eastAsia" w:ascii="仿宋" w:hAnsi="仿宋" w:eastAsia="仿宋" w:cs="仿宋"/>
          <w:color w:val="auto"/>
          <w:szCs w:val="32"/>
        </w:rPr>
      </w:pPr>
      <w:r>
        <w:rPr>
          <w:rFonts w:hint="eastAsia" w:ascii="仿宋" w:hAnsi="仿宋" w:eastAsia="仿宋" w:cs="仿宋"/>
          <w:color w:val="auto"/>
          <w:szCs w:val="32"/>
        </w:rPr>
        <w:t>（六）承办区政府交办的其他事项。</w:t>
      </w:r>
    </w:p>
    <w:p>
      <w:pPr>
        <w:ind w:firstLine="640" w:firstLineChars="200"/>
        <w:rPr>
          <w:color w:val="auto"/>
        </w:rPr>
      </w:pPr>
      <w:r>
        <w:rPr>
          <w:rFonts w:eastAsia="楷体_GB2312"/>
          <w:color w:val="auto"/>
        </w:rPr>
        <w:t>二、机构设置</w:t>
      </w:r>
    </w:p>
    <w:p>
      <w:pPr>
        <w:pStyle w:val="24"/>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根据上述职责，铁东区分局内设1个机构，综合科。</w:t>
      </w:r>
    </w:p>
    <w:p>
      <w:pPr>
        <w:pStyle w:val="24"/>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负责文秘、行政工作及区人大、政府、区政协、区纪检委和四平市统计局办公室部署的工作；负责日常的业务管理工作，统计业务培训，统计汇编和省、市统计专业处、科部署的工作；负责统计法律、法规、行政复议和省、市法规机构部署的工作；负责国家部署的周期性普查任务和专项调查及省、市普查机构部署的普查任务。</w:t>
      </w:r>
    </w:p>
    <w:p>
      <w:pPr>
        <w:pStyle w:val="24"/>
        <w:ind w:firstLine="64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本单位无下设预算单位。</w:t>
      </w:r>
    </w:p>
    <w:p>
      <w:pPr>
        <w:pStyle w:val="24"/>
        <w:ind w:firstLine="640" w:firstLineChars="200"/>
        <w:rPr>
          <w:rFonts w:eastAsia="楷体"/>
          <w:color w:val="auto"/>
        </w:rPr>
      </w:pPr>
    </w:p>
    <w:p>
      <w:pPr>
        <w:pStyle w:val="24"/>
        <w:ind w:firstLine="640" w:firstLineChars="200"/>
        <w:rPr>
          <w:rFonts w:hAnsi="楷体" w:eastAsia="楷体"/>
          <w:color w:val="auto"/>
        </w:rPr>
      </w:pPr>
    </w:p>
    <w:p>
      <w:pPr>
        <w:pStyle w:val="24"/>
        <w:ind w:firstLine="640" w:firstLineChars="200"/>
        <w:rPr>
          <w:rFonts w:hAnsi="楷体" w:eastAsia="楷体"/>
          <w:color w:val="auto"/>
        </w:rPr>
      </w:pPr>
    </w:p>
    <w:p>
      <w:pPr>
        <w:pStyle w:val="24"/>
        <w:ind w:firstLine="640" w:firstLineChars="200"/>
        <w:rPr>
          <w:rFonts w:hAnsi="楷体" w:eastAsia="楷体"/>
          <w:color w:val="auto"/>
        </w:rPr>
      </w:pPr>
    </w:p>
    <w:p>
      <w:pPr>
        <w:pStyle w:val="24"/>
        <w:ind w:firstLine="640" w:firstLineChars="200"/>
        <w:rPr>
          <w:rFonts w:hAnsi="楷体" w:eastAsia="楷体"/>
          <w:color w:val="auto"/>
        </w:rPr>
      </w:pPr>
    </w:p>
    <w:p>
      <w:pPr>
        <w:pStyle w:val="24"/>
        <w:ind w:firstLine="640" w:firstLineChars="200"/>
        <w:rPr>
          <w:rFonts w:hAnsi="楷体" w:eastAsia="楷体"/>
          <w:color w:val="auto"/>
        </w:rPr>
      </w:pPr>
    </w:p>
    <w:p>
      <w:pPr>
        <w:pStyle w:val="24"/>
        <w:ind w:firstLine="640" w:firstLineChars="200"/>
        <w:rPr>
          <w:rFonts w:hAnsi="楷体" w:eastAsia="楷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r>
        <w:rPr>
          <w:rFonts w:eastAsia="黑体"/>
          <w:color w:val="auto"/>
        </w:rPr>
        <w:t>第二部分 预算表格</w:t>
      </w:r>
    </w:p>
    <w:tbl>
      <w:tblPr>
        <w:tblStyle w:val="10"/>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color w:val="auto"/>
                <w:kern w:val="0"/>
                <w:sz w:val="44"/>
                <w:szCs w:val="44"/>
              </w:rPr>
            </w:pPr>
            <w:r>
              <w:rPr>
                <w:rFonts w:eastAsia="方正小标宋简体"/>
                <w:color w:val="auto"/>
                <w:kern w:val="0"/>
                <w:sz w:val="44"/>
                <w:szCs w:val="44"/>
              </w:rPr>
              <w:t>收支</w:t>
            </w:r>
            <w:r>
              <w:rPr>
                <w:rFonts w:hint="eastAsia" w:eastAsia="方正小标宋简体"/>
                <w:color w:val="auto"/>
                <w:kern w:val="0"/>
                <w:sz w:val="44"/>
                <w:szCs w:val="44"/>
                <w:lang w:eastAsia="zh-CN"/>
              </w:rPr>
              <w:t>预算</w:t>
            </w:r>
            <w:r>
              <w:rPr>
                <w:rFonts w:hint="eastAsia" w:eastAsia="方正小标宋简体"/>
                <w:color w:val="auto"/>
                <w:kern w:val="0"/>
                <w:sz w:val="44"/>
                <w:szCs w:val="44"/>
              </w:rPr>
              <w:t>总</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color w:val="auto"/>
                <w:kern w:val="0"/>
                <w:sz w:val="20"/>
              </w:rPr>
            </w:pPr>
          </w:p>
        </w:tc>
        <w:tc>
          <w:tcPr>
            <w:tcW w:w="1200" w:type="dxa"/>
            <w:gridSpan w:val="2"/>
            <w:tcBorders>
              <w:top w:val="nil"/>
              <w:left w:val="nil"/>
              <w:bottom w:val="nil"/>
              <w:right w:val="nil"/>
            </w:tcBorders>
            <w:noWrap w:val="0"/>
            <w:vAlign w:val="center"/>
          </w:tcPr>
          <w:p>
            <w:pPr>
              <w:widowControl/>
              <w:jc w:val="center"/>
              <w:rPr>
                <w:rFonts w:eastAsia="宋体"/>
                <w:color w:val="auto"/>
                <w:kern w:val="0"/>
                <w:sz w:val="20"/>
              </w:rPr>
            </w:pPr>
          </w:p>
        </w:tc>
        <w:tc>
          <w:tcPr>
            <w:tcW w:w="2498" w:type="dxa"/>
            <w:gridSpan w:val="2"/>
            <w:tcBorders>
              <w:top w:val="nil"/>
              <w:left w:val="nil"/>
              <w:bottom w:val="nil"/>
              <w:right w:val="nil"/>
            </w:tcBorders>
            <w:noWrap w:val="0"/>
            <w:vAlign w:val="center"/>
          </w:tcPr>
          <w:p>
            <w:pPr>
              <w:widowControl/>
              <w:jc w:val="center"/>
              <w:rPr>
                <w:rFonts w:eastAsia="宋体"/>
                <w:color w:val="auto"/>
                <w:kern w:val="0"/>
                <w:sz w:val="20"/>
              </w:rPr>
            </w:pPr>
          </w:p>
        </w:tc>
        <w:tc>
          <w:tcPr>
            <w:tcW w:w="2340" w:type="dxa"/>
            <w:gridSpan w:val="2"/>
            <w:tcBorders>
              <w:top w:val="nil"/>
              <w:left w:val="nil"/>
              <w:bottom w:val="nil"/>
              <w:right w:val="nil"/>
            </w:tcBorders>
            <w:noWrap w:val="0"/>
            <w:vAlign w:val="bottom"/>
          </w:tcPr>
          <w:p>
            <w:pPr>
              <w:widowControl/>
              <w:jc w:val="right"/>
              <w:rPr>
                <w:rFonts w:eastAsia="宋体"/>
                <w:color w:val="auto"/>
                <w:kern w:val="0"/>
                <w:sz w:val="20"/>
              </w:rPr>
            </w:pPr>
            <w:r>
              <w:rPr>
                <w:rFonts w:hint="eastAsia" w:eastAsia="宋体"/>
                <w:color w:val="auto"/>
                <w:kern w:val="0"/>
                <w:sz w:val="20"/>
                <w:lang w:val="en-US" w:eastAsia="zh-CN"/>
              </w:rPr>
              <w:t xml:space="preserve">            </w:t>
            </w:r>
            <w:r>
              <w:rPr>
                <w:rFonts w:eastAsia="宋体"/>
                <w:color w:val="auto"/>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202</w:t>
            </w:r>
            <w:r>
              <w:rPr>
                <w:rFonts w:hint="eastAsia" w:ascii="宋体" w:hAnsi="宋体" w:eastAsia="宋体" w:cs="宋体"/>
                <w:color w:val="auto"/>
                <w:kern w:val="0"/>
                <w:sz w:val="20"/>
                <w:lang w:val="en-US" w:eastAsia="zh-CN"/>
              </w:rPr>
              <w:t>5</w:t>
            </w:r>
            <w:r>
              <w:rPr>
                <w:rFonts w:hint="eastAsia" w:ascii="宋体" w:hAnsi="宋体" w:eastAsia="宋体" w:cs="宋体"/>
                <w:color w:val="auto"/>
                <w:kern w:val="0"/>
                <w:sz w:val="20"/>
              </w:rPr>
              <w:t>年</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lang w:eastAsia="zh-CN"/>
              </w:rPr>
              <w:t>本年收入</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上年</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项  目</w:t>
            </w:r>
          </w:p>
        </w:tc>
        <w:tc>
          <w:tcPr>
            <w:tcW w:w="1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202</w:t>
            </w:r>
            <w:r>
              <w:rPr>
                <w:rFonts w:hint="eastAsia" w:ascii="宋体" w:hAnsi="宋体" w:eastAsia="宋体" w:cs="宋体"/>
                <w:color w:val="auto"/>
                <w:kern w:val="0"/>
                <w:sz w:val="20"/>
                <w:lang w:val="en-US" w:eastAsia="zh-CN"/>
              </w:rPr>
              <w:t>5</w:t>
            </w:r>
            <w:r>
              <w:rPr>
                <w:rFonts w:hint="eastAsia" w:ascii="宋体" w:hAnsi="宋体" w:eastAsia="宋体" w:cs="宋体"/>
                <w:color w:val="auto"/>
                <w:kern w:val="0"/>
                <w:sz w:val="20"/>
              </w:rPr>
              <w:t>年</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预算数</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lang w:eastAsia="zh-CN"/>
              </w:rPr>
              <w:t>本</w:t>
            </w:r>
            <w:r>
              <w:rPr>
                <w:rFonts w:hint="eastAsia" w:ascii="宋体" w:hAnsi="宋体" w:eastAsia="宋体" w:cs="宋体"/>
                <w:color w:val="auto"/>
                <w:kern w:val="0"/>
                <w:sz w:val="20"/>
              </w:rPr>
              <w:t>年</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上年</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szCs w:val="20"/>
              </w:rPr>
              <w:t>一、一般公共服务</w:t>
            </w:r>
            <w:r>
              <w:rPr>
                <w:rFonts w:hint="eastAsia" w:ascii="宋体" w:hAnsi="宋体" w:eastAsia="宋体" w:cs="宋体"/>
                <w:color w:val="auto"/>
                <w:kern w:val="0"/>
                <w:sz w:val="20"/>
                <w:szCs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48.23</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48.23</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一般公共预算</w:t>
            </w:r>
            <w:r>
              <w:rPr>
                <w:rFonts w:hint="eastAsia" w:ascii="宋体" w:hAnsi="宋体" w:eastAsia="宋体" w:cs="宋体"/>
                <w:color w:val="auto"/>
                <w:sz w:val="20"/>
                <w:lang w:val="en-US" w:eastAsia="zh-CN"/>
              </w:rPr>
              <w:t xml:space="preserve">    </w:t>
            </w:r>
            <w:r>
              <w:rPr>
                <w:rFonts w:hint="eastAsia" w:ascii="宋体" w:hAnsi="宋体" w:eastAsia="宋体" w:cs="宋体"/>
                <w:color w:val="auto"/>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kern w:val="0"/>
                <w:sz w:val="20"/>
              </w:rPr>
            </w:pPr>
            <w:r>
              <w:rPr>
                <w:rFonts w:hint="eastAsia" w:ascii="宋体" w:hAnsi="宋体" w:eastAsia="宋体" w:cs="宋体"/>
                <w:color w:val="auto"/>
                <w:sz w:val="20"/>
                <w:szCs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10.85</w:t>
            </w: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10.85</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政府性基金预算拨款结转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kern w:val="0"/>
                <w:sz w:val="20"/>
              </w:rPr>
            </w:pPr>
            <w:r>
              <w:rPr>
                <w:rFonts w:hint="eastAsia" w:ascii="宋体" w:hAnsi="宋体" w:eastAsia="宋体" w:cs="宋体"/>
                <w:color w:val="auto"/>
                <w:sz w:val="20"/>
                <w:szCs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1.50</w:t>
            </w: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1.50</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kern w:val="0"/>
                <w:sz w:val="20"/>
              </w:rPr>
            </w:pPr>
            <w:r>
              <w:rPr>
                <w:rFonts w:hint="eastAsia" w:ascii="宋体" w:hAnsi="宋体" w:eastAsia="宋体" w:cs="宋体"/>
                <w:color w:val="auto"/>
                <w:kern w:val="0"/>
                <w:sz w:val="20"/>
                <w:szCs w:val="20"/>
                <w:lang w:val="en-US" w:eastAsia="zh-CN"/>
              </w:rPr>
              <w:t>四、</w:t>
            </w:r>
            <w:r>
              <w:rPr>
                <w:rFonts w:hint="eastAsia" w:ascii="宋体" w:hAnsi="宋体" w:eastAsia="宋体" w:cs="宋体"/>
                <w:color w:val="auto"/>
                <w:kern w:val="0"/>
                <w:sz w:val="20"/>
                <w:szCs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2.95</w:t>
            </w: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2.95</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二、财政专户管理</w:t>
            </w:r>
            <w:r>
              <w:rPr>
                <w:rFonts w:hint="eastAsia" w:ascii="宋体" w:hAnsi="宋体" w:eastAsia="宋体" w:cs="宋体"/>
                <w:color w:val="auto"/>
                <w:sz w:val="20"/>
                <w:lang w:val="en-US" w:eastAsia="zh-CN"/>
              </w:rPr>
              <w:t xml:space="preserve">  </w:t>
            </w:r>
            <w:r>
              <w:rPr>
                <w:rFonts w:hint="eastAsia" w:ascii="宋体" w:hAnsi="宋体" w:eastAsia="宋体" w:cs="宋体"/>
                <w:color w:val="auto"/>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0"/>
              </w:rPr>
            </w:pPr>
            <w:r>
              <w:rPr>
                <w:rFonts w:hint="eastAsia" w:ascii="宋体" w:hAnsi="宋体" w:eastAsia="宋体" w:cs="宋体"/>
                <w:color w:val="auto"/>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rPr>
            </w:pPr>
            <w:r>
              <w:rPr>
                <w:rFonts w:hint="eastAsia" w:ascii="宋体" w:hAnsi="宋体" w:eastAsia="宋体" w:cs="宋体"/>
                <w:b/>
                <w:bCs/>
                <w:color w:val="auto"/>
                <w:kern w:val="0"/>
                <w:sz w:val="20"/>
              </w:rPr>
              <w:t>本年收入</w:t>
            </w:r>
            <w:r>
              <w:rPr>
                <w:rFonts w:hint="eastAsia" w:ascii="宋体" w:hAnsi="宋体" w:eastAsia="宋体" w:cs="宋体"/>
                <w:b/>
                <w:bCs/>
                <w:color w:val="auto"/>
                <w:kern w:val="0"/>
                <w:sz w:val="20"/>
                <w:lang w:val="en-US" w:eastAsia="zh-CN"/>
              </w:rPr>
              <w:t xml:space="preserve">         </w:t>
            </w:r>
            <w:r>
              <w:rPr>
                <w:rFonts w:hint="eastAsia" w:ascii="宋体" w:hAnsi="宋体" w:eastAsia="宋体" w:cs="宋体"/>
                <w:b/>
                <w:bCs/>
                <w:color w:val="auto"/>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rPr>
            </w:pPr>
            <w:r>
              <w:rPr>
                <w:rFonts w:hint="eastAsia" w:ascii="宋体" w:hAnsi="宋体" w:eastAsia="宋体" w:cs="宋体"/>
                <w:b/>
                <w:bCs/>
                <w:color w:val="auto"/>
                <w:kern w:val="0"/>
                <w:sz w:val="20"/>
              </w:rPr>
              <w:t>本年支出</w:t>
            </w:r>
            <w:r>
              <w:rPr>
                <w:rFonts w:hint="eastAsia" w:ascii="宋体" w:hAnsi="宋体" w:eastAsia="宋体" w:cs="宋体"/>
                <w:b/>
                <w:bCs/>
                <w:color w:val="auto"/>
                <w:kern w:val="0"/>
                <w:sz w:val="20"/>
                <w:lang w:val="en-US" w:eastAsia="zh-CN"/>
              </w:rPr>
              <w:t xml:space="preserve">  </w:t>
            </w:r>
            <w:r>
              <w:rPr>
                <w:rFonts w:hint="eastAsia" w:ascii="宋体" w:hAnsi="宋体" w:eastAsia="宋体" w:cs="宋体"/>
                <w:b/>
                <w:bCs/>
                <w:color w:val="auto"/>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0"/>
                <w:lang w:val="en-US" w:eastAsia="zh-CN"/>
              </w:rPr>
            </w:pPr>
            <w:r>
              <w:rPr>
                <w:rFonts w:hint="eastAsia" w:ascii="宋体" w:hAnsi="宋体" w:eastAsia="宋体" w:cs="宋体"/>
                <w:b w:val="0"/>
                <w:bCs w:val="0"/>
                <w:color w:val="auto"/>
                <w:kern w:val="0"/>
                <w:sz w:val="20"/>
                <w:lang w:val="en-US" w:eastAsia="zh-CN"/>
              </w:rPr>
              <w:t>63.53</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结转下年</w:t>
            </w:r>
            <w:r>
              <w:rPr>
                <w:rFonts w:hint="eastAsia" w:ascii="宋体" w:hAnsi="宋体" w:eastAsia="宋体" w:cs="宋体"/>
                <w:color w:val="auto"/>
                <w:kern w:val="0"/>
                <w:sz w:val="20"/>
                <w:lang w:val="en-US" w:eastAsia="zh-CN"/>
              </w:rPr>
              <w:t xml:space="preserve">  </w:t>
            </w:r>
            <w:r>
              <w:rPr>
                <w:rFonts w:hint="eastAsia" w:ascii="宋体" w:hAnsi="宋体" w:eastAsia="宋体" w:cs="宋体"/>
                <w:color w:val="auto"/>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color w:val="auto"/>
                <w:sz w:val="20"/>
                <w:lang w:eastAsia="zh-CN"/>
              </w:rPr>
              <w:t>非财政拨款</w:t>
            </w:r>
            <w:r>
              <w:rPr>
                <w:rFonts w:hint="eastAsia" w:ascii="宋体" w:hAnsi="宋体" w:eastAsia="宋体" w:cs="宋体"/>
                <w:color w:val="auto"/>
                <w:sz w:val="20"/>
                <w:lang w:val="en-US" w:eastAsia="zh-CN"/>
              </w:rPr>
              <w:t xml:space="preserve">      </w:t>
            </w:r>
            <w:r>
              <w:rPr>
                <w:rFonts w:hint="eastAsia" w:ascii="宋体" w:hAnsi="宋体" w:eastAsia="宋体" w:cs="宋体"/>
                <w:color w:val="auto"/>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rPr>
            </w:pPr>
            <w:r>
              <w:rPr>
                <w:rFonts w:hint="eastAsia" w:ascii="宋体" w:hAnsi="宋体" w:eastAsia="宋体" w:cs="宋体"/>
                <w:b/>
                <w:bCs/>
                <w:color w:val="auto"/>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auto"/>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b/>
                <w:bCs/>
                <w:color w:val="auto"/>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lang w:val="en-US" w:eastAsia="zh-CN"/>
              </w:rPr>
            </w:pPr>
            <w:r>
              <w:rPr>
                <w:rFonts w:hint="eastAsia" w:ascii="宋体" w:hAnsi="宋体" w:eastAsia="宋体" w:cs="宋体"/>
                <w:color w:val="auto"/>
                <w:kern w:val="0"/>
                <w:sz w:val="20"/>
                <w:lang w:val="en-US" w:eastAsia="zh-CN"/>
              </w:rPr>
              <w:t>63.53</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rPr>
            </w:pPr>
          </w:p>
        </w:tc>
      </w:tr>
    </w:tbl>
    <w:p>
      <w:pPr>
        <w:ind w:firstLine="640" w:firstLineChars="200"/>
        <w:rPr>
          <w:rFonts w:eastAsia="楷体_GB2312"/>
          <w:strike/>
          <w:color w:val="auto"/>
        </w:rPr>
      </w:pPr>
    </w:p>
    <w:p>
      <w:pPr>
        <w:ind w:firstLine="640" w:firstLineChars="200"/>
        <w:rPr>
          <w:rFonts w:eastAsia="楷体_GB2312"/>
          <w:color w:val="auto"/>
        </w:rPr>
      </w:pPr>
    </w:p>
    <w:p>
      <w:pPr>
        <w:rPr>
          <w:rFonts w:hAnsi="楷体" w:eastAsia="楷体"/>
          <w:color w:val="auto"/>
        </w:rPr>
      </w:pPr>
    </w:p>
    <w:p>
      <w:pPr>
        <w:jc w:val="center"/>
        <w:rPr>
          <w:rFonts w:eastAsia="方正小标宋简体"/>
          <w:color w:val="auto"/>
          <w:sz w:val="44"/>
        </w:rPr>
      </w:pPr>
      <w:r>
        <w:rPr>
          <w:rFonts w:hAnsi="楷体" w:eastAsia="楷体"/>
          <w:color w:val="auto"/>
        </w:rPr>
        <w:br w:type="page"/>
      </w:r>
      <w:r>
        <w:rPr>
          <w:rFonts w:eastAsia="方正小标宋简体"/>
          <w:color w:val="auto"/>
          <w:sz w:val="44"/>
        </w:rPr>
        <w:t>收入</w:t>
      </w:r>
      <w:r>
        <w:rPr>
          <w:rFonts w:hint="eastAsia" w:eastAsia="方正小标宋简体"/>
          <w:color w:val="auto"/>
          <w:sz w:val="44"/>
          <w:lang w:eastAsia="zh-CN"/>
        </w:rPr>
        <w:t>预算</w:t>
      </w:r>
      <w:r>
        <w:rPr>
          <w:rFonts w:hint="eastAsia" w:eastAsia="方正小标宋简体"/>
          <w:color w:val="auto"/>
          <w:sz w:val="44"/>
        </w:rPr>
        <w:t>总</w:t>
      </w:r>
      <w:r>
        <w:rPr>
          <w:rFonts w:eastAsia="方正小标宋简体"/>
          <w:color w:val="auto"/>
          <w:sz w:val="44"/>
        </w:rPr>
        <w:t>表</w:t>
      </w:r>
    </w:p>
    <w:tbl>
      <w:tblPr>
        <w:tblStyle w:val="10"/>
        <w:tblW w:w="10488" w:type="dxa"/>
        <w:jc w:val="center"/>
        <w:tblLayout w:type="fixed"/>
        <w:tblCellMar>
          <w:top w:w="0" w:type="dxa"/>
          <w:left w:w="108" w:type="dxa"/>
          <w:bottom w:w="0" w:type="dxa"/>
          <w:right w:w="108" w:type="dxa"/>
        </w:tblCellMar>
      </w:tblPr>
      <w:tblGrid>
        <w:gridCol w:w="1258"/>
        <w:gridCol w:w="718"/>
        <w:gridCol w:w="672"/>
        <w:gridCol w:w="692"/>
        <w:gridCol w:w="424"/>
        <w:gridCol w:w="552"/>
        <w:gridCol w:w="552"/>
        <w:gridCol w:w="540"/>
        <w:gridCol w:w="571"/>
        <w:gridCol w:w="487"/>
        <w:gridCol w:w="488"/>
        <w:gridCol w:w="488"/>
        <w:gridCol w:w="486"/>
        <w:gridCol w:w="556"/>
        <w:gridCol w:w="492"/>
        <w:gridCol w:w="1"/>
        <w:gridCol w:w="504"/>
        <w:gridCol w:w="487"/>
        <w:gridCol w:w="520"/>
      </w:tblGrid>
      <w:tr>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pPr>
              <w:autoSpaceDN w:val="0"/>
              <w:jc w:val="left"/>
              <w:textAlignment w:val="center"/>
              <w:rPr>
                <w:rFonts w:eastAsia="华文细黑"/>
                <w:color w:val="auto"/>
                <w:sz w:val="20"/>
              </w:rPr>
            </w:pPr>
          </w:p>
        </w:tc>
        <w:tc>
          <w:tcPr>
            <w:tcW w:w="4721" w:type="dxa"/>
            <w:gridSpan w:val="8"/>
            <w:tcBorders>
              <w:bottom w:val="single" w:color="000000" w:sz="4" w:space="0"/>
            </w:tcBorders>
            <w:noWrap w:val="0"/>
            <w:vAlign w:val="center"/>
          </w:tcPr>
          <w:p>
            <w:pPr>
              <w:autoSpaceDN w:val="0"/>
              <w:jc w:val="left"/>
              <w:textAlignment w:val="center"/>
              <w:rPr>
                <w:rFonts w:eastAsia="华文细黑"/>
                <w:color w:val="auto"/>
                <w:sz w:val="20"/>
              </w:rPr>
            </w:pPr>
          </w:p>
        </w:tc>
        <w:tc>
          <w:tcPr>
            <w:tcW w:w="1463" w:type="dxa"/>
            <w:gridSpan w:val="3"/>
            <w:noWrap w:val="0"/>
            <w:vAlign w:val="center"/>
          </w:tcPr>
          <w:p>
            <w:pPr>
              <w:autoSpaceDN w:val="0"/>
              <w:jc w:val="left"/>
              <w:textAlignment w:val="center"/>
              <w:rPr>
                <w:rFonts w:eastAsia="华文细黑"/>
                <w:color w:val="auto"/>
                <w:sz w:val="20"/>
              </w:rPr>
            </w:pPr>
          </w:p>
        </w:tc>
        <w:tc>
          <w:tcPr>
            <w:tcW w:w="486" w:type="dxa"/>
            <w:noWrap w:val="0"/>
            <w:vAlign w:val="center"/>
          </w:tcPr>
          <w:p>
            <w:pPr>
              <w:autoSpaceDN w:val="0"/>
              <w:jc w:val="left"/>
              <w:textAlignment w:val="center"/>
              <w:rPr>
                <w:rFonts w:eastAsia="华文细黑"/>
                <w:color w:val="auto"/>
                <w:sz w:val="20"/>
              </w:rPr>
            </w:pPr>
          </w:p>
        </w:tc>
        <w:tc>
          <w:tcPr>
            <w:tcW w:w="556" w:type="dxa"/>
            <w:noWrap w:val="0"/>
            <w:vAlign w:val="center"/>
          </w:tcPr>
          <w:p>
            <w:pPr>
              <w:autoSpaceDN w:val="0"/>
              <w:jc w:val="left"/>
              <w:textAlignment w:val="center"/>
              <w:rPr>
                <w:rFonts w:eastAsia="华文细黑"/>
                <w:color w:val="auto"/>
                <w:sz w:val="20"/>
              </w:rPr>
            </w:pPr>
          </w:p>
        </w:tc>
        <w:tc>
          <w:tcPr>
            <w:tcW w:w="493" w:type="dxa"/>
            <w:gridSpan w:val="2"/>
            <w:noWrap w:val="0"/>
            <w:vAlign w:val="bottom"/>
          </w:tcPr>
          <w:p>
            <w:pPr>
              <w:autoSpaceDN w:val="0"/>
              <w:jc w:val="right"/>
              <w:textAlignment w:val="bottom"/>
              <w:rPr>
                <w:rFonts w:eastAsia="宋体"/>
                <w:color w:val="auto"/>
                <w:sz w:val="20"/>
              </w:rPr>
            </w:pPr>
          </w:p>
        </w:tc>
        <w:tc>
          <w:tcPr>
            <w:tcW w:w="1511" w:type="dxa"/>
            <w:gridSpan w:val="3"/>
            <w:noWrap w:val="0"/>
            <w:vAlign w:val="bottom"/>
          </w:tcPr>
          <w:p>
            <w:pPr>
              <w:wordWrap/>
              <w:autoSpaceDN w:val="0"/>
              <w:jc w:val="right"/>
              <w:textAlignment w:val="center"/>
              <w:rPr>
                <w:rFonts w:eastAsia="宋体"/>
                <w:color w:val="auto"/>
                <w:sz w:val="20"/>
              </w:rPr>
            </w:pPr>
            <w:r>
              <w:rPr>
                <w:rFonts w:eastAsia="宋体"/>
                <w:color w:val="auto"/>
                <w:sz w:val="20"/>
              </w:rPr>
              <w:t>单位：万元</w:t>
            </w:r>
          </w:p>
        </w:tc>
      </w:tr>
      <w:tr>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单位</w:t>
            </w:r>
          </w:p>
          <w:p>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val="en-US"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pPr>
              <w:widowControl/>
              <w:jc w:val="center"/>
              <w:rPr>
                <w:rFonts w:hint="eastAsia" w:eastAsia="宋体"/>
                <w:color w:val="auto"/>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pPr>
              <w:widowControl/>
              <w:jc w:val="center"/>
              <w:rPr>
                <w:rFonts w:hint="eastAsia" w:eastAsia="宋体"/>
                <w:color w:val="auto"/>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财政拨款</w:t>
            </w:r>
          </w:p>
          <w:p>
            <w:pPr>
              <w:widowControl/>
              <w:jc w:val="center"/>
              <w:rPr>
                <w:rFonts w:hint="eastAsia" w:eastAsia="宋体"/>
                <w:color w:val="auto"/>
                <w:sz w:val="21"/>
                <w:szCs w:val="21"/>
                <w:shd w:val="clear" w:color="auto" w:fill="FFFFFF"/>
                <w:lang w:eastAsia="zh-CN"/>
              </w:rPr>
            </w:pPr>
            <w:r>
              <w:rPr>
                <w:rFonts w:hint="eastAsia" w:eastAsia="宋体"/>
                <w:color w:val="auto"/>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auto"/>
                <w:sz w:val="21"/>
                <w:szCs w:val="21"/>
                <w:shd w:val="clear" w:color="auto" w:fill="FFFFFF"/>
                <w:lang w:eastAsia="zh-CN"/>
              </w:rPr>
            </w:pPr>
          </w:p>
        </w:tc>
        <w:tc>
          <w:tcPr>
            <w:tcW w:w="69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auto"/>
                <w:lang w:eastAsia="zh-CN"/>
              </w:rPr>
              <w:t>一般公共预算收入</w:t>
            </w:r>
          </w:p>
        </w:tc>
        <w:tc>
          <w:tcPr>
            <w:tcW w:w="424"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政府性基金预算收入</w:t>
            </w: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auto"/>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leftChars="0" w:right="113" w:rightChars="0"/>
              <w:jc w:val="center"/>
              <w:textAlignment w:val="center"/>
              <w:rPr>
                <w:rFonts w:hint="eastAsia" w:eastAsia="宋体"/>
                <w:color w:val="auto"/>
                <w:sz w:val="20"/>
                <w:szCs w:val="20"/>
                <w:shd w:val="clear" w:color="auto" w:fill="FFFFFF"/>
                <w:lang w:eastAsia="zh-CN"/>
              </w:rPr>
            </w:pPr>
            <w:r>
              <w:rPr>
                <w:rFonts w:hint="eastAsia" w:ascii="宋体" w:hAnsi="宋体" w:eastAsia="宋体" w:cs="宋体"/>
                <w:color w:val="auto"/>
                <w:sz w:val="20"/>
                <w:shd w:val="clear" w:color="auto" w:fill="FFFFFF"/>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leftChars="0" w:right="113" w:rightChars="0"/>
              <w:jc w:val="center"/>
              <w:textAlignment w:val="center"/>
              <w:rPr>
                <w:rFonts w:hint="default" w:eastAsia="宋体"/>
                <w:color w:val="auto"/>
                <w:sz w:val="20"/>
                <w:szCs w:val="20"/>
                <w:shd w:val="clear" w:color="auto" w:fill="FFFFFF"/>
                <w:lang w:val="en-US" w:eastAsia="zh-CN"/>
              </w:rPr>
            </w:pPr>
            <w:r>
              <w:rPr>
                <w:rFonts w:hint="eastAsia" w:ascii="宋体" w:hAnsi="宋体" w:eastAsia="宋体" w:cs="宋体"/>
                <w:color w:val="auto"/>
                <w:sz w:val="20"/>
                <w:shd w:val="clear" w:color="auto" w:fill="FFFFFF"/>
              </w:rPr>
              <w:t>政府性基金预算拨款结转</w:t>
            </w: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leftChars="0" w:right="113" w:rightChars="0"/>
              <w:jc w:val="center"/>
              <w:textAlignment w:val="center"/>
              <w:rPr>
                <w:rFonts w:hint="eastAsia" w:eastAsia="宋体"/>
                <w:color w:val="auto"/>
                <w:sz w:val="20"/>
                <w:szCs w:val="20"/>
                <w:shd w:val="clear" w:color="auto" w:fill="FFFFFF"/>
                <w:lang w:eastAsia="zh-CN"/>
              </w:rPr>
            </w:pPr>
            <w:r>
              <w:rPr>
                <w:rFonts w:hint="eastAsia" w:ascii="宋体" w:hAnsi="宋体" w:eastAsia="宋体" w:cs="宋体"/>
                <w:color w:val="auto"/>
                <w:sz w:val="20"/>
                <w:shd w:val="clear" w:color="auto" w:fill="FFFFFF"/>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leftChars="0" w:right="113" w:rightChars="0"/>
              <w:jc w:val="center"/>
              <w:textAlignment w:val="center"/>
              <w:rPr>
                <w:rFonts w:hint="eastAsia" w:eastAsia="宋体"/>
                <w:color w:val="auto"/>
                <w:sz w:val="20"/>
                <w:szCs w:val="20"/>
                <w:shd w:val="clear" w:color="auto" w:fill="FFFFFF"/>
                <w:lang w:eastAsia="zh-CN"/>
              </w:rPr>
            </w:pPr>
            <w:r>
              <w:rPr>
                <w:rFonts w:hint="eastAsia" w:ascii="宋体" w:hAnsi="宋体" w:eastAsia="宋体" w:cs="宋体"/>
                <w:color w:val="auto"/>
                <w:sz w:val="20"/>
                <w:shd w:val="clear" w:color="auto" w:fill="FFFFFF"/>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leftChars="0" w:right="113" w:rightChars="0"/>
              <w:jc w:val="center"/>
              <w:textAlignment w:val="center"/>
              <w:rPr>
                <w:rFonts w:hint="eastAsia" w:eastAsia="宋体"/>
                <w:color w:val="auto"/>
                <w:sz w:val="20"/>
                <w:szCs w:val="20"/>
                <w:shd w:val="clear" w:color="auto" w:fill="FFFFFF"/>
                <w:lang w:eastAsia="zh-CN"/>
              </w:rPr>
            </w:pPr>
            <w:r>
              <w:rPr>
                <w:rFonts w:hint="eastAsia" w:ascii="宋体" w:hAnsi="宋体" w:eastAsia="宋体" w:cs="宋体"/>
                <w:color w:val="auto"/>
                <w:sz w:val="20"/>
                <w:shd w:val="clear" w:color="auto" w:fill="FFFFFF"/>
              </w:rPr>
              <w:t>单位资金结转结余</w:t>
            </w: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center"/>
              <w:textAlignment w:val="center"/>
              <w:rPr>
                <w:rFonts w:eastAsia="宋体"/>
                <w:color w:val="auto"/>
                <w:sz w:val="20"/>
                <w:shd w:val="clear" w:color="auto" w:fill="FFFFFF"/>
              </w:rPr>
            </w:pPr>
            <w:r>
              <w:rPr>
                <w:rFonts w:hint="eastAsia" w:ascii="宋体" w:hAnsi="宋体" w:eastAsia="宋体" w:cs="宋体"/>
                <w:i w:val="0"/>
                <w:iCs w:val="0"/>
                <w:color w:val="auto"/>
                <w:kern w:val="0"/>
                <w:sz w:val="20"/>
                <w:szCs w:val="20"/>
                <w:u w:val="none"/>
                <w:lang w:val="en-US" w:eastAsia="zh-CN" w:bidi="ar"/>
              </w:rPr>
              <w:t>四平市统计局铁东区分局</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63.53</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63.53</w:t>
            </w: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ind w:left="0" w:leftChars="0"/>
              <w:jc w:val="both"/>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63.53</w:t>
            </w:r>
          </w:p>
        </w:tc>
        <w:tc>
          <w:tcPr>
            <w:tcW w:w="424"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r>
      <w:tr>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宋体"/>
                <w:color w:val="auto"/>
                <w:sz w:val="20"/>
                <w:shd w:val="clear" w:color="auto" w:fill="FFFFFF"/>
              </w:rPr>
            </w:pPr>
            <w:r>
              <w:rPr>
                <w:rFonts w:hint="eastAsia" w:ascii="宋体" w:hAnsi="宋体" w:eastAsia="宋体" w:cs="宋体"/>
                <w:color w:val="auto"/>
                <w:kern w:val="0"/>
                <w:sz w:val="20"/>
                <w:szCs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63.53</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63.53</w:t>
            </w:r>
          </w:p>
        </w:tc>
        <w:tc>
          <w:tcPr>
            <w:tcW w:w="6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auto"/>
              <w:ind w:left="0" w:leftChars="0"/>
              <w:jc w:val="both"/>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63.53</w:t>
            </w:r>
          </w:p>
        </w:tc>
        <w:tc>
          <w:tcPr>
            <w:tcW w:w="424"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auto"/>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auto"/>
                <w:sz w:val="20"/>
                <w:shd w:val="clear" w:color="auto" w:fill="FFFFFF"/>
              </w:rPr>
            </w:pPr>
          </w:p>
        </w:tc>
      </w:tr>
    </w:tbl>
    <w:p>
      <w:pPr>
        <w:rPr>
          <w:rFonts w:hAnsi="楷体" w:eastAsia="楷体"/>
          <w:color w:val="auto"/>
        </w:rPr>
      </w:pPr>
    </w:p>
    <w:p>
      <w:pPr>
        <w:ind w:firstLine="640" w:firstLineChars="200"/>
        <w:rPr>
          <w:rFonts w:eastAsia="楷体"/>
          <w:color w:val="auto"/>
        </w:rPr>
      </w:pPr>
      <w:r>
        <w:rPr>
          <w:rFonts w:hAnsi="楷体" w:eastAsia="楷体"/>
          <w:color w:val="auto"/>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color w:val="auto"/>
                <w:kern w:val="0"/>
                <w:sz w:val="44"/>
                <w:szCs w:val="44"/>
              </w:rPr>
            </w:pP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hint="eastAsia" w:eastAsia="方正小标宋简体"/>
                <w:color w:val="auto"/>
                <w:kern w:val="0"/>
                <w:sz w:val="44"/>
                <w:szCs w:val="44"/>
              </w:rPr>
              <w:t>总</w:t>
            </w:r>
            <w:r>
              <w:rPr>
                <w:rFonts w:eastAsia="方正小标宋简体"/>
                <w:color w:val="auto"/>
                <w:kern w:val="0"/>
                <w:sz w:val="44"/>
                <w:szCs w:val="44"/>
              </w:rPr>
              <w:t>表</w:t>
            </w:r>
          </w:p>
          <w:tbl>
            <w:tblPr>
              <w:tblStyle w:val="10"/>
              <w:tblW w:w="9840" w:type="dxa"/>
              <w:tblInd w:w="445" w:type="dxa"/>
              <w:tblLayout w:type="fixed"/>
              <w:tblCellMar>
                <w:top w:w="15" w:type="dxa"/>
                <w:left w:w="15" w:type="dxa"/>
                <w:bottom w:w="15" w:type="dxa"/>
                <w:right w:w="15" w:type="dxa"/>
              </w:tblCellMar>
            </w:tblPr>
            <w:tblGrid>
              <w:gridCol w:w="2385"/>
              <w:gridCol w:w="1031"/>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auto"/>
                      <w:kern w:val="0"/>
                      <w:sz w:val="20"/>
                    </w:rPr>
                  </w:pPr>
                </w:p>
              </w:tc>
              <w:tc>
                <w:tcPr>
                  <w:tcW w:w="1297" w:type="dxa"/>
                  <w:tcBorders>
                    <w:bottom w:val="single" w:color="000000" w:sz="4" w:space="0"/>
                  </w:tcBorders>
                  <w:noWrap w:val="0"/>
                  <w:vAlign w:val="center"/>
                </w:tcPr>
                <w:p>
                  <w:pPr>
                    <w:widowControl/>
                    <w:jc w:val="right"/>
                    <w:rPr>
                      <w:rFonts w:eastAsia="华文细黑"/>
                      <w:color w:val="auto"/>
                      <w:kern w:val="0"/>
                      <w:sz w:val="20"/>
                    </w:rPr>
                  </w:pPr>
                </w:p>
              </w:tc>
              <w:tc>
                <w:tcPr>
                  <w:tcW w:w="1296" w:type="dxa"/>
                  <w:gridSpan w:val="2"/>
                  <w:tcBorders>
                    <w:bottom w:val="single" w:color="000000" w:sz="4" w:space="0"/>
                  </w:tcBorders>
                  <w:noWrap w:val="0"/>
                  <w:vAlign w:val="center"/>
                </w:tcPr>
                <w:p>
                  <w:pPr>
                    <w:widowControl/>
                    <w:jc w:val="right"/>
                    <w:rPr>
                      <w:rFonts w:eastAsia="华文细黑"/>
                      <w:color w:val="auto"/>
                      <w:kern w:val="0"/>
                      <w:sz w:val="20"/>
                    </w:rPr>
                  </w:pPr>
                </w:p>
              </w:tc>
              <w:tc>
                <w:tcPr>
                  <w:tcW w:w="1297" w:type="dxa"/>
                  <w:tcBorders>
                    <w:bottom w:val="single" w:color="000000" w:sz="4" w:space="0"/>
                  </w:tcBorders>
                  <w:noWrap w:val="0"/>
                  <w:vAlign w:val="bottom"/>
                </w:tcPr>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1476" w:hRule="atLeast"/>
              </w:trPr>
              <w:tc>
                <w:tcPr>
                  <w:tcW w:w="238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功能分类</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科目名称</w:t>
                  </w:r>
                </w:p>
              </w:tc>
              <w:tc>
                <w:tcPr>
                  <w:tcW w:w="1031"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合</w:t>
                  </w:r>
                  <w:r>
                    <w:rPr>
                      <w:rFonts w:hint="eastAsia" w:ascii="宋体" w:hAnsi="宋体" w:eastAsia="宋体" w:cs="宋体"/>
                      <w:color w:val="auto"/>
                      <w:kern w:val="0"/>
                      <w:sz w:val="20"/>
                      <w:szCs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基本</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支出</w:t>
                  </w:r>
                </w:p>
                <w:p>
                  <w:pPr>
                    <w:widowControl/>
                    <w:jc w:val="center"/>
                    <w:rPr>
                      <w:rFonts w:hint="eastAsia" w:ascii="宋体" w:hAnsi="宋体" w:eastAsia="宋体" w:cs="宋体"/>
                      <w:color w:val="auto"/>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事业单位</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对附属                                           单位补                                      助支出</w:t>
                  </w:r>
                </w:p>
              </w:tc>
            </w:tr>
            <w:tr>
              <w:tblPrEx>
                <w:tblCellMar>
                  <w:top w:w="15" w:type="dxa"/>
                  <w:left w:w="15" w:type="dxa"/>
                  <w:bottom w:w="15" w:type="dxa"/>
                  <w:right w:w="15" w:type="dxa"/>
                </w:tblCellMar>
              </w:tblPrEx>
              <w:trPr>
                <w:trHeight w:val="701"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一、一般公共服务</w:t>
                  </w:r>
                  <w:r>
                    <w:rPr>
                      <w:rFonts w:hint="eastAsia" w:ascii="宋体" w:hAnsi="宋体" w:eastAsia="宋体" w:cs="宋体"/>
                      <w:color w:val="auto"/>
                      <w:kern w:val="0"/>
                      <w:sz w:val="20"/>
                      <w:szCs w:val="20"/>
                      <w:lang w:val="en-US" w:eastAsia="zh-CN"/>
                    </w:rPr>
                    <w:t>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48.23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60"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统计信息事务</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48.23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60"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行政运行</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60"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一般行政管理事务</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60"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二、</w:t>
                  </w:r>
                  <w:r>
                    <w:rPr>
                      <w:rFonts w:hint="eastAsia" w:ascii="宋体" w:hAnsi="宋体" w:eastAsia="宋体" w:cs="宋体"/>
                      <w:color w:val="auto"/>
                      <w:kern w:val="0"/>
                      <w:sz w:val="20"/>
                      <w:szCs w:val="20"/>
                    </w:rPr>
                    <w:t>社会保障和就业支出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60"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行政事业单位养老支出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行政单位离退休</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机关事业单位基本养老保险缴费支出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三、</w:t>
                  </w:r>
                  <w:r>
                    <w:rPr>
                      <w:rFonts w:hint="eastAsia" w:ascii="宋体" w:hAnsi="宋体" w:eastAsia="宋体" w:cs="宋体"/>
                      <w:color w:val="auto"/>
                      <w:kern w:val="0"/>
                      <w:sz w:val="20"/>
                      <w:szCs w:val="20"/>
                    </w:rPr>
                    <w:t>卫生健康支出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行政事业单位医疗</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行政单位医疗</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四、</w:t>
                  </w:r>
                  <w:r>
                    <w:rPr>
                      <w:rFonts w:hint="eastAsia" w:ascii="宋体" w:hAnsi="宋体" w:eastAsia="宋体" w:cs="宋体"/>
                      <w:color w:val="auto"/>
                      <w:kern w:val="0"/>
                      <w:sz w:val="20"/>
                      <w:szCs w:val="20"/>
                    </w:rPr>
                    <w:t>住房保障支出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住房改革支出</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住房公积金</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5" w:hRule="atLeast"/>
              </w:trPr>
              <w:tc>
                <w:tcPr>
                  <w:tcW w:w="238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合计</w:t>
                  </w:r>
                </w:p>
              </w:tc>
              <w:tc>
                <w:tcPr>
                  <w:tcW w:w="103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63.53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45.33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szCs w:val="20"/>
                    </w:rPr>
                  </w:pPr>
                </w:p>
              </w:tc>
            </w:tr>
          </w:tbl>
          <w:p>
            <w:pPr>
              <w:widowControl/>
              <w:jc w:val="center"/>
              <w:rPr>
                <w:rFonts w:eastAsia="方正小标宋简体"/>
                <w:color w:val="auto"/>
                <w:kern w:val="0"/>
                <w:sz w:val="44"/>
                <w:szCs w:val="44"/>
              </w:rPr>
            </w:pPr>
          </w:p>
        </w:tc>
      </w:tr>
    </w:tbl>
    <w:p>
      <w:pPr>
        <w:rPr>
          <w:rFonts w:hAnsi="楷体" w:eastAsia="楷体"/>
          <w:color w:val="auto"/>
        </w:rPr>
      </w:pPr>
    </w:p>
    <w:tbl>
      <w:tblPr>
        <w:tblStyle w:val="10"/>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color w:val="auto"/>
                      <w:kern w:val="0"/>
                      <w:sz w:val="44"/>
                      <w:szCs w:val="44"/>
                    </w:rPr>
                  </w:pPr>
                  <w:r>
                    <w:rPr>
                      <w:rFonts w:eastAsia="方正小标宋简体"/>
                      <w:color w:val="auto"/>
                      <w:kern w:val="0"/>
                      <w:sz w:val="44"/>
                      <w:szCs w:val="44"/>
                    </w:rPr>
                    <w:t>财政拨款收支</w:t>
                  </w:r>
                  <w:r>
                    <w:rPr>
                      <w:rFonts w:hint="eastAsia" w:eastAsia="方正小标宋简体"/>
                      <w:color w:val="auto"/>
                      <w:kern w:val="0"/>
                      <w:sz w:val="44"/>
                      <w:szCs w:val="44"/>
                      <w:lang w:eastAsia="zh-CN"/>
                    </w:rPr>
                    <w:t>预算总</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auto"/>
                      <w:kern w:val="0"/>
                      <w:sz w:val="20"/>
                    </w:rPr>
                  </w:pPr>
                  <w:r>
                    <w:rPr>
                      <w:rFonts w:hint="eastAsia" w:eastAsia="华文细黑"/>
                      <w:color w:val="auto"/>
                      <w:kern w:val="0"/>
                      <w:sz w:val="20"/>
                    </w:rPr>
                    <w:t xml:space="preserve"> </w:t>
                  </w:r>
                  <w:r>
                    <w:rPr>
                      <w:rFonts w:eastAsia="华文细黑"/>
                      <w:color w:val="auto"/>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color w:val="auto"/>
                      <w:kern w:val="0"/>
                      <w:sz w:val="20"/>
                      <w:lang w:val="en-US" w:eastAsia="zh-CN"/>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5</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w:t>
                  </w:r>
                  <w:r>
                    <w:rPr>
                      <w:rFonts w:hint="eastAsia" w:eastAsia="宋体"/>
                      <w:color w:val="auto"/>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color w:val="auto"/>
                      <w:kern w:val="0"/>
                      <w:sz w:val="20"/>
                      <w:lang w:eastAsia="zh-CN"/>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5</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w:t>
                  </w:r>
                  <w:r>
                    <w:rPr>
                      <w:rFonts w:hint="eastAsia" w:eastAsia="宋体"/>
                      <w:color w:val="auto"/>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rPr>
                    <w:t>上年结转</w:t>
                  </w:r>
                </w:p>
              </w:tc>
            </w:tr>
            <w:tr>
              <w:tblPrEx>
                <w:tblCellMar>
                  <w:top w:w="0" w:type="dxa"/>
                  <w:left w:w="108" w:type="dxa"/>
                  <w:bottom w:w="0" w:type="dxa"/>
                  <w:right w:w="108" w:type="dxa"/>
                </w:tblCellMar>
              </w:tblPrEx>
              <w:trPr>
                <w:trHeight w:val="39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63.53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63.53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auto"/>
                      <w:kern w:val="0"/>
                      <w:sz w:val="20"/>
                      <w:lang w:eastAsia="zh-CN"/>
                    </w:rPr>
                  </w:pPr>
                  <w:r>
                    <w:rPr>
                      <w:rFonts w:hint="eastAsia" w:ascii="宋体" w:hAnsi="宋体" w:eastAsia="宋体" w:cs="宋体"/>
                      <w:color w:val="auto"/>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63.53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jc w:val="center"/>
                    <w:rPr>
                      <w:rFonts w:hint="default" w:eastAsia="宋体"/>
                      <w:color w:val="auto"/>
                      <w:kern w:val="0"/>
                      <w:sz w:val="20"/>
                      <w:lang w:val="en-US" w:eastAsia="zh-CN"/>
                    </w:rPr>
                  </w:pPr>
                  <w:r>
                    <w:rPr>
                      <w:rFonts w:hint="eastAsia" w:eastAsia="宋体"/>
                      <w:color w:val="auto"/>
                      <w:kern w:val="0"/>
                      <w:sz w:val="20"/>
                      <w:lang w:val="en-US" w:eastAsia="zh-CN"/>
                    </w:rPr>
                    <w:t>63.53</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szCs w:val="22"/>
                    </w:rPr>
                  </w:pPr>
                </w:p>
              </w:tc>
            </w:tr>
            <w:tr>
              <w:tblPrEx>
                <w:tblCellMar>
                  <w:top w:w="0" w:type="dxa"/>
                  <w:left w:w="108" w:type="dxa"/>
                  <w:bottom w:w="0" w:type="dxa"/>
                  <w:right w:w="108" w:type="dxa"/>
                </w:tblCellMar>
              </w:tblPrEx>
              <w:trPr>
                <w:trHeight w:val="49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63.53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 w:val="20"/>
                      <w:lang w:val="en-US" w:eastAsia="zh-CN"/>
                    </w:rPr>
                  </w:pPr>
                  <w:r>
                    <w:rPr>
                      <w:rFonts w:hint="eastAsia" w:eastAsia="宋体"/>
                      <w:color w:val="auto"/>
                      <w:kern w:val="0"/>
                      <w:sz w:val="20"/>
                      <w:lang w:val="en-US" w:eastAsia="zh-CN"/>
                    </w:rPr>
                    <w:t>63.53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ascii="宋体" w:hAnsi="宋体" w:eastAsia="宋体" w:cs="宋体"/>
                      <w:color w:val="auto"/>
                      <w:kern w:val="0"/>
                      <w:sz w:val="20"/>
                      <w:lang w:eastAsia="zh-CN"/>
                    </w:rPr>
                    <w:t>（</w:t>
                  </w:r>
                  <w:r>
                    <w:rPr>
                      <w:rFonts w:hint="eastAsia" w:ascii="宋体" w:hAnsi="宋体" w:eastAsia="宋体" w:cs="宋体"/>
                      <w:color w:val="auto"/>
                      <w:kern w:val="0"/>
                      <w:sz w:val="20"/>
                      <w:lang w:val="en-US" w:eastAsia="zh-CN"/>
                    </w:rPr>
                    <w:t>一</w:t>
                  </w:r>
                  <w:r>
                    <w:rPr>
                      <w:rFonts w:hint="eastAsia" w:ascii="宋体" w:hAnsi="宋体" w:eastAsia="宋体" w:cs="宋体"/>
                      <w:color w:val="auto"/>
                      <w:kern w:val="0"/>
                      <w:sz w:val="20"/>
                      <w:lang w:eastAsia="zh-CN"/>
                    </w:rPr>
                    <w:t>）</w:t>
                  </w:r>
                  <w:r>
                    <w:rPr>
                      <w:rFonts w:hint="eastAsia" w:ascii="宋体" w:hAnsi="宋体" w:eastAsia="宋体" w:cs="宋体"/>
                      <w:color w:val="auto"/>
                      <w:kern w:val="0"/>
                      <w:sz w:val="20"/>
                    </w:rPr>
                    <w:t>一般公共服务</w:t>
                  </w:r>
                  <w:r>
                    <w:rPr>
                      <w:rFonts w:hint="eastAsia" w:ascii="宋体" w:hAnsi="宋体" w:eastAsia="宋体" w:cs="宋体"/>
                      <w:color w:val="auto"/>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48.23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jc w:val="center"/>
                    <w:rPr>
                      <w:rFonts w:hint="default" w:eastAsia="宋体"/>
                      <w:color w:val="auto"/>
                      <w:kern w:val="0"/>
                      <w:sz w:val="20"/>
                      <w:lang w:val="en-US" w:eastAsia="zh-CN"/>
                    </w:rPr>
                  </w:pPr>
                  <w:r>
                    <w:rPr>
                      <w:rFonts w:hint="eastAsia" w:eastAsia="宋体"/>
                      <w:color w:val="auto"/>
                      <w:kern w:val="0"/>
                      <w:sz w:val="20"/>
                      <w:lang w:val="en-US" w:eastAsia="zh-CN"/>
                    </w:rPr>
                    <w:t>48.23</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auto"/>
                      <w:kern w:val="0"/>
                      <w:sz w:val="20"/>
                    </w:rPr>
                  </w:pPr>
                  <w:r>
                    <w:rPr>
                      <w:rFonts w:hint="eastAsia" w:ascii="宋体" w:hAnsi="宋体" w:eastAsia="宋体" w:cs="宋体"/>
                      <w:color w:val="auto"/>
                      <w:kern w:val="0"/>
                      <w:sz w:val="20"/>
                      <w:lang w:eastAsia="zh-CN"/>
                    </w:rPr>
                    <w:t>（</w:t>
                  </w:r>
                  <w:r>
                    <w:rPr>
                      <w:rFonts w:hint="eastAsia" w:ascii="宋体" w:hAnsi="宋体" w:eastAsia="宋体" w:cs="宋体"/>
                      <w:color w:val="auto"/>
                      <w:kern w:val="0"/>
                      <w:sz w:val="20"/>
                      <w:lang w:val="en-US" w:eastAsia="zh-CN"/>
                    </w:rPr>
                    <w:t>二</w:t>
                  </w:r>
                  <w:r>
                    <w:rPr>
                      <w:rFonts w:hint="eastAsia" w:ascii="宋体" w:hAnsi="宋体" w:eastAsia="宋体" w:cs="宋体"/>
                      <w:color w:val="auto"/>
                      <w:kern w:val="0"/>
                      <w:sz w:val="20"/>
                      <w:lang w:eastAsia="zh-CN"/>
                    </w:rPr>
                    <w:t>）</w:t>
                  </w:r>
                  <w:r>
                    <w:rPr>
                      <w:rFonts w:hint="eastAsia" w:ascii="宋体" w:hAnsi="宋体" w:eastAsia="宋体" w:cs="宋体"/>
                      <w:color w:val="auto"/>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10.85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jc w:val="center"/>
                    <w:rPr>
                      <w:rFonts w:hint="default" w:eastAsia="宋体"/>
                      <w:color w:val="auto"/>
                      <w:kern w:val="0"/>
                      <w:sz w:val="20"/>
                      <w:lang w:val="en-US" w:eastAsia="zh-CN"/>
                    </w:rPr>
                  </w:pPr>
                  <w:r>
                    <w:rPr>
                      <w:rFonts w:hint="eastAsia" w:eastAsia="宋体"/>
                      <w:color w:val="auto"/>
                      <w:kern w:val="0"/>
                      <w:sz w:val="20"/>
                      <w:lang w:val="en-US" w:eastAsia="zh-CN"/>
                    </w:rPr>
                    <w:t>10.85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hint="eastAsia" w:eastAsia="宋体"/>
                      <w:color w:val="auto"/>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auto"/>
                      <w:kern w:val="0"/>
                      <w:sz w:val="20"/>
                    </w:rPr>
                  </w:pPr>
                  <w:r>
                    <w:rPr>
                      <w:rFonts w:hint="eastAsia" w:ascii="宋体" w:hAnsi="宋体" w:eastAsia="宋体" w:cs="宋体"/>
                      <w:color w:val="auto"/>
                      <w:kern w:val="0"/>
                      <w:sz w:val="20"/>
                      <w:lang w:eastAsia="zh-CN"/>
                    </w:rPr>
                    <w:t>（</w:t>
                  </w:r>
                  <w:r>
                    <w:rPr>
                      <w:rFonts w:hint="eastAsia" w:ascii="宋体" w:hAnsi="宋体" w:eastAsia="宋体" w:cs="宋体"/>
                      <w:color w:val="auto"/>
                      <w:kern w:val="0"/>
                      <w:sz w:val="20"/>
                      <w:lang w:val="en-US" w:eastAsia="zh-CN"/>
                    </w:rPr>
                    <w:t>三</w:t>
                  </w:r>
                  <w:r>
                    <w:rPr>
                      <w:rFonts w:hint="eastAsia" w:ascii="宋体" w:hAnsi="宋体" w:eastAsia="宋体" w:cs="宋体"/>
                      <w:color w:val="auto"/>
                      <w:kern w:val="0"/>
                      <w:sz w:val="20"/>
                      <w:lang w:eastAsia="zh-CN"/>
                    </w:rPr>
                    <w:t>）</w:t>
                  </w:r>
                  <w:r>
                    <w:rPr>
                      <w:rFonts w:hint="eastAsia" w:ascii="宋体" w:hAnsi="宋体" w:eastAsia="宋体" w:cs="宋体"/>
                      <w:color w:val="auto"/>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1.50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jc w:val="center"/>
                    <w:rPr>
                      <w:rFonts w:hint="default" w:eastAsia="宋体"/>
                      <w:color w:val="auto"/>
                      <w:kern w:val="0"/>
                      <w:sz w:val="20"/>
                      <w:lang w:val="en-US" w:eastAsia="zh-CN"/>
                    </w:rPr>
                  </w:pPr>
                  <w:r>
                    <w:rPr>
                      <w:rFonts w:hint="eastAsia" w:eastAsia="宋体"/>
                      <w:color w:val="auto"/>
                      <w:kern w:val="0"/>
                      <w:sz w:val="20"/>
                      <w:lang w:val="en-US" w:eastAsia="zh-CN"/>
                    </w:rPr>
                    <w:t>1.50</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auto"/>
                      <w:kern w:val="0"/>
                      <w:sz w:val="20"/>
                    </w:rPr>
                  </w:pPr>
                  <w:r>
                    <w:rPr>
                      <w:rFonts w:hint="eastAsia" w:ascii="宋体" w:hAnsi="宋体" w:eastAsia="宋体" w:cs="宋体"/>
                      <w:color w:val="auto"/>
                      <w:kern w:val="0"/>
                      <w:sz w:val="20"/>
                      <w:lang w:eastAsia="zh-CN"/>
                    </w:rPr>
                    <w:t>（</w:t>
                  </w:r>
                  <w:r>
                    <w:rPr>
                      <w:rFonts w:hint="eastAsia" w:ascii="宋体" w:hAnsi="宋体" w:eastAsia="宋体" w:cs="宋体"/>
                      <w:color w:val="auto"/>
                      <w:kern w:val="0"/>
                      <w:sz w:val="20"/>
                      <w:lang w:val="en-US" w:eastAsia="zh-CN"/>
                    </w:rPr>
                    <w:t>四</w:t>
                  </w:r>
                  <w:r>
                    <w:rPr>
                      <w:rFonts w:hint="eastAsia" w:ascii="宋体" w:hAnsi="宋体" w:eastAsia="宋体" w:cs="宋体"/>
                      <w:color w:val="auto"/>
                      <w:kern w:val="0"/>
                      <w:sz w:val="20"/>
                      <w:lang w:eastAsia="zh-CN"/>
                    </w:rPr>
                    <w:t>）</w:t>
                  </w:r>
                  <w:r>
                    <w:rPr>
                      <w:rFonts w:hint="eastAsia" w:ascii="宋体" w:hAnsi="宋体" w:eastAsia="宋体" w:cs="宋体"/>
                      <w:color w:val="auto"/>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2.95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jc w:val="center"/>
                    <w:rPr>
                      <w:rFonts w:hint="default" w:eastAsia="宋体"/>
                      <w:color w:val="auto"/>
                      <w:kern w:val="0"/>
                      <w:sz w:val="20"/>
                      <w:lang w:val="en-US" w:eastAsia="zh-CN"/>
                    </w:rPr>
                  </w:pPr>
                  <w:r>
                    <w:rPr>
                      <w:rFonts w:hint="eastAsia" w:eastAsia="宋体"/>
                      <w:color w:val="auto"/>
                      <w:kern w:val="0"/>
                      <w:sz w:val="20"/>
                      <w:lang w:val="en-US" w:eastAsia="zh-CN"/>
                    </w:rPr>
                    <w:t>2.95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eastAsia="宋体"/>
                      <w:color w:val="auto"/>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color w:val="auto"/>
                      <w:kern w:val="0"/>
                      <w:sz w:val="20"/>
                    </w:rPr>
                  </w:pPr>
                  <w:r>
                    <w:rPr>
                      <w:rFonts w:eastAsia="宋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eastAsia="宋体"/>
                      <w:color w:val="auto"/>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color w:val="auto"/>
                      <w:sz w:val="20"/>
                    </w:rPr>
                  </w:pPr>
                  <w:r>
                    <w:rPr>
                      <w:rFonts w:hint="eastAsia" w:eastAsia="宋体"/>
                      <w:color w:val="auto"/>
                      <w:kern w:val="0"/>
                      <w:sz w:val="20"/>
                      <w:lang w:eastAsia="zh-CN"/>
                    </w:rPr>
                    <w:t>二、</w:t>
                  </w:r>
                  <w:r>
                    <w:rPr>
                      <w:rFonts w:eastAsia="宋体"/>
                      <w:color w:val="auto"/>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eastAsia="宋体"/>
                      <w:color w:val="auto"/>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eastAsia="宋体"/>
                      <w:color w:val="auto"/>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color w:val="auto"/>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color w:val="auto"/>
                      <w:kern w:val="0"/>
                      <w:sz w:val="20"/>
                    </w:rPr>
                  </w:pPr>
                  <w:r>
                    <w:rPr>
                      <w:rFonts w:eastAsia="黑体"/>
                      <w:b/>
                      <w:bCs/>
                      <w:color w:val="auto"/>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color w:val="auto"/>
                      <w:kern w:val="0"/>
                      <w:sz w:val="20"/>
                    </w:rPr>
                  </w:pPr>
                  <w:r>
                    <w:rPr>
                      <w:rFonts w:hint="eastAsia" w:eastAsia="黑体"/>
                      <w:color w:val="auto"/>
                      <w:kern w:val="0"/>
                      <w:sz w:val="20"/>
                      <w:lang w:val="en-US" w:eastAsia="zh-CN"/>
                    </w:rPr>
                    <w:t>63.53</w:t>
                  </w:r>
                  <w:r>
                    <w:rPr>
                      <w:rFonts w:eastAsia="黑体"/>
                      <w:color w:val="auto"/>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color w:val="auto"/>
                      <w:kern w:val="0"/>
                      <w:sz w:val="20"/>
                      <w:lang w:val="en-US" w:eastAsia="zh-CN"/>
                    </w:rPr>
                  </w:pPr>
                  <w:r>
                    <w:rPr>
                      <w:rFonts w:hint="eastAsia" w:eastAsia="黑体"/>
                      <w:color w:val="auto"/>
                      <w:kern w:val="0"/>
                      <w:sz w:val="20"/>
                      <w:lang w:val="en-US" w:eastAsia="zh-CN"/>
                    </w:rPr>
                    <w:t>63.53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color w:val="auto"/>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color w:val="auto"/>
                      <w:kern w:val="0"/>
                      <w:sz w:val="20"/>
                    </w:rPr>
                  </w:pPr>
                  <w:r>
                    <w:rPr>
                      <w:rFonts w:eastAsia="黑体"/>
                      <w:b/>
                      <w:bCs/>
                      <w:color w:val="auto"/>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hint="eastAsia" w:eastAsia="宋体"/>
                      <w:color w:val="auto"/>
                      <w:kern w:val="0"/>
                      <w:sz w:val="20"/>
                      <w:lang w:val="en-US" w:eastAsia="zh-CN"/>
                    </w:rPr>
                    <w:t>63.53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63.53</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color w:val="auto"/>
                      <w:kern w:val="0"/>
                      <w:sz w:val="20"/>
                    </w:rPr>
                  </w:pPr>
                </w:p>
              </w:tc>
            </w:tr>
          </w:tbl>
          <w:p>
            <w:pPr>
              <w:widowControl/>
              <w:rPr>
                <w:rFonts w:eastAsia="方正小标宋简体"/>
                <w:color w:val="auto"/>
                <w:kern w:val="0"/>
                <w:sz w:val="44"/>
                <w:szCs w:val="44"/>
              </w:rPr>
            </w:pPr>
          </w:p>
        </w:tc>
      </w:tr>
    </w:tbl>
    <w:p>
      <w:pPr>
        <w:ind w:firstLine="640" w:firstLineChars="200"/>
        <w:rPr>
          <w:rFonts w:eastAsia="楷体"/>
          <w:color w:val="auto"/>
        </w:rPr>
      </w:pPr>
      <w:r>
        <w:rPr>
          <w:rFonts w:hAnsi="楷体" w:eastAsia="楷体"/>
          <w:color w:val="auto"/>
        </w:rPr>
        <w:br w:type="page"/>
      </w:r>
    </w:p>
    <w:tbl>
      <w:tblPr>
        <w:tblStyle w:val="10"/>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color w:val="auto"/>
                <w:kern w:val="0"/>
                <w:sz w:val="44"/>
                <w:szCs w:val="44"/>
              </w:rPr>
            </w:pPr>
          </w:p>
          <w:tbl>
            <w:tblPr>
              <w:tblStyle w:val="10"/>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auto"/>
                      <w:kern w:val="0"/>
                      <w:sz w:val="20"/>
                    </w:rPr>
                  </w:pPr>
                  <w:r>
                    <w:rPr>
                      <w:rFonts w:eastAsia="方正小标宋简体"/>
                      <w:color w:val="auto"/>
                      <w:kern w:val="0"/>
                      <w:sz w:val="44"/>
                      <w:szCs w:val="44"/>
                    </w:rPr>
                    <w:t>一般公共预算</w:t>
                  </w:r>
                  <w:r>
                    <w:rPr>
                      <w:rFonts w:hint="eastAsia" w:eastAsia="方正小标宋简体"/>
                      <w:color w:val="auto"/>
                      <w:kern w:val="0"/>
                      <w:sz w:val="44"/>
                      <w:szCs w:val="44"/>
                      <w:lang w:eastAsia="zh-CN"/>
                    </w:rPr>
                    <w:t>拨款</w:t>
                  </w:r>
                  <w:r>
                    <w:rPr>
                      <w:rFonts w:hint="eastAsia"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功能分类</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一、一般公共服务</w:t>
                  </w:r>
                  <w:r>
                    <w:rPr>
                      <w:rFonts w:hint="eastAsia" w:ascii="宋体" w:hAnsi="宋体" w:eastAsia="宋体" w:cs="宋体"/>
                      <w:color w:val="auto"/>
                      <w:kern w:val="0"/>
                      <w:sz w:val="20"/>
                      <w:szCs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48.23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二、</w:t>
                  </w:r>
                  <w:r>
                    <w:rPr>
                      <w:rFonts w:hint="eastAsia" w:ascii="宋体" w:hAnsi="宋体" w:eastAsia="宋体" w:cs="宋体"/>
                      <w:color w:val="auto"/>
                      <w:kern w:val="0"/>
                      <w:sz w:val="20"/>
                      <w:szCs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三、</w:t>
                  </w:r>
                  <w:r>
                    <w:rPr>
                      <w:rFonts w:hint="eastAsia" w:ascii="宋体" w:hAnsi="宋体" w:eastAsia="宋体" w:cs="宋体"/>
                      <w:color w:val="auto"/>
                      <w:kern w:val="0"/>
                      <w:sz w:val="20"/>
                      <w:szCs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四、</w:t>
                  </w:r>
                  <w:r>
                    <w:rPr>
                      <w:rFonts w:hint="eastAsia" w:ascii="宋体" w:hAnsi="宋体" w:eastAsia="宋体" w:cs="宋体"/>
                      <w:color w:val="auto"/>
                      <w:kern w:val="0"/>
                      <w:sz w:val="20"/>
                      <w:szCs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63.53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38.69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6.64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r>
          </w:tbl>
          <w:p>
            <w:pPr>
              <w:widowControl/>
              <w:jc w:val="center"/>
              <w:rPr>
                <w:rFonts w:eastAsia="方正小标宋简体"/>
                <w:color w:val="auto"/>
                <w:kern w:val="0"/>
                <w:sz w:val="44"/>
                <w:szCs w:val="44"/>
              </w:rPr>
            </w:pPr>
          </w:p>
        </w:tc>
      </w:tr>
    </w:tbl>
    <w:p>
      <w:pPr>
        <w:ind w:firstLine="640" w:firstLineChars="200"/>
        <w:rPr>
          <w:rFonts w:eastAsia="楷体"/>
          <w:color w:val="auto"/>
        </w:rPr>
      </w:pPr>
    </w:p>
    <w:p>
      <w:pPr>
        <w:ind w:firstLine="640" w:firstLineChars="200"/>
        <w:rPr>
          <w:rFonts w:eastAsia="楷体"/>
          <w:color w:val="auto"/>
        </w:rPr>
      </w:pPr>
    </w:p>
    <w:p>
      <w:pPr>
        <w:ind w:firstLine="640" w:firstLineChars="200"/>
        <w:rPr>
          <w:rFonts w:eastAsia="楷体"/>
          <w:color w:val="auto"/>
        </w:rPr>
      </w:pPr>
    </w:p>
    <w:p>
      <w:pPr>
        <w:ind w:firstLine="640" w:firstLineChars="200"/>
        <w:rPr>
          <w:rFonts w:eastAsia="楷体"/>
          <w:color w:val="auto"/>
        </w:rPr>
      </w:pPr>
    </w:p>
    <w:p>
      <w:pPr>
        <w:ind w:firstLine="640" w:firstLineChars="200"/>
        <w:rPr>
          <w:rFonts w:eastAsia="楷体"/>
          <w:color w:val="auto"/>
        </w:rPr>
      </w:pPr>
    </w:p>
    <w:p>
      <w:pPr>
        <w:ind w:firstLine="640" w:firstLineChars="200"/>
        <w:rPr>
          <w:rFonts w:hAnsi="楷体" w:eastAsia="楷体"/>
          <w:color w:val="auto"/>
        </w:rPr>
      </w:pPr>
    </w:p>
    <w:p>
      <w:pPr>
        <w:ind w:firstLine="640" w:firstLineChars="200"/>
        <w:rPr>
          <w:rFonts w:hAnsi="楷体" w:eastAsia="楷体"/>
          <w:color w:val="auto"/>
        </w:rPr>
      </w:pPr>
    </w:p>
    <w:p>
      <w:pPr>
        <w:ind w:firstLine="640" w:firstLineChars="200"/>
        <w:rPr>
          <w:rFonts w:eastAsia="楷体"/>
          <w:color w:val="auto"/>
        </w:rPr>
      </w:pPr>
      <w:r>
        <w:rPr>
          <w:rFonts w:hAnsi="楷体" w:eastAsia="楷体"/>
          <w:color w:val="auto"/>
        </w:rPr>
        <w:br w:type="page"/>
      </w:r>
    </w:p>
    <w:tbl>
      <w:tblPr>
        <w:tblStyle w:val="10"/>
        <w:tblW w:w="0" w:type="auto"/>
        <w:jc w:val="center"/>
        <w:tblLayout w:type="fixed"/>
        <w:tblCellMar>
          <w:top w:w="0" w:type="dxa"/>
          <w:left w:w="108" w:type="dxa"/>
          <w:bottom w:w="0" w:type="dxa"/>
          <w:right w:w="108" w:type="dxa"/>
        </w:tblCellMar>
      </w:tblPr>
      <w:tblGrid>
        <w:gridCol w:w="3516"/>
        <w:gridCol w:w="188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color w:val="auto"/>
                <w:kern w:val="0"/>
                <w:sz w:val="44"/>
                <w:szCs w:val="44"/>
              </w:rPr>
            </w:pPr>
          </w:p>
          <w:p>
            <w:pPr>
              <w:widowControl/>
              <w:jc w:val="center"/>
              <w:rPr>
                <w:rFonts w:eastAsia="方正小标宋简体"/>
                <w:color w:val="auto"/>
                <w:kern w:val="0"/>
                <w:sz w:val="44"/>
                <w:szCs w:val="44"/>
              </w:rPr>
            </w:pPr>
            <w:r>
              <w:rPr>
                <w:rFonts w:eastAsia="方正小标宋简体"/>
                <w:color w:val="auto"/>
                <w:kern w:val="0"/>
                <w:sz w:val="44"/>
                <w:szCs w:val="44"/>
              </w:rPr>
              <w:t>一般公共预算</w:t>
            </w:r>
            <w:r>
              <w:rPr>
                <w:rFonts w:hint="eastAsia" w:eastAsia="方正小标宋简体"/>
                <w:color w:val="auto"/>
                <w:kern w:val="0"/>
                <w:sz w:val="44"/>
                <w:szCs w:val="44"/>
              </w:rPr>
              <w:t>基本</w:t>
            </w: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390" w:hRule="atLeast"/>
          <w:jc w:val="center"/>
        </w:trPr>
        <w:tc>
          <w:tcPr>
            <w:tcW w:w="3516" w:type="dxa"/>
            <w:tcBorders>
              <w:top w:val="nil"/>
              <w:left w:val="nil"/>
              <w:bottom w:val="single" w:color="auto" w:sz="4" w:space="0"/>
              <w:right w:val="nil"/>
            </w:tcBorders>
            <w:noWrap w:val="0"/>
            <w:vAlign w:val="center"/>
          </w:tcPr>
          <w:p>
            <w:pPr>
              <w:widowControl/>
              <w:jc w:val="left"/>
              <w:rPr>
                <w:rFonts w:eastAsia="宋体"/>
                <w:color w:val="auto"/>
                <w:kern w:val="0"/>
                <w:sz w:val="20"/>
              </w:rPr>
            </w:pPr>
            <w:r>
              <w:rPr>
                <w:rFonts w:eastAsia="宋体"/>
                <w:color w:val="auto"/>
                <w:kern w:val="0"/>
                <w:sz w:val="20"/>
              </w:rPr>
              <w:t>　</w:t>
            </w:r>
          </w:p>
        </w:tc>
        <w:tc>
          <w:tcPr>
            <w:tcW w:w="1880" w:type="dxa"/>
            <w:tcBorders>
              <w:top w:val="nil"/>
              <w:left w:val="nil"/>
              <w:bottom w:val="single" w:color="auto" w:sz="4" w:space="0"/>
              <w:right w:val="nil"/>
            </w:tcBorders>
            <w:noWrap w:val="0"/>
            <w:vAlign w:val="center"/>
          </w:tcPr>
          <w:p>
            <w:pPr>
              <w:widowControl/>
              <w:jc w:val="right"/>
              <w:rPr>
                <w:rFonts w:eastAsia="宋体"/>
                <w:color w:val="auto"/>
                <w:kern w:val="0"/>
                <w:sz w:val="20"/>
              </w:rPr>
            </w:pPr>
            <w:r>
              <w:rPr>
                <w:rFonts w:eastAsia="宋体"/>
                <w:color w:val="auto"/>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color w:val="auto"/>
                <w:kern w:val="0"/>
                <w:sz w:val="20"/>
              </w:rPr>
            </w:pPr>
            <w:r>
              <w:rPr>
                <w:rFonts w:hAnsi="华文细黑" w:eastAsia="华文细黑"/>
                <w:color w:val="auto"/>
                <w:kern w:val="0"/>
                <w:sz w:val="20"/>
              </w:rPr>
              <w:t>　</w:t>
            </w:r>
            <w:r>
              <w:rPr>
                <w:rFonts w:hint="eastAsia" w:hAnsi="华文细黑" w:eastAsia="华文细黑"/>
                <w:color w:val="auto"/>
                <w:kern w:val="0"/>
                <w:sz w:val="20"/>
              </w:rPr>
              <w:t>单位：万元</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部门预算支出</w:t>
            </w:r>
            <w:r>
              <w:rPr>
                <w:rFonts w:hint="eastAsia" w:ascii="宋体" w:hAnsi="宋体" w:eastAsia="宋体" w:cs="宋体"/>
                <w:color w:val="auto"/>
                <w:kern w:val="0"/>
                <w:sz w:val="20"/>
                <w:szCs w:val="20"/>
              </w:rPr>
              <w:t>经济分类科目</w:t>
            </w:r>
          </w:p>
        </w:tc>
        <w:tc>
          <w:tcPr>
            <w:tcW w:w="188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公用经费</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一、工资福利支出</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31.16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31.16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基本工资</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11.29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11.29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津贴补贴</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5.72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奖金</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5.31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机关事业单位基本养老保险缴费</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职工基本医疗保险缴费</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公务员医疗补助缴费</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0.39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其他社会保障缴费</w:t>
            </w:r>
          </w:p>
        </w:tc>
        <w:tc>
          <w:tcPr>
            <w:tcW w:w="1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住房公积金</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2.95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2.95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医疗费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0.64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0.64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0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其他工资福利支出</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0.34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二、商品和服务支出</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6.47</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办公费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0.50</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邮电费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0.50</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差旅费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0.30</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培训费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0.12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0.12</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工会经费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0.34</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福利费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1.73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1.73</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其他交通费用</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1.44</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其他商品和服务支出</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1.54</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三、对个人和家庭的补助</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7.53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7.53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退休费</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7.44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其他对个人和家庭的补助</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0.09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0.09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四、资本性支出</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0.17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0.17</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办公设备购置</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0.17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0.17</w:t>
            </w:r>
          </w:p>
        </w:tc>
      </w:tr>
      <w:tr>
        <w:tblPrEx>
          <w:tblCellMar>
            <w:top w:w="0" w:type="dxa"/>
            <w:left w:w="108" w:type="dxa"/>
            <w:bottom w:w="0" w:type="dxa"/>
            <w:right w:w="108" w:type="dxa"/>
          </w:tblCellMar>
        </w:tblPrEx>
        <w:trPr>
          <w:trHeight w:val="397" w:hRule="exact"/>
          <w:jc w:val="center"/>
        </w:trPr>
        <w:tc>
          <w:tcPr>
            <w:tcW w:w="3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合计</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45.33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38.69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6.64</w:t>
            </w:r>
          </w:p>
        </w:tc>
      </w:tr>
    </w:tbl>
    <w:p>
      <w:pPr>
        <w:rPr>
          <w:color w:val="auto"/>
          <w:sz w:val="16"/>
          <w:szCs w:val="16"/>
        </w:rPr>
      </w:pPr>
    </w:p>
    <w:tbl>
      <w:tblPr>
        <w:tblStyle w:val="10"/>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auto"/>
                <w:kern w:val="0"/>
                <w:sz w:val="44"/>
                <w:szCs w:val="44"/>
              </w:rPr>
            </w:pPr>
            <w:r>
              <w:rPr>
                <w:rFonts w:eastAsia="方正小标宋简体"/>
                <w:color w:val="auto"/>
                <w:kern w:val="0"/>
                <w:sz w:val="44"/>
                <w:szCs w:val="44"/>
              </w:rPr>
              <w:t>一般公共预算“三公”经费支出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auto"/>
                <w:kern w:val="0"/>
                <w:sz w:val="20"/>
              </w:rPr>
            </w:pPr>
            <w:r>
              <w:rPr>
                <w:rFonts w:hAnsi="华文细黑" w:eastAsia="华文细黑"/>
                <w:color w:val="auto"/>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auto"/>
                <w:kern w:val="0"/>
                <w:sz w:val="20"/>
              </w:rPr>
            </w:pPr>
            <w:r>
              <w:rPr>
                <w:rFonts w:hAnsi="华文细黑" w:eastAsia="华文细黑"/>
                <w:color w:val="auto"/>
                <w:kern w:val="0"/>
                <w:sz w:val="20"/>
              </w:rPr>
              <w:t>项</w:t>
            </w:r>
            <w:r>
              <w:rPr>
                <w:rFonts w:eastAsia="华文细黑"/>
                <w:color w:val="auto"/>
                <w:kern w:val="0"/>
                <w:sz w:val="20"/>
              </w:rPr>
              <w:t xml:space="preserve">    </w:t>
            </w:r>
            <w:r>
              <w:rPr>
                <w:rFonts w:hAnsi="华文细黑" w:eastAsia="华文细黑"/>
                <w:color w:val="auto"/>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auto"/>
                <w:kern w:val="0"/>
                <w:sz w:val="20"/>
              </w:rPr>
            </w:pPr>
            <w:r>
              <w:rPr>
                <w:rFonts w:eastAsia="华文细黑"/>
                <w:color w:val="auto"/>
                <w:kern w:val="0"/>
                <w:sz w:val="20"/>
              </w:rPr>
              <w:t>20</w:t>
            </w:r>
            <w:r>
              <w:rPr>
                <w:rFonts w:hint="eastAsia" w:eastAsia="华文细黑"/>
                <w:color w:val="auto"/>
                <w:kern w:val="0"/>
                <w:sz w:val="20"/>
              </w:rPr>
              <w:t>2</w:t>
            </w:r>
            <w:r>
              <w:rPr>
                <w:rFonts w:hint="eastAsia" w:eastAsia="华文细黑"/>
                <w:color w:val="auto"/>
                <w:kern w:val="0"/>
                <w:sz w:val="20"/>
                <w:lang w:val="en-US" w:eastAsia="zh-CN"/>
              </w:rPr>
              <w:t>5</w:t>
            </w:r>
            <w:r>
              <w:rPr>
                <w:rFonts w:hAnsi="华文细黑" w:eastAsia="华文细黑"/>
                <w:color w:val="auto"/>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auto"/>
                <w:kern w:val="0"/>
                <w:sz w:val="20"/>
              </w:rPr>
            </w:pPr>
            <w:r>
              <w:rPr>
                <w:rFonts w:eastAsia="宋体"/>
                <w:color w:val="auto"/>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auto"/>
                <w:kern w:val="0"/>
                <w:sz w:val="20"/>
              </w:rPr>
            </w:pPr>
            <w:r>
              <w:rPr>
                <w:rFonts w:eastAsia="宋体"/>
                <w:color w:val="auto"/>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auto"/>
                <w:kern w:val="0"/>
                <w:sz w:val="20"/>
              </w:rPr>
            </w:pPr>
            <w:r>
              <w:rPr>
                <w:rFonts w:eastAsia="宋体"/>
                <w:color w:val="auto"/>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auto"/>
                <w:kern w:val="0"/>
                <w:sz w:val="20"/>
              </w:rPr>
            </w:pPr>
            <w:r>
              <w:rPr>
                <w:rFonts w:eastAsia="宋体"/>
                <w:color w:val="auto"/>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auto"/>
                <w:kern w:val="0"/>
                <w:sz w:val="20"/>
              </w:rPr>
            </w:pPr>
            <w:r>
              <w:rPr>
                <w:rFonts w:eastAsia="宋体"/>
                <w:color w:val="auto"/>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auto"/>
                <w:kern w:val="0"/>
                <w:sz w:val="20"/>
              </w:rPr>
            </w:pPr>
            <w:r>
              <w:rPr>
                <w:rFonts w:eastAsia="宋体"/>
                <w:color w:val="auto"/>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auto"/>
                <w:kern w:val="0"/>
                <w:sz w:val="28"/>
                <w:szCs w:val="28"/>
                <w:lang w:val="en-US" w:eastAsia="zh-CN"/>
              </w:rPr>
            </w:pPr>
            <w:r>
              <w:rPr>
                <w:rFonts w:hint="eastAsia" w:ascii="仿宋_GB2312" w:hAnsi="仿宋_GB2312" w:eastAsia="仿宋_GB2312" w:cs="仿宋_GB2312"/>
                <w:color w:val="auto"/>
                <w:kern w:val="0"/>
                <w:sz w:val="20"/>
                <w:szCs w:val="20"/>
                <w:lang w:val="en-US" w:eastAsia="zh-CN"/>
              </w:rPr>
              <w:t>说明：</w:t>
            </w:r>
            <w:r>
              <w:rPr>
                <w:rFonts w:hint="eastAsia" w:ascii="仿宋_GB2312" w:hAnsi="仿宋_GB2312" w:eastAsia="仿宋_GB2312" w:cs="仿宋_GB2312"/>
                <w:color w:val="auto"/>
                <w:kern w:val="0"/>
                <w:sz w:val="20"/>
                <w:szCs w:val="20"/>
                <w:lang w:eastAsia="zh-CN"/>
              </w:rPr>
              <w:t>本单位2025年无一般公共预算“三公”经费支出预算</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lang w:val="en-US" w:eastAsia="zh-CN"/>
              </w:rPr>
              <w:t>故本表无数据</w:t>
            </w:r>
            <w:r>
              <w:rPr>
                <w:rFonts w:hint="eastAsia" w:ascii="仿宋_GB2312" w:hAnsi="仿宋_GB2312" w:eastAsia="仿宋_GB2312" w:cs="仿宋_GB2312"/>
                <w:color w:val="auto"/>
                <w:kern w:val="0"/>
                <w:sz w:val="20"/>
                <w:szCs w:val="20"/>
                <w:lang w:eastAsia="zh-CN"/>
              </w:rPr>
              <w:t>。</w:t>
            </w:r>
          </w:p>
        </w:tc>
      </w:tr>
    </w:tbl>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color w:val="auto"/>
                <w:kern w:val="0"/>
                <w:sz w:val="44"/>
                <w:szCs w:val="44"/>
              </w:rPr>
            </w:pPr>
            <w:r>
              <w:rPr>
                <w:rFonts w:eastAsia="方正小标宋简体"/>
                <w:color w:val="auto"/>
                <w:kern w:val="0"/>
                <w:sz w:val="44"/>
                <w:szCs w:val="44"/>
              </w:rPr>
              <w:t>政府性基金预算</w:t>
            </w:r>
            <w:r>
              <w:rPr>
                <w:rFonts w:hint="eastAsia" w:eastAsia="方正小标宋简体"/>
                <w:color w:val="auto"/>
                <w:kern w:val="0"/>
                <w:sz w:val="44"/>
                <w:szCs w:val="44"/>
                <w:lang w:eastAsia="zh-CN"/>
              </w:rPr>
              <w:t>拨款</w:t>
            </w: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pPr>
              <w:widowControl/>
              <w:jc w:val="right"/>
              <w:rPr>
                <w:rFonts w:eastAsia="华文细黑"/>
                <w:color w:val="auto"/>
                <w:kern w:val="0"/>
                <w:sz w:val="20"/>
              </w:rPr>
            </w:pPr>
          </w:p>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0"/>
              </w:rPr>
            </w:pPr>
            <w:r>
              <w:rPr>
                <w:rFonts w:hint="eastAsia" w:ascii="宋体" w:hAnsi="宋体" w:eastAsia="宋体" w:cs="宋体"/>
                <w:color w:val="auto"/>
                <w:sz w:val="20"/>
              </w:rPr>
              <w:t>功能分类</w:t>
            </w:r>
          </w:p>
          <w:p>
            <w:pPr>
              <w:widowControl/>
              <w:jc w:val="center"/>
              <w:rPr>
                <w:rFonts w:hint="eastAsia" w:ascii="宋体" w:hAnsi="宋体" w:eastAsia="宋体" w:cs="宋体"/>
                <w:color w:val="auto"/>
                <w:kern w:val="0"/>
                <w:sz w:val="20"/>
              </w:rPr>
            </w:pPr>
            <w:r>
              <w:rPr>
                <w:rFonts w:hint="eastAsia" w:ascii="宋体" w:hAnsi="宋体" w:eastAsia="宋体" w:cs="宋体"/>
                <w:color w:val="auto"/>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bl>
    <w:p>
      <w:pPr>
        <w:spacing w:line="7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说明：本单位2025年无政府性基金预算拨款支出预算</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lang w:val="en-US" w:eastAsia="zh-CN"/>
        </w:rPr>
        <w:t>故本表无数据</w:t>
      </w:r>
      <w:r>
        <w:rPr>
          <w:rFonts w:hint="eastAsia" w:ascii="仿宋_GB2312" w:hAnsi="仿宋_GB2312" w:eastAsia="仿宋_GB2312" w:cs="仿宋_GB2312"/>
          <w:color w:val="auto"/>
          <w:kern w:val="0"/>
          <w:sz w:val="20"/>
          <w:szCs w:val="20"/>
        </w:rPr>
        <w:t>。</w:t>
      </w: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tbl>
      <w:tblPr>
        <w:tblStyle w:val="10"/>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color w:val="auto"/>
                <w:kern w:val="0"/>
                <w:sz w:val="44"/>
                <w:szCs w:val="44"/>
              </w:rPr>
            </w:pPr>
            <w:r>
              <w:rPr>
                <w:rFonts w:hint="eastAsia" w:eastAsia="方正小标宋简体"/>
                <w:color w:val="auto"/>
                <w:kern w:val="0"/>
                <w:sz w:val="44"/>
                <w:szCs w:val="44"/>
              </w:rPr>
              <w:t>国有资本经营</w:t>
            </w:r>
            <w:r>
              <w:rPr>
                <w:rFonts w:eastAsia="方正小标宋简体"/>
                <w:color w:val="auto"/>
                <w:kern w:val="0"/>
                <w:sz w:val="44"/>
                <w:szCs w:val="44"/>
              </w:rPr>
              <w:t>预算支出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pPr>
              <w:widowControl/>
              <w:jc w:val="right"/>
              <w:rPr>
                <w:rFonts w:eastAsia="华文细黑"/>
                <w:color w:val="auto"/>
                <w:kern w:val="0"/>
                <w:sz w:val="20"/>
              </w:rPr>
            </w:pPr>
          </w:p>
          <w:p>
            <w:pPr>
              <w:widowControl/>
              <w:jc w:val="right"/>
              <w:rPr>
                <w:rFonts w:eastAsia="华文细黑"/>
                <w:color w:val="auto"/>
                <w:kern w:val="0"/>
                <w:sz w:val="20"/>
              </w:rPr>
            </w:pPr>
            <w:r>
              <w:rPr>
                <w:rFonts w:eastAsia="华文细黑"/>
                <w:color w:val="auto"/>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0"/>
              </w:rPr>
            </w:pPr>
            <w:r>
              <w:rPr>
                <w:rFonts w:hint="eastAsia" w:ascii="宋体" w:hAnsi="宋体" w:eastAsia="宋体" w:cs="宋体"/>
                <w:color w:val="auto"/>
                <w:sz w:val="20"/>
              </w:rPr>
              <w:t>功能分类</w:t>
            </w:r>
          </w:p>
          <w:p>
            <w:pPr>
              <w:widowControl/>
              <w:jc w:val="center"/>
              <w:rPr>
                <w:rFonts w:hint="eastAsia" w:ascii="宋体" w:hAnsi="宋体" w:eastAsia="宋体" w:cs="宋体"/>
                <w:color w:val="auto"/>
                <w:kern w:val="0"/>
                <w:sz w:val="20"/>
              </w:rPr>
            </w:pPr>
            <w:r>
              <w:rPr>
                <w:rFonts w:hint="eastAsia" w:ascii="宋体" w:hAnsi="宋体" w:eastAsia="宋体" w:cs="宋体"/>
                <w:color w:val="auto"/>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auto"/>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auto"/>
                <w:kern w:val="0"/>
                <w:sz w:val="20"/>
              </w:rPr>
            </w:pPr>
          </w:p>
        </w:tc>
      </w:tr>
    </w:tbl>
    <w:p>
      <w:pPr>
        <w:spacing w:line="700" w:lineRule="exact"/>
        <w:ind w:firstLine="640" w:firstLineChars="200"/>
        <w:rPr>
          <w:rFonts w:eastAsia="楷体"/>
          <w:color w:val="auto"/>
          <w:kern w:val="0"/>
          <w:szCs w:val="32"/>
        </w:rPr>
      </w:pPr>
    </w:p>
    <w:p>
      <w:pPr>
        <w:spacing w:line="7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说明：本单位2025年无国有资本经营预算支出预算</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lang w:val="en-US" w:eastAsia="zh-CN"/>
        </w:rPr>
        <w:t>故本表无数据</w:t>
      </w:r>
      <w:r>
        <w:rPr>
          <w:rFonts w:hint="eastAsia" w:ascii="仿宋_GB2312" w:hAnsi="仿宋_GB2312" w:eastAsia="仿宋_GB2312" w:cs="仿宋_GB2312"/>
          <w:color w:val="auto"/>
          <w:kern w:val="0"/>
          <w:sz w:val="20"/>
          <w:szCs w:val="20"/>
        </w:rPr>
        <w:t>。</w:t>
      </w: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p>
      <w:pPr>
        <w:spacing w:line="700" w:lineRule="exact"/>
        <w:ind w:firstLine="640" w:firstLineChars="200"/>
        <w:rPr>
          <w:rFonts w:eastAsia="楷体"/>
          <w:color w:val="auto"/>
          <w:kern w:val="0"/>
          <w:szCs w:val="32"/>
        </w:rPr>
      </w:pPr>
    </w:p>
    <w:tbl>
      <w:tblPr>
        <w:tblStyle w:val="10"/>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567"/>
        <w:gridCol w:w="850"/>
        <w:gridCol w:w="850"/>
        <w:gridCol w:w="794"/>
        <w:gridCol w:w="794"/>
        <w:gridCol w:w="454"/>
        <w:gridCol w:w="454"/>
        <w:gridCol w:w="454"/>
        <w:gridCol w:w="454"/>
        <w:gridCol w:w="454"/>
        <w:gridCol w:w="454"/>
        <w:gridCol w:w="454"/>
        <w:gridCol w:w="59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026" w:type="dxa"/>
            <w:gridSpan w:val="15"/>
            <w:tcBorders>
              <w:top w:val="nil"/>
              <w:left w:val="nil"/>
              <w:bottom w:val="nil"/>
              <w:right w:val="nil"/>
            </w:tcBorders>
            <w:noWrap w:val="0"/>
            <w:vAlign w:val="center"/>
          </w:tcPr>
          <w:p>
            <w:pPr>
              <w:widowControl/>
              <w:jc w:val="center"/>
              <w:rPr>
                <w:rFonts w:ascii="Calibri" w:hAnsi="Calibri" w:eastAsia="方正小标宋简体"/>
                <w:color w:val="auto"/>
                <w:kern w:val="0"/>
                <w:sz w:val="44"/>
                <w:szCs w:val="44"/>
              </w:rPr>
            </w:pPr>
            <w:r>
              <w:rPr>
                <w:rFonts w:hint="eastAsia" w:ascii="Calibri" w:hAnsi="Calibri" w:eastAsia="方正小标宋简体"/>
                <w:color w:val="auto"/>
                <w:kern w:val="0"/>
                <w:sz w:val="44"/>
                <w:szCs w:val="44"/>
              </w:rPr>
              <w:t>项目支出</w:t>
            </w:r>
            <w:r>
              <w:rPr>
                <w:rFonts w:hint="eastAsia" w:ascii="Calibri" w:hAnsi="Calibri" w:eastAsia="方正小标宋简体"/>
                <w:color w:val="auto"/>
                <w:kern w:val="0"/>
                <w:sz w:val="44"/>
                <w:szCs w:val="44"/>
                <w:lang w:eastAsia="zh-CN"/>
              </w:rPr>
              <w:t>预算</w:t>
            </w:r>
            <w:r>
              <w:rPr>
                <w:rFonts w:ascii="Calibri" w:hAnsi="Calibri" w:eastAsia="方正小标宋简体"/>
                <w:color w:val="auto"/>
                <w:kern w:val="0"/>
                <w:sz w:val="44"/>
                <w:szCs w:val="44"/>
              </w:rPr>
              <w:t>表</w:t>
            </w:r>
          </w:p>
          <w:p>
            <w:pPr>
              <w:autoSpaceDN w:val="0"/>
              <w:jc w:val="center"/>
              <w:textAlignment w:val="center"/>
              <w:rPr>
                <w:rFonts w:hint="eastAsia" w:ascii="Calibri" w:hAnsi="Calibri" w:eastAsia="华文细黑"/>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0"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567"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850"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850"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794" w:type="dxa"/>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261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auto"/>
                <w:sz w:val="20"/>
                <w:szCs w:val="22"/>
              </w:rPr>
            </w:pPr>
          </w:p>
        </w:tc>
        <w:tc>
          <w:tcPr>
            <w:tcW w:w="270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0" w:type="dxa"/>
            <w:vMerge w:val="restart"/>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类型</w:t>
            </w:r>
          </w:p>
        </w:tc>
        <w:tc>
          <w:tcPr>
            <w:tcW w:w="1417" w:type="dxa"/>
            <w:gridSpan w:val="2"/>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850" w:type="dxa"/>
            <w:vMerge w:val="restart"/>
            <w:noWrap w:val="0"/>
            <w:textDirection w:val="tbLrV"/>
            <w:vAlign w:val="center"/>
          </w:tcPr>
          <w:p>
            <w:pPr>
              <w:autoSpaceDN w:val="0"/>
              <w:ind w:left="113" w:right="113"/>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单位名称</w:t>
            </w:r>
          </w:p>
        </w:tc>
        <w:tc>
          <w:tcPr>
            <w:tcW w:w="794" w:type="dxa"/>
            <w:vMerge w:val="restart"/>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合计</w:t>
            </w:r>
          </w:p>
        </w:tc>
        <w:tc>
          <w:tcPr>
            <w:tcW w:w="2610" w:type="dxa"/>
            <w:gridSpan w:val="5"/>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本年预算</w:t>
            </w:r>
          </w:p>
        </w:tc>
        <w:tc>
          <w:tcPr>
            <w:tcW w:w="2705" w:type="dxa"/>
            <w:gridSpan w:val="5"/>
            <w:noWrap w:val="0"/>
            <w:vAlign w:val="center"/>
          </w:tcPr>
          <w:p>
            <w:pPr>
              <w:autoSpaceDN w:val="0"/>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50"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567" w:type="dxa"/>
            <w:vMerge w:val="restart"/>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一级项目</w:t>
            </w:r>
          </w:p>
        </w:tc>
        <w:tc>
          <w:tcPr>
            <w:tcW w:w="850" w:type="dxa"/>
            <w:vMerge w:val="restart"/>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二级</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项目</w:t>
            </w:r>
          </w:p>
        </w:tc>
        <w:tc>
          <w:tcPr>
            <w:tcW w:w="850" w:type="dxa"/>
            <w:vMerge w:val="continue"/>
            <w:noWrap w:val="0"/>
            <w:textDirection w:val="tbLrV"/>
            <w:vAlign w:val="center"/>
          </w:tcPr>
          <w:p>
            <w:pPr>
              <w:autoSpaceDN w:val="0"/>
              <w:ind w:left="113" w:right="113"/>
              <w:jc w:val="center"/>
              <w:textAlignment w:val="center"/>
              <w:rPr>
                <w:rFonts w:hint="eastAsia" w:ascii="宋体" w:hAnsi="宋体" w:eastAsia="宋体" w:cs="宋体"/>
                <w:color w:val="auto"/>
                <w:sz w:val="20"/>
                <w:szCs w:val="20"/>
                <w:lang w:eastAsia="zh-CN"/>
              </w:rPr>
            </w:pPr>
          </w:p>
        </w:tc>
        <w:tc>
          <w:tcPr>
            <w:tcW w:w="794"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1702" w:type="dxa"/>
            <w:gridSpan w:val="3"/>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财政拨款</w:t>
            </w:r>
          </w:p>
        </w:tc>
        <w:tc>
          <w:tcPr>
            <w:tcW w:w="454" w:type="dxa"/>
            <w:vMerge w:val="restart"/>
            <w:noWrap w:val="0"/>
            <w:vAlign w:val="center"/>
          </w:tcPr>
          <w:p>
            <w:pPr>
              <w:autoSpaceDN w:val="0"/>
              <w:spacing w:line="240" w:lineRule="auto"/>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财政专户管理资金</w:t>
            </w:r>
          </w:p>
        </w:tc>
        <w:tc>
          <w:tcPr>
            <w:tcW w:w="454" w:type="dxa"/>
            <w:vMerge w:val="restart"/>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单位资金</w:t>
            </w:r>
          </w:p>
        </w:tc>
        <w:tc>
          <w:tcPr>
            <w:tcW w:w="1362" w:type="dxa"/>
            <w:gridSpan w:val="3"/>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财政拨款结转</w:t>
            </w:r>
          </w:p>
        </w:tc>
        <w:tc>
          <w:tcPr>
            <w:tcW w:w="1343" w:type="dxa"/>
            <w:gridSpan w:val="2"/>
            <w:noWrap w:val="0"/>
            <w:vAlign w:val="center"/>
          </w:tcPr>
          <w:p>
            <w:pPr>
              <w:tabs>
                <w:tab w:val="left" w:pos="492"/>
              </w:tabs>
              <w:autoSpaceDN w:val="0"/>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50"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567"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850"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850"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794" w:type="dxa"/>
            <w:vMerge w:val="continue"/>
            <w:noWrap w:val="0"/>
            <w:vAlign w:val="center"/>
          </w:tcPr>
          <w:p>
            <w:pPr>
              <w:autoSpaceDN w:val="0"/>
              <w:jc w:val="center"/>
              <w:textAlignment w:val="center"/>
              <w:rPr>
                <w:rFonts w:hint="eastAsia" w:ascii="宋体" w:hAnsi="宋体" w:eastAsia="宋体" w:cs="宋体"/>
                <w:color w:val="auto"/>
                <w:sz w:val="20"/>
                <w:szCs w:val="20"/>
              </w:rPr>
            </w:pPr>
          </w:p>
        </w:tc>
        <w:tc>
          <w:tcPr>
            <w:tcW w:w="794" w:type="dxa"/>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一般公共预算</w:t>
            </w:r>
          </w:p>
        </w:tc>
        <w:tc>
          <w:tcPr>
            <w:tcW w:w="454" w:type="dxa"/>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政府性</w:t>
            </w:r>
          </w:p>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基金</w:t>
            </w:r>
          </w:p>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预算</w:t>
            </w:r>
          </w:p>
        </w:tc>
        <w:tc>
          <w:tcPr>
            <w:tcW w:w="454" w:type="dxa"/>
            <w:noWrap w:val="0"/>
            <w:vAlign w:val="center"/>
          </w:tcPr>
          <w:p>
            <w:pPr>
              <w:autoSpaceDN w:val="0"/>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国有资本经营预算</w:t>
            </w:r>
          </w:p>
        </w:tc>
        <w:tc>
          <w:tcPr>
            <w:tcW w:w="454" w:type="dxa"/>
            <w:vMerge w:val="continue"/>
            <w:noWrap w:val="0"/>
            <w:textDirection w:val="tbLrV"/>
            <w:vAlign w:val="center"/>
          </w:tcPr>
          <w:p>
            <w:pPr>
              <w:autoSpaceDN w:val="0"/>
              <w:ind w:left="113" w:right="113"/>
              <w:jc w:val="center"/>
              <w:textAlignment w:val="center"/>
              <w:rPr>
                <w:rFonts w:hint="eastAsia" w:ascii="宋体" w:hAnsi="宋体" w:eastAsia="宋体" w:cs="宋体"/>
                <w:color w:val="auto"/>
                <w:sz w:val="20"/>
                <w:szCs w:val="20"/>
                <w:lang w:eastAsia="zh-CN"/>
              </w:rPr>
            </w:pPr>
          </w:p>
        </w:tc>
        <w:tc>
          <w:tcPr>
            <w:tcW w:w="454" w:type="dxa"/>
            <w:vMerge w:val="continue"/>
            <w:noWrap w:val="0"/>
            <w:textDirection w:val="tbLrV"/>
            <w:vAlign w:val="center"/>
          </w:tcPr>
          <w:p>
            <w:pPr>
              <w:autoSpaceDN w:val="0"/>
              <w:ind w:left="113" w:right="113"/>
              <w:jc w:val="center"/>
              <w:textAlignment w:val="center"/>
              <w:rPr>
                <w:rFonts w:hint="eastAsia" w:ascii="宋体" w:hAnsi="宋体" w:eastAsia="宋体" w:cs="宋体"/>
                <w:color w:val="auto"/>
                <w:sz w:val="20"/>
                <w:szCs w:val="20"/>
              </w:rPr>
            </w:pPr>
          </w:p>
        </w:tc>
        <w:tc>
          <w:tcPr>
            <w:tcW w:w="454" w:type="dxa"/>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一般</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公共</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预算</w:t>
            </w:r>
          </w:p>
        </w:tc>
        <w:tc>
          <w:tcPr>
            <w:tcW w:w="454" w:type="dxa"/>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政府性</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基金</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预算</w:t>
            </w:r>
          </w:p>
        </w:tc>
        <w:tc>
          <w:tcPr>
            <w:tcW w:w="454" w:type="dxa"/>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国有资本经营</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预算</w:t>
            </w:r>
          </w:p>
        </w:tc>
        <w:tc>
          <w:tcPr>
            <w:tcW w:w="596" w:type="dxa"/>
            <w:noWrap w:val="0"/>
            <w:vAlign w:val="center"/>
          </w:tcPr>
          <w:p>
            <w:pPr>
              <w:autoSpaceDN w:val="0"/>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财政专户管理资金</w:t>
            </w:r>
          </w:p>
        </w:tc>
        <w:tc>
          <w:tcPr>
            <w:tcW w:w="747" w:type="dxa"/>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31部门特定目标类项目</w:t>
            </w:r>
          </w:p>
        </w:tc>
        <w:tc>
          <w:tcPr>
            <w:tcW w:w="567" w:type="dxa"/>
            <w:noWrap w:val="0"/>
            <w:vAlign w:val="center"/>
          </w:tcPr>
          <w:p>
            <w:pPr>
              <w:jc w:val="left"/>
              <w:rPr>
                <w:rFonts w:hint="eastAsia" w:ascii="宋体" w:hAnsi="宋体" w:eastAsia="宋体" w:cs="宋体"/>
                <w:color w:val="auto"/>
                <w:kern w:val="0"/>
                <w:sz w:val="20"/>
                <w:szCs w:val="20"/>
              </w:rPr>
            </w:pPr>
          </w:p>
        </w:tc>
        <w:tc>
          <w:tcPr>
            <w:tcW w:w="850" w:type="dxa"/>
            <w:shd w:val="clear" w:color="auto" w:fill="auto"/>
            <w:noWrap w:val="0"/>
            <w:vAlign w:val="center"/>
          </w:tcPr>
          <w:p>
            <w:pPr>
              <w:jc w:val="left"/>
              <w:rPr>
                <w:rFonts w:hint="eastAsia" w:ascii="宋体" w:hAnsi="宋体" w:eastAsia="宋体" w:cs="宋体"/>
                <w:color w:val="auto"/>
                <w:kern w:val="0"/>
                <w:sz w:val="20"/>
                <w:szCs w:val="20"/>
                <w:lang w:val="en-US" w:eastAsia="zh-CN" w:bidi="ar-SA"/>
              </w:rPr>
            </w:pPr>
          </w:p>
        </w:tc>
        <w:tc>
          <w:tcPr>
            <w:tcW w:w="850" w:type="dxa"/>
            <w:shd w:val="clear" w:color="auto" w:fill="FFFFFF"/>
            <w:noWrap w:val="0"/>
            <w:vAlign w:val="center"/>
          </w:tcPr>
          <w:p>
            <w:pPr>
              <w:jc w:val="left"/>
              <w:rPr>
                <w:rFonts w:hint="eastAsia" w:ascii="宋体" w:hAnsi="宋体" w:eastAsia="宋体" w:cs="宋体"/>
                <w:i w:val="0"/>
                <w:iCs w:val="0"/>
                <w:color w:val="auto"/>
                <w:kern w:val="2"/>
                <w:sz w:val="20"/>
                <w:szCs w:val="20"/>
                <w:u w:val="none"/>
                <w:lang w:val="en-US" w:eastAsia="zh-CN" w:bidi="ar-SA"/>
              </w:rPr>
            </w:pPr>
          </w:p>
        </w:tc>
        <w:tc>
          <w:tcPr>
            <w:tcW w:w="794" w:type="dxa"/>
            <w:shd w:val="clear" w:color="auto" w:fill="FFFFFF"/>
            <w:noWrap w:val="0"/>
            <w:vAlign w:val="center"/>
          </w:tcPr>
          <w:p>
            <w:pPr>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18.20</w:t>
            </w:r>
          </w:p>
        </w:tc>
        <w:tc>
          <w:tcPr>
            <w:tcW w:w="79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18.20</w:t>
            </w: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 </w:t>
            </w:r>
          </w:p>
        </w:tc>
        <w:tc>
          <w:tcPr>
            <w:tcW w:w="454" w:type="dxa"/>
            <w:noWrap w:val="0"/>
            <w:vAlign w:val="center"/>
          </w:tcPr>
          <w:p>
            <w:pPr>
              <w:keepNext w:val="0"/>
              <w:keepLines w:val="0"/>
              <w:widowControl/>
              <w:suppressLineNumbers w:val="0"/>
              <w:jc w:val="right"/>
              <w:textAlignment w:val="center"/>
              <w:rPr>
                <w:rFonts w:hint="default" w:ascii="宋体" w:hAnsi="宋体" w:eastAsia="宋体" w:cs="宋体"/>
                <w:color w:val="auto"/>
                <w:kern w:val="0"/>
                <w:sz w:val="20"/>
                <w:szCs w:val="20"/>
                <w:lang w:val="en-US"/>
              </w:rPr>
            </w:pPr>
          </w:p>
        </w:tc>
        <w:tc>
          <w:tcPr>
            <w:tcW w:w="4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0"/>
                <w:szCs w:val="20"/>
                <w:lang w:val="en-US"/>
              </w:rPr>
            </w:pPr>
          </w:p>
        </w:tc>
        <w:tc>
          <w:tcPr>
            <w:tcW w:w="454"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0"/>
                <w:szCs w:val="20"/>
                <w:lang w:val="en-US"/>
              </w:rPr>
            </w:pPr>
          </w:p>
        </w:tc>
        <w:tc>
          <w:tcPr>
            <w:tcW w:w="454" w:type="dxa"/>
            <w:noWrap w:val="0"/>
            <w:vAlign w:val="center"/>
          </w:tcPr>
          <w:p>
            <w:pPr>
              <w:jc w:val="left"/>
              <w:rPr>
                <w:rFonts w:hint="default" w:ascii="宋体" w:hAnsi="宋体" w:eastAsia="宋体" w:cs="宋体"/>
                <w:color w:val="auto"/>
                <w:kern w:val="0"/>
                <w:sz w:val="20"/>
                <w:szCs w:val="20"/>
                <w:lang w:val="en-US"/>
              </w:rPr>
            </w:pPr>
          </w:p>
        </w:tc>
        <w:tc>
          <w:tcPr>
            <w:tcW w:w="454" w:type="dxa"/>
            <w:noWrap w:val="0"/>
            <w:vAlign w:val="center"/>
          </w:tcPr>
          <w:p>
            <w:pPr>
              <w:jc w:val="left"/>
              <w:rPr>
                <w:rFonts w:hint="default" w:ascii="宋体" w:hAnsi="宋体" w:eastAsia="宋体" w:cs="宋体"/>
                <w:color w:val="auto"/>
                <w:kern w:val="0"/>
                <w:sz w:val="20"/>
                <w:szCs w:val="20"/>
                <w:lang w:val="en-US"/>
              </w:rPr>
            </w:pPr>
          </w:p>
        </w:tc>
        <w:tc>
          <w:tcPr>
            <w:tcW w:w="454" w:type="dxa"/>
            <w:noWrap w:val="0"/>
            <w:vAlign w:val="center"/>
          </w:tcPr>
          <w:p>
            <w:pPr>
              <w:jc w:val="left"/>
              <w:rPr>
                <w:rFonts w:hint="default" w:ascii="宋体" w:hAnsi="宋体" w:eastAsia="宋体" w:cs="宋体"/>
                <w:color w:val="auto"/>
                <w:kern w:val="0"/>
                <w:sz w:val="20"/>
                <w:szCs w:val="20"/>
                <w:lang w:val="en-US"/>
              </w:rPr>
            </w:pPr>
          </w:p>
        </w:tc>
        <w:tc>
          <w:tcPr>
            <w:tcW w:w="596" w:type="dxa"/>
            <w:noWrap w:val="0"/>
            <w:vAlign w:val="center"/>
          </w:tcPr>
          <w:p>
            <w:pPr>
              <w:jc w:val="left"/>
              <w:rPr>
                <w:rFonts w:hint="default" w:ascii="宋体" w:hAnsi="宋体" w:eastAsia="宋体" w:cs="宋体"/>
                <w:color w:val="auto"/>
                <w:kern w:val="0"/>
                <w:sz w:val="20"/>
                <w:szCs w:val="20"/>
                <w:lang w:val="en-US"/>
              </w:rPr>
            </w:pPr>
          </w:p>
        </w:tc>
        <w:tc>
          <w:tcPr>
            <w:tcW w:w="747" w:type="dxa"/>
            <w:noWrap w:val="0"/>
            <w:vAlign w:val="center"/>
          </w:tcPr>
          <w:p>
            <w:pPr>
              <w:keepNext w:val="0"/>
              <w:keepLines w:val="0"/>
              <w:widowControl/>
              <w:suppressLineNumbers w:val="0"/>
              <w:jc w:val="right"/>
              <w:textAlignment w:val="center"/>
              <w:rPr>
                <w:rFonts w:hint="default" w:ascii="宋体" w:hAnsi="宋体" w:eastAsia="宋体" w:cs="宋体"/>
                <w:color w:val="auto"/>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50" w:type="dxa"/>
            <w:noWrap w:val="0"/>
            <w:vAlign w:val="center"/>
          </w:tcPr>
          <w:p>
            <w:pPr>
              <w:jc w:val="left"/>
              <w:rPr>
                <w:rFonts w:hint="eastAsia" w:ascii="宋体" w:hAnsi="宋体" w:eastAsia="宋体" w:cs="宋体"/>
                <w:color w:val="auto"/>
                <w:kern w:val="0"/>
                <w:sz w:val="20"/>
                <w:szCs w:val="20"/>
              </w:rPr>
            </w:pPr>
          </w:p>
        </w:tc>
        <w:tc>
          <w:tcPr>
            <w:tcW w:w="567"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专项统计业务</w:t>
            </w:r>
          </w:p>
        </w:tc>
        <w:tc>
          <w:tcPr>
            <w:tcW w:w="850" w:type="dxa"/>
            <w:shd w:val="clear" w:color="auto" w:fill="auto"/>
            <w:noWrap w:val="0"/>
            <w:vAlign w:val="center"/>
          </w:tcPr>
          <w:p>
            <w:pPr>
              <w:jc w:val="left"/>
              <w:rPr>
                <w:rFonts w:hint="eastAsia" w:ascii="宋体" w:hAnsi="宋体" w:eastAsia="宋体" w:cs="宋体"/>
                <w:color w:val="auto"/>
                <w:kern w:val="0"/>
                <w:sz w:val="20"/>
                <w:szCs w:val="20"/>
                <w:lang w:val="en-US" w:eastAsia="zh-CN" w:bidi="ar-SA"/>
              </w:rPr>
            </w:pPr>
          </w:p>
        </w:tc>
        <w:tc>
          <w:tcPr>
            <w:tcW w:w="850" w:type="dxa"/>
            <w:shd w:val="clear" w:color="auto" w:fill="auto"/>
            <w:noWrap w:val="0"/>
            <w:vAlign w:val="center"/>
          </w:tcPr>
          <w:p>
            <w:pPr>
              <w:jc w:val="left"/>
              <w:rPr>
                <w:rFonts w:hint="eastAsia" w:ascii="宋体" w:hAnsi="宋体" w:eastAsia="宋体" w:cs="宋体"/>
                <w:color w:val="auto"/>
                <w:kern w:val="0"/>
                <w:sz w:val="20"/>
                <w:szCs w:val="20"/>
                <w:lang w:val="en-US" w:eastAsia="zh-CN" w:bidi="ar-SA"/>
              </w:rPr>
            </w:pPr>
          </w:p>
        </w:tc>
        <w:tc>
          <w:tcPr>
            <w:tcW w:w="794" w:type="dxa"/>
            <w:shd w:val="clear" w:color="auto" w:fill="auto"/>
            <w:noWrap w:val="0"/>
            <w:vAlign w:val="center"/>
          </w:tcPr>
          <w:p>
            <w:pPr>
              <w:jc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18.20</w:t>
            </w:r>
          </w:p>
        </w:tc>
        <w:tc>
          <w:tcPr>
            <w:tcW w:w="794"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18.20</w:t>
            </w: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jc w:val="left"/>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454" w:type="dxa"/>
            <w:noWrap w:val="0"/>
            <w:vAlign w:val="center"/>
          </w:tcPr>
          <w:p>
            <w:pPr>
              <w:jc w:val="left"/>
              <w:rPr>
                <w:rFonts w:hint="eastAsia" w:ascii="宋体" w:hAnsi="宋体" w:eastAsia="宋体" w:cs="宋体"/>
                <w:color w:val="auto"/>
                <w:kern w:val="0"/>
                <w:sz w:val="20"/>
                <w:szCs w:val="20"/>
              </w:rPr>
            </w:pPr>
          </w:p>
        </w:tc>
        <w:tc>
          <w:tcPr>
            <w:tcW w:w="454" w:type="dxa"/>
            <w:noWrap w:val="0"/>
            <w:vAlign w:val="center"/>
          </w:tcPr>
          <w:p>
            <w:pPr>
              <w:jc w:val="left"/>
              <w:rPr>
                <w:rFonts w:hint="eastAsia" w:ascii="宋体" w:hAnsi="宋体" w:eastAsia="宋体" w:cs="宋体"/>
                <w:color w:val="auto"/>
                <w:kern w:val="0"/>
                <w:sz w:val="20"/>
                <w:szCs w:val="20"/>
              </w:rPr>
            </w:pPr>
          </w:p>
        </w:tc>
        <w:tc>
          <w:tcPr>
            <w:tcW w:w="596" w:type="dxa"/>
            <w:noWrap w:val="0"/>
            <w:vAlign w:val="center"/>
          </w:tcPr>
          <w:p>
            <w:pPr>
              <w:jc w:val="left"/>
              <w:rPr>
                <w:rFonts w:hint="eastAsia" w:ascii="宋体" w:hAnsi="宋体" w:eastAsia="宋体" w:cs="宋体"/>
                <w:color w:val="auto"/>
                <w:kern w:val="0"/>
                <w:sz w:val="20"/>
                <w:szCs w:val="20"/>
              </w:rPr>
            </w:pPr>
          </w:p>
        </w:tc>
        <w:tc>
          <w:tcPr>
            <w:tcW w:w="747"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50" w:type="dxa"/>
            <w:noWrap w:val="0"/>
            <w:vAlign w:val="center"/>
          </w:tcPr>
          <w:p>
            <w:pPr>
              <w:jc w:val="left"/>
              <w:rPr>
                <w:rFonts w:hint="eastAsia" w:ascii="宋体" w:hAnsi="宋体" w:eastAsia="宋体" w:cs="宋体"/>
                <w:color w:val="auto"/>
                <w:sz w:val="20"/>
                <w:szCs w:val="20"/>
              </w:rPr>
            </w:pPr>
          </w:p>
        </w:tc>
        <w:tc>
          <w:tcPr>
            <w:tcW w:w="567" w:type="dxa"/>
            <w:noWrap w:val="0"/>
            <w:vAlign w:val="center"/>
          </w:tcPr>
          <w:p>
            <w:pPr>
              <w:jc w:val="left"/>
              <w:rPr>
                <w:rFonts w:hint="eastAsia" w:ascii="宋体" w:hAnsi="宋体" w:eastAsia="宋体" w:cs="宋体"/>
                <w:color w:val="auto"/>
                <w:sz w:val="20"/>
                <w:szCs w:val="20"/>
              </w:rPr>
            </w:pPr>
          </w:p>
        </w:tc>
        <w:tc>
          <w:tcPr>
            <w:tcW w:w="850"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综合统计业务费</w:t>
            </w:r>
          </w:p>
        </w:tc>
        <w:tc>
          <w:tcPr>
            <w:tcW w:w="850"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四平市统计局铁东区分局</w:t>
            </w:r>
          </w:p>
        </w:tc>
        <w:tc>
          <w:tcPr>
            <w:tcW w:w="794"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18.20</w:t>
            </w:r>
          </w:p>
        </w:tc>
        <w:tc>
          <w:tcPr>
            <w:tcW w:w="794"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18.20</w:t>
            </w: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jc w:val="left"/>
              <w:rPr>
                <w:rFonts w:hint="eastAsia" w:ascii="宋体" w:hAnsi="宋体" w:eastAsia="宋体" w:cs="宋体"/>
                <w:color w:val="auto"/>
                <w:kern w:val="0"/>
                <w:sz w:val="20"/>
                <w:szCs w:val="20"/>
              </w:rPr>
            </w:pPr>
          </w:p>
        </w:tc>
        <w:tc>
          <w:tcPr>
            <w:tcW w:w="454" w:type="dxa"/>
            <w:noWrap w:val="0"/>
            <w:vAlign w:val="center"/>
          </w:tcPr>
          <w:p>
            <w:pPr>
              <w:jc w:val="left"/>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596"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747"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0" w:type="dxa"/>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合计</w:t>
            </w:r>
          </w:p>
        </w:tc>
        <w:tc>
          <w:tcPr>
            <w:tcW w:w="567" w:type="dxa"/>
            <w:noWrap w:val="0"/>
            <w:vAlign w:val="center"/>
          </w:tcPr>
          <w:p>
            <w:pPr>
              <w:jc w:val="center"/>
              <w:rPr>
                <w:rFonts w:hint="eastAsia" w:ascii="宋体" w:hAnsi="宋体" w:eastAsia="宋体" w:cs="宋体"/>
                <w:color w:val="auto"/>
                <w:sz w:val="20"/>
                <w:szCs w:val="20"/>
              </w:rPr>
            </w:pPr>
          </w:p>
        </w:tc>
        <w:tc>
          <w:tcPr>
            <w:tcW w:w="850" w:type="dxa"/>
            <w:noWrap w:val="0"/>
            <w:vAlign w:val="center"/>
          </w:tcPr>
          <w:p>
            <w:pPr>
              <w:jc w:val="center"/>
              <w:rPr>
                <w:rFonts w:hint="eastAsia" w:ascii="宋体" w:hAnsi="宋体" w:eastAsia="宋体" w:cs="宋体"/>
                <w:color w:val="auto"/>
                <w:kern w:val="0"/>
                <w:sz w:val="20"/>
                <w:szCs w:val="20"/>
              </w:rPr>
            </w:pPr>
          </w:p>
        </w:tc>
        <w:tc>
          <w:tcPr>
            <w:tcW w:w="850" w:type="dxa"/>
            <w:noWrap w:val="0"/>
            <w:vAlign w:val="center"/>
          </w:tcPr>
          <w:p>
            <w:pPr>
              <w:jc w:val="center"/>
              <w:rPr>
                <w:rFonts w:hint="eastAsia" w:ascii="宋体" w:hAnsi="宋体" w:eastAsia="宋体" w:cs="宋体"/>
                <w:color w:val="auto"/>
                <w:kern w:val="0"/>
                <w:sz w:val="20"/>
                <w:szCs w:val="20"/>
              </w:rPr>
            </w:pPr>
          </w:p>
        </w:tc>
        <w:tc>
          <w:tcPr>
            <w:tcW w:w="794" w:type="dxa"/>
            <w:noWrap w:val="0"/>
            <w:vAlign w:val="center"/>
          </w:tcPr>
          <w:p>
            <w:pPr>
              <w:jc w:val="center"/>
              <w:rPr>
                <w:rFonts w:hint="eastAsia"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18.20</w:t>
            </w:r>
          </w:p>
        </w:tc>
        <w:tc>
          <w:tcPr>
            <w:tcW w:w="794"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iCs w:val="0"/>
                <w:color w:val="auto"/>
                <w:kern w:val="0"/>
                <w:sz w:val="20"/>
                <w:szCs w:val="20"/>
                <w:u w:val="none"/>
                <w:lang w:val="en-US" w:eastAsia="zh-CN" w:bidi="ar"/>
              </w:rPr>
              <w:t>18.20</w:t>
            </w: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keepNext w:val="0"/>
              <w:keepLines w:val="0"/>
              <w:widowControl/>
              <w:suppressLineNumbers w:val="0"/>
              <w:jc w:val="right"/>
              <w:textAlignment w:val="center"/>
              <w:rPr>
                <w:rFonts w:hint="eastAsia" w:ascii="宋体" w:hAnsi="宋体" w:eastAsia="宋体" w:cs="宋体"/>
                <w:color w:val="auto"/>
                <w:kern w:val="0"/>
                <w:sz w:val="20"/>
                <w:szCs w:val="20"/>
              </w:rPr>
            </w:pPr>
          </w:p>
        </w:tc>
        <w:tc>
          <w:tcPr>
            <w:tcW w:w="454" w:type="dxa"/>
            <w:noWrap w:val="0"/>
            <w:vAlign w:val="center"/>
          </w:tcPr>
          <w:p>
            <w:pPr>
              <w:spacing w:line="700" w:lineRule="exact"/>
              <w:jc w:val="center"/>
              <w:rPr>
                <w:rFonts w:hint="eastAsia" w:ascii="宋体" w:hAnsi="宋体" w:eastAsia="宋体" w:cs="宋体"/>
                <w:color w:val="auto"/>
                <w:kern w:val="0"/>
                <w:sz w:val="20"/>
                <w:szCs w:val="20"/>
              </w:rPr>
            </w:pPr>
          </w:p>
        </w:tc>
        <w:tc>
          <w:tcPr>
            <w:tcW w:w="454" w:type="dxa"/>
            <w:noWrap w:val="0"/>
            <w:vAlign w:val="center"/>
          </w:tcPr>
          <w:p>
            <w:pPr>
              <w:spacing w:line="700" w:lineRule="exact"/>
              <w:jc w:val="center"/>
              <w:rPr>
                <w:rFonts w:hint="eastAsia" w:ascii="宋体" w:hAnsi="宋体" w:eastAsia="宋体" w:cs="宋体"/>
                <w:color w:val="auto"/>
                <w:kern w:val="0"/>
                <w:sz w:val="20"/>
                <w:szCs w:val="20"/>
              </w:rPr>
            </w:pPr>
          </w:p>
        </w:tc>
        <w:tc>
          <w:tcPr>
            <w:tcW w:w="454" w:type="dxa"/>
            <w:noWrap w:val="0"/>
            <w:vAlign w:val="center"/>
          </w:tcPr>
          <w:p>
            <w:pPr>
              <w:spacing w:line="700" w:lineRule="exact"/>
              <w:jc w:val="center"/>
              <w:rPr>
                <w:rFonts w:hint="eastAsia" w:ascii="宋体" w:hAnsi="宋体" w:eastAsia="宋体" w:cs="宋体"/>
                <w:color w:val="auto"/>
                <w:kern w:val="0"/>
                <w:sz w:val="20"/>
                <w:szCs w:val="20"/>
              </w:rPr>
            </w:pPr>
          </w:p>
        </w:tc>
        <w:tc>
          <w:tcPr>
            <w:tcW w:w="454" w:type="dxa"/>
            <w:noWrap w:val="0"/>
            <w:vAlign w:val="center"/>
          </w:tcPr>
          <w:p>
            <w:pPr>
              <w:spacing w:line="700" w:lineRule="exact"/>
              <w:jc w:val="center"/>
              <w:rPr>
                <w:rFonts w:hint="eastAsia" w:ascii="宋体" w:hAnsi="宋体" w:eastAsia="宋体" w:cs="宋体"/>
                <w:color w:val="auto"/>
                <w:kern w:val="0"/>
                <w:sz w:val="20"/>
                <w:szCs w:val="20"/>
              </w:rPr>
            </w:pPr>
          </w:p>
        </w:tc>
        <w:tc>
          <w:tcPr>
            <w:tcW w:w="596" w:type="dxa"/>
            <w:noWrap w:val="0"/>
            <w:vAlign w:val="center"/>
          </w:tcPr>
          <w:p>
            <w:pPr>
              <w:spacing w:line="700" w:lineRule="exact"/>
              <w:jc w:val="center"/>
              <w:rPr>
                <w:rFonts w:hint="eastAsia" w:ascii="宋体" w:hAnsi="宋体" w:eastAsia="宋体" w:cs="宋体"/>
                <w:color w:val="auto"/>
                <w:kern w:val="0"/>
                <w:sz w:val="20"/>
                <w:szCs w:val="20"/>
              </w:rPr>
            </w:pPr>
          </w:p>
        </w:tc>
        <w:tc>
          <w:tcPr>
            <w:tcW w:w="747" w:type="dxa"/>
            <w:noWrap w:val="0"/>
            <w:vAlign w:val="center"/>
          </w:tcPr>
          <w:p>
            <w:pPr>
              <w:spacing w:line="700" w:lineRule="exact"/>
              <w:jc w:val="center"/>
              <w:rPr>
                <w:rFonts w:hint="eastAsia" w:ascii="宋体" w:hAnsi="宋体" w:eastAsia="宋体" w:cs="宋体"/>
                <w:color w:val="auto"/>
                <w:kern w:val="0"/>
                <w:sz w:val="20"/>
                <w:szCs w:val="20"/>
              </w:rPr>
            </w:pPr>
          </w:p>
        </w:tc>
      </w:tr>
    </w:tbl>
    <w:p>
      <w:pPr>
        <w:ind w:firstLine="640" w:firstLineChars="200"/>
        <w:rPr>
          <w:rFonts w:eastAsia="楷体"/>
          <w:color w:val="auto"/>
          <w:kern w:val="0"/>
          <w:szCs w:val="32"/>
        </w:rPr>
      </w:pPr>
    </w:p>
    <w:p>
      <w:pPr>
        <w:ind w:firstLine="640" w:firstLineChars="200"/>
        <w:rPr>
          <w:rFonts w:eastAsia="楷体"/>
          <w:color w:val="auto"/>
          <w:kern w:val="0"/>
          <w:szCs w:val="32"/>
        </w:rPr>
      </w:pP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Calibri" w:hAnsi="Calibri" w:eastAsia="方正小标宋简体" w:cs="Times New Roman"/>
                <w:color w:val="auto"/>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color w:val="auto"/>
                <w:kern w:val="0"/>
                <w:sz w:val="20"/>
                <w:szCs w:val="20"/>
                <w:vertAlign w:val="baseline"/>
                <w:lang w:eastAsia="zh-CN"/>
              </w:rPr>
            </w:pPr>
            <w:r>
              <w:rPr>
                <w:rFonts w:ascii="Calibri" w:hAnsi="Calibri" w:eastAsia="华文细黑" w:cs="Times New Roman"/>
                <w:color w:val="auto"/>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sz w:val="20"/>
                <w:szCs w:val="20"/>
                <w:lang w:val="en-US" w:eastAsia="zh-CN"/>
              </w:rPr>
              <w:t>单位名称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sz w:val="20"/>
                <w:szCs w:val="20"/>
                <w:lang w:eastAsia="zh-CN"/>
              </w:rPr>
              <w:t>委托事</w:t>
            </w:r>
            <w:r>
              <w:rPr>
                <w:rFonts w:hint="eastAsia" w:ascii="华文细黑" w:hAnsi="华文细黑" w:eastAsia="华文细黑" w:cs="华文细黑"/>
                <w:color w:val="auto"/>
                <w:sz w:val="20"/>
                <w:szCs w:val="20"/>
                <w:lang w:val="en-US" w:eastAsia="zh-CN"/>
              </w:rPr>
              <w:t xml:space="preserve">    </w:t>
            </w:r>
            <w:r>
              <w:rPr>
                <w:rFonts w:hint="eastAsia" w:ascii="华文细黑" w:hAnsi="华文细黑" w:eastAsia="华文细黑" w:cs="华文细黑"/>
                <w:color w:val="auto"/>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是否政府购买服务</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（是</w:t>
            </w:r>
            <w:r>
              <w:rPr>
                <w:rFonts w:hint="eastAsia" w:ascii="华文细黑" w:hAnsi="华文细黑" w:eastAsia="华文细黑" w:cs="华文细黑"/>
                <w:color w:val="auto"/>
                <w:kern w:val="0"/>
                <w:sz w:val="20"/>
                <w:szCs w:val="20"/>
                <w:vertAlign w:val="baseline"/>
                <w:lang w:val="en-US" w:eastAsia="zh-CN"/>
              </w:rPr>
              <w:t>/否</w:t>
            </w:r>
            <w:r>
              <w:rPr>
                <w:rFonts w:hint="eastAsia" w:ascii="华文细黑" w:hAnsi="华文细黑" w:eastAsia="华文细黑" w:cs="华文细黑"/>
                <w:color w:val="auto"/>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是否政</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府采购</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（是</w:t>
            </w:r>
            <w:r>
              <w:rPr>
                <w:rFonts w:hint="eastAsia" w:ascii="华文细黑" w:hAnsi="华文细黑" w:eastAsia="华文细黑" w:cs="华文细黑"/>
                <w:color w:val="auto"/>
                <w:kern w:val="0"/>
                <w:sz w:val="20"/>
                <w:szCs w:val="20"/>
                <w:vertAlign w:val="baseline"/>
                <w:lang w:val="en-US" w:eastAsia="zh-CN"/>
              </w:rPr>
              <w:t>/否</w:t>
            </w:r>
            <w:r>
              <w:rPr>
                <w:rFonts w:hint="eastAsia" w:ascii="华文细黑" w:hAnsi="华文细黑" w:eastAsia="华文细黑" w:cs="华文细黑"/>
                <w:color w:val="auto"/>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Calibri" w:hAnsi="Calibri" w:eastAsia="华文细黑" w:cs="Times New Roman"/>
                <w:color w:val="auto"/>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color w:val="auto"/>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color w:val="auto"/>
                <w:kern w:val="0"/>
                <w:sz w:val="20"/>
                <w:szCs w:val="20"/>
                <w:vertAlign w:val="baseline"/>
              </w:rPr>
            </w:pPr>
          </w:p>
        </w:tc>
      </w:tr>
    </w:tbl>
    <w:p>
      <w:pPr>
        <w:ind w:firstLine="640" w:firstLineChars="200"/>
        <w:rPr>
          <w:rFonts w:eastAsia="楷体"/>
          <w:color w:val="auto"/>
          <w:kern w:val="0"/>
          <w:szCs w:val="32"/>
        </w:rPr>
      </w:pPr>
    </w:p>
    <w:p>
      <w:pPr>
        <w:ind w:firstLine="640" w:firstLineChars="200"/>
        <w:rPr>
          <w:rFonts w:eastAsia="楷体"/>
          <w:color w:val="auto"/>
          <w:kern w:val="0"/>
          <w:szCs w:val="32"/>
        </w:rPr>
      </w:pPr>
    </w:p>
    <w:p>
      <w:pPr>
        <w:ind w:firstLine="640" w:firstLineChars="200"/>
        <w:rPr>
          <w:rFonts w:eastAsia="楷体"/>
          <w:color w:val="auto"/>
          <w:kern w:val="0"/>
          <w:szCs w:val="32"/>
        </w:rPr>
      </w:pPr>
    </w:p>
    <w:p>
      <w:pPr>
        <w:ind w:firstLine="640" w:firstLineChars="200"/>
        <w:rPr>
          <w:rFonts w:eastAsia="楷体"/>
          <w:color w:val="auto"/>
          <w:kern w:val="0"/>
          <w:szCs w:val="32"/>
        </w:rPr>
      </w:pPr>
    </w:p>
    <w:p>
      <w:pPr>
        <w:ind w:firstLine="640" w:firstLineChars="200"/>
        <w:rPr>
          <w:rFonts w:eastAsia="楷体"/>
          <w:color w:val="auto"/>
          <w:kern w:val="0"/>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850"/>
        <w:gridCol w:w="1038"/>
        <w:gridCol w:w="778"/>
        <w:gridCol w:w="1417"/>
        <w:gridCol w:w="641"/>
        <w:gridCol w:w="170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0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7" w:type="dxa"/>
            <w:tcBorders>
              <w:top w:val="single" w:color="000000" w:sz="4" w:space="0"/>
              <w:left w:val="single" w:color="000000" w:sz="4" w:space="0"/>
              <w:bottom w:val="single" w:color="000000" w:sz="4" w:space="0"/>
              <w:right w:val="single" w:color="000000" w:sz="4" w:space="0"/>
            </w:tcBorders>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113" w:rightChars="0" w:hanging="400" w:hangingChars="200"/>
              <w:jc w:val="center"/>
              <w:textAlignment w:val="auto"/>
              <w:outlineLvl w:val="9"/>
              <w:rPr>
                <w:rFonts w:hint="default" w:ascii="宋体" w:hAnsi="宋体" w:eastAsia="宋体" w:cs="宋体"/>
                <w:color w:val="auto"/>
                <w:kern w:val="0"/>
                <w:sz w:val="20"/>
                <w:szCs w:val="20"/>
                <w:vertAlign w:val="baseline"/>
                <w:lang w:val="en-US" w:eastAsia="zh-CN"/>
              </w:rPr>
            </w:pPr>
            <w:r>
              <w:rPr>
                <w:rFonts w:hint="eastAsia" w:ascii="宋体" w:hAnsi="宋体" w:eastAsia="宋体" w:cs="宋体"/>
                <w:color w:val="auto"/>
                <w:kern w:val="0"/>
                <w:sz w:val="20"/>
                <w:szCs w:val="20"/>
                <w:vertAlign w:val="baseline"/>
                <w:lang w:val="en-US" w:eastAsia="zh-CN"/>
              </w:rPr>
              <w:t>单位名称</w:t>
            </w:r>
          </w:p>
        </w:tc>
        <w:tc>
          <w:tcPr>
            <w:tcW w:w="567" w:type="dxa"/>
            <w:tcBorders>
              <w:top w:val="single" w:color="000000" w:sz="4" w:space="0"/>
              <w:left w:val="single" w:color="000000" w:sz="4" w:space="0"/>
              <w:bottom w:val="single" w:color="000000" w:sz="4" w:space="0"/>
              <w:right w:val="single" w:color="000000" w:sz="4" w:space="0"/>
            </w:tcBorders>
            <w:noWrap w:val="0"/>
            <w:textDirection w:val="tbLrV"/>
            <w:vAlign w:val="center"/>
          </w:tcPr>
          <w:p>
            <w:pPr>
              <w:spacing w:line="240" w:lineRule="auto"/>
              <w:ind w:left="113" w:right="113"/>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项目名称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年度资</w:t>
            </w:r>
            <w:r>
              <w:rPr>
                <w:rFonts w:hint="eastAsia" w:ascii="宋体" w:hAnsi="宋体" w:eastAsia="宋体" w:cs="宋体"/>
                <w:color w:val="auto"/>
                <w:kern w:val="0"/>
                <w:sz w:val="20"/>
                <w:szCs w:val="20"/>
                <w:vertAlign w:val="baseline"/>
                <w:lang w:val="en-US" w:eastAsia="zh-CN"/>
              </w:rPr>
              <w:t xml:space="preserve">  </w:t>
            </w:r>
            <w:r>
              <w:rPr>
                <w:rFonts w:hint="eastAsia" w:ascii="宋体" w:hAnsi="宋体" w:eastAsia="宋体" w:cs="宋体"/>
                <w:color w:val="auto"/>
                <w:kern w:val="0"/>
                <w:sz w:val="20"/>
                <w:szCs w:val="20"/>
                <w:vertAlign w:val="baseline"/>
                <w:lang w:eastAsia="zh-CN"/>
              </w:rPr>
              <w:t>金总额</w:t>
            </w:r>
            <w:r>
              <w:rPr>
                <w:rFonts w:hint="eastAsia" w:ascii="宋体" w:hAnsi="宋体" w:eastAsia="宋体" w:cs="宋体"/>
                <w:color w:val="auto"/>
                <w:kern w:val="0"/>
                <w:sz w:val="20"/>
                <w:szCs w:val="20"/>
                <w:vertAlign w:val="baseline"/>
                <w:lang w:val="en-US" w:eastAsia="zh-CN"/>
              </w:rPr>
              <w:t xml:space="preserve">   </w:t>
            </w:r>
            <w:r>
              <w:rPr>
                <w:rFonts w:hint="eastAsia" w:ascii="宋体" w:hAnsi="宋体" w:eastAsia="宋体" w:cs="宋体"/>
                <w:color w:val="auto"/>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年度绩</w:t>
            </w:r>
            <w:r>
              <w:rPr>
                <w:rFonts w:hint="eastAsia" w:ascii="宋体" w:hAnsi="宋体" w:eastAsia="宋体" w:cs="宋体"/>
                <w:color w:val="auto"/>
                <w:kern w:val="0"/>
                <w:sz w:val="20"/>
                <w:szCs w:val="20"/>
                <w:vertAlign w:val="baseline"/>
                <w:lang w:val="en-US" w:eastAsia="zh-CN"/>
              </w:rPr>
              <w:t xml:space="preserve">  </w:t>
            </w:r>
            <w:r>
              <w:rPr>
                <w:rFonts w:hint="eastAsia" w:ascii="宋体" w:hAnsi="宋体" w:eastAsia="宋体" w:cs="宋体"/>
                <w:color w:val="auto"/>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一级指标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三级指标</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7" w:type="dxa"/>
            <w:vMerge w:val="restart"/>
            <w:tcBorders>
              <w:top w:val="single" w:color="000000" w:sz="4" w:space="0"/>
              <w:left w:val="single" w:color="000000" w:sz="4" w:space="0"/>
              <w:right w:val="single" w:color="000000" w:sz="4" w:space="0"/>
            </w:tcBorders>
            <w:noWrap w:val="0"/>
            <w:textDirection w:val="tbLrV"/>
            <w:vAlign w:val="center"/>
          </w:tcPr>
          <w:p>
            <w:pPr>
              <w:spacing w:line="240" w:lineRule="auto"/>
              <w:ind w:left="113" w:right="113"/>
              <w:jc w:val="center"/>
              <w:rPr>
                <w:rFonts w:hint="eastAsia" w:ascii="宋体" w:hAnsi="宋体" w:eastAsia="宋体" w:cs="宋体"/>
                <w:color w:val="auto"/>
                <w:kern w:val="0"/>
                <w:sz w:val="20"/>
                <w:szCs w:val="20"/>
                <w:vertAlign w:val="baseline"/>
                <w:lang w:val="en-US" w:eastAsia="zh-CN"/>
              </w:rPr>
            </w:pPr>
            <w:r>
              <w:rPr>
                <w:rFonts w:hint="eastAsia" w:ascii="宋体" w:hAnsi="宋体" w:eastAsia="宋体" w:cs="宋体"/>
                <w:color w:val="auto"/>
                <w:kern w:val="0"/>
                <w:sz w:val="20"/>
                <w:szCs w:val="20"/>
                <w:vertAlign w:val="baseline"/>
                <w:lang w:val="en-US" w:eastAsia="zh-CN"/>
              </w:rPr>
              <w:t>四平市统计局铁东区分局</w:t>
            </w:r>
          </w:p>
        </w:tc>
        <w:tc>
          <w:tcPr>
            <w:tcW w:w="567" w:type="dxa"/>
            <w:vMerge w:val="restart"/>
            <w:tcBorders>
              <w:top w:val="single" w:color="000000" w:sz="4" w:space="0"/>
              <w:left w:val="single" w:color="000000" w:sz="4" w:space="0"/>
              <w:right w:val="single" w:color="000000" w:sz="4" w:space="0"/>
            </w:tcBorders>
            <w:noWrap w:val="0"/>
            <w:textDirection w:val="tbLrV"/>
            <w:vAlign w:val="center"/>
          </w:tcPr>
          <w:p>
            <w:pPr>
              <w:keepNext w:val="0"/>
              <w:keepLines w:val="0"/>
              <w:widowControl/>
              <w:suppressLineNumbers w:val="0"/>
              <w:ind w:left="113" w:right="113"/>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综合统计业务费</w:t>
            </w:r>
          </w:p>
        </w:tc>
        <w:tc>
          <w:tcPr>
            <w:tcW w:w="8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18.20</w:t>
            </w:r>
          </w:p>
        </w:tc>
        <w:tc>
          <w:tcPr>
            <w:tcW w:w="103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通过开展各类统计调查、统计监测、统计执法、统计资料开发等相关工作，为省、市、区三级政府提供经济运行各项指标，为政府研判经济发展态势提供经济发展数据。以达到提高基层统计工作人员的业务能力，确保数据质量。</w:t>
            </w:r>
          </w:p>
        </w:tc>
        <w:tc>
          <w:tcPr>
            <w:tcW w:w="77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i w:val="0"/>
                <w:iCs w:val="0"/>
                <w:color w:val="auto"/>
                <w:kern w:val="0"/>
                <w:sz w:val="20"/>
                <w:szCs w:val="20"/>
                <w:u w:val="none"/>
                <w:lang w:val="en-US" w:eastAsia="zh-CN" w:bidi="ar"/>
              </w:rPr>
              <w:t>产出指标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i w:val="0"/>
                <w:iCs w:val="0"/>
                <w:color w:val="auto"/>
                <w:kern w:val="0"/>
                <w:sz w:val="20"/>
                <w:szCs w:val="20"/>
                <w:u w:val="none"/>
                <w:lang w:val="en-US" w:eastAsia="zh-CN" w:bidi="ar"/>
              </w:rPr>
              <w:t>数量指标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统计分析报告篇数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反应统计分析报告篇数情况为决策提供依据</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≥6篇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56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778"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color w:val="auto"/>
                <w:kern w:val="0"/>
                <w:sz w:val="20"/>
                <w:szCs w:val="20"/>
                <w:vertAlign w:val="baseline"/>
                <w:lang w:eastAsia="zh-CN"/>
              </w:rPr>
              <w:t>成本指标</w:t>
            </w:r>
          </w:p>
        </w:tc>
        <w:tc>
          <w:tcPr>
            <w:tcW w:w="1417"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i w:val="0"/>
                <w:iCs w:val="0"/>
                <w:color w:val="auto"/>
                <w:kern w:val="0"/>
                <w:sz w:val="20"/>
                <w:szCs w:val="20"/>
                <w:u w:val="none"/>
                <w:lang w:val="en-US" w:eastAsia="zh-CN" w:bidi="ar"/>
              </w:rPr>
              <w:t>时效指标</w:t>
            </w:r>
          </w:p>
        </w:tc>
        <w:tc>
          <w:tcPr>
            <w:tcW w:w="641"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统计公报撰写完成时间</w:t>
            </w:r>
          </w:p>
        </w:tc>
        <w:tc>
          <w:tcPr>
            <w:tcW w:w="1701" w:type="dxa"/>
            <w:tcBorders>
              <w:top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反映及时撰写2025年度统计公报经济信息完成时间</w:t>
            </w:r>
          </w:p>
        </w:tc>
        <w:tc>
          <w:tcPr>
            <w:tcW w:w="641"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7月31日前</w:t>
            </w:r>
          </w:p>
        </w:tc>
        <w:tc>
          <w:tcPr>
            <w:tcW w:w="641"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56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778"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color w:val="auto"/>
                <w:kern w:val="0"/>
                <w:sz w:val="20"/>
                <w:szCs w:val="20"/>
                <w:vertAlign w:val="baseline"/>
                <w:lang w:eastAsia="zh-CN"/>
              </w:rPr>
              <w:t>效益指标</w:t>
            </w:r>
          </w:p>
        </w:tc>
        <w:tc>
          <w:tcPr>
            <w:tcW w:w="1417"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i w:val="0"/>
                <w:iCs w:val="0"/>
                <w:color w:val="auto"/>
                <w:kern w:val="0"/>
                <w:sz w:val="20"/>
                <w:szCs w:val="20"/>
                <w:u w:val="none"/>
                <w:lang w:val="en-US" w:eastAsia="zh-CN" w:bidi="ar"/>
              </w:rPr>
              <w:t>经济成本指标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统计年鉴印刷成本费用</w:t>
            </w:r>
          </w:p>
        </w:tc>
        <w:tc>
          <w:tcPr>
            <w:tcW w:w="170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反映编印2025年度统计年鉴印刷成本费用情况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≤260元/册</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56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850"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0"/>
                <w:szCs w:val="20"/>
                <w:vertAlign w:val="baseline"/>
              </w:rPr>
            </w:pP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color w:val="auto"/>
                <w:kern w:val="0"/>
                <w:sz w:val="20"/>
                <w:szCs w:val="20"/>
                <w:vertAlign w:val="baseline"/>
                <w:lang w:eastAsia="zh-CN"/>
              </w:rPr>
              <w:t>满意度指标</w:t>
            </w:r>
          </w:p>
        </w:tc>
        <w:tc>
          <w:tcPr>
            <w:tcW w:w="1417"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lang w:eastAsia="zh-CN"/>
              </w:rPr>
            </w:pPr>
            <w:r>
              <w:rPr>
                <w:rFonts w:hint="eastAsia" w:ascii="宋体" w:hAnsi="宋体" w:eastAsia="宋体" w:cs="宋体"/>
                <w:i w:val="0"/>
                <w:iCs w:val="0"/>
                <w:color w:val="auto"/>
                <w:kern w:val="0"/>
                <w:sz w:val="20"/>
                <w:szCs w:val="20"/>
                <w:u w:val="none"/>
                <w:lang w:val="en-US" w:eastAsia="zh-CN" w:bidi="ar"/>
              </w:rPr>
              <w:t>社会效益指标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向社会公众提供统计公报</w:t>
            </w:r>
          </w:p>
        </w:tc>
        <w:tc>
          <w:tcPr>
            <w:tcW w:w="1701" w:type="dxa"/>
            <w:noWrap w:val="0"/>
            <w:vAlign w:val="center"/>
          </w:tcPr>
          <w:p>
            <w:pPr>
              <w:keepNext w:val="0"/>
              <w:keepLines w:val="0"/>
              <w:widowControl/>
              <w:suppressLineNumbers w:val="0"/>
              <w:jc w:val="left"/>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反映向社会公众提供统计公报篇数，为社会各界了解统计数据提供优质服务。</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color w:val="auto"/>
                <w:kern w:val="0"/>
                <w:sz w:val="20"/>
                <w:szCs w:val="20"/>
                <w:vertAlign w:val="baseline"/>
                <w:lang w:val="en-US" w:eastAsia="zh-CN"/>
              </w:rPr>
              <w:t>=1篇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vertAlign w:val="baseline"/>
              </w:rPr>
            </w:pPr>
            <w:r>
              <w:rPr>
                <w:rFonts w:hint="eastAsia" w:ascii="宋体" w:hAnsi="宋体" w:eastAsia="宋体" w:cs="宋体"/>
                <w:i w:val="0"/>
                <w:iCs w:val="0"/>
                <w:color w:val="auto"/>
                <w:kern w:val="0"/>
                <w:sz w:val="20"/>
                <w:szCs w:val="20"/>
                <w:u w:val="none"/>
                <w:lang w:val="en-US" w:eastAsia="zh-CN" w:bidi="ar"/>
              </w:rPr>
              <w:t>30</w:t>
            </w:r>
          </w:p>
        </w:tc>
      </w:tr>
    </w:tbl>
    <w:p>
      <w:pPr>
        <w:spacing w:line="700" w:lineRule="exact"/>
        <w:rPr>
          <w:rFonts w:eastAsia="楷体"/>
          <w:color w:val="auto"/>
          <w:kern w:val="0"/>
          <w:szCs w:val="32"/>
        </w:rPr>
      </w:pPr>
    </w:p>
    <w:p>
      <w:pPr>
        <w:spacing w:line="700" w:lineRule="exact"/>
        <w:rPr>
          <w:rFonts w:hint="eastAsia" w:eastAsia="楷体"/>
          <w:color w:val="auto"/>
          <w:kern w:val="0"/>
          <w:szCs w:val="32"/>
        </w:rPr>
      </w:pPr>
      <w:r>
        <w:rPr>
          <w:rFonts w:hint="eastAsia" w:eastAsia="楷体"/>
          <w:color w:val="auto"/>
          <w:kern w:val="0"/>
          <w:szCs w:val="32"/>
        </w:rPr>
        <w:br w:type="page"/>
      </w:r>
    </w:p>
    <w:p>
      <w:pPr>
        <w:ind w:firstLine="640" w:firstLineChars="200"/>
        <w:jc w:val="center"/>
        <w:rPr>
          <w:rFonts w:eastAsia="黑体"/>
          <w:color w:val="auto"/>
        </w:rPr>
      </w:pPr>
      <w:r>
        <w:rPr>
          <w:rFonts w:eastAsia="黑体"/>
          <w:color w:val="auto"/>
        </w:rPr>
        <w:t>第三部分 情况说明</w:t>
      </w:r>
    </w:p>
    <w:p>
      <w:pPr>
        <w:rPr>
          <w:rFonts w:eastAsia="仿宋"/>
          <w:color w:val="auto"/>
          <w:szCs w:val="32"/>
        </w:rPr>
      </w:pPr>
    </w:p>
    <w:p>
      <w:pPr>
        <w:ind w:firstLine="640" w:firstLineChars="200"/>
        <w:rPr>
          <w:rFonts w:eastAsia="黑体"/>
          <w:color w:val="auto"/>
          <w:szCs w:val="32"/>
        </w:rPr>
      </w:pPr>
      <w:r>
        <w:rPr>
          <w:rFonts w:eastAsia="黑体"/>
          <w:color w:val="auto"/>
          <w:szCs w:val="32"/>
        </w:rPr>
        <w:t>一、20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年收支预算总体情况</w:t>
      </w:r>
    </w:p>
    <w:p>
      <w:pPr>
        <w:ind w:firstLine="640" w:firstLineChars="200"/>
        <w:rPr>
          <w:rFonts w:hint="default" w:eastAsia="仿宋_GB2312"/>
          <w:color w:val="auto"/>
          <w:szCs w:val="32"/>
          <w:lang w:val="en-US" w:eastAsia="zh-CN"/>
        </w:rPr>
      </w:pPr>
      <w:r>
        <w:rPr>
          <w:color w:val="auto"/>
          <w:szCs w:val="32"/>
        </w:rPr>
        <w:t>按照综合预算的原则，所有收入和支出全部纳入</w:t>
      </w:r>
      <w:r>
        <w:rPr>
          <w:rFonts w:hint="eastAsia"/>
          <w:color w:val="auto"/>
          <w:szCs w:val="32"/>
          <w:lang w:val="en-US" w:eastAsia="zh-CN"/>
        </w:rPr>
        <w:t>单位</w:t>
      </w:r>
      <w:r>
        <w:rPr>
          <w:color w:val="auto"/>
          <w:szCs w:val="32"/>
        </w:rPr>
        <w:t>预算管理。收入包括</w:t>
      </w:r>
      <w:r>
        <w:rPr>
          <w:color w:val="auto"/>
          <w:sz w:val="32"/>
          <w:szCs w:val="32"/>
        </w:rPr>
        <w:t>：</w:t>
      </w:r>
      <w:r>
        <w:rPr>
          <w:rFonts w:hint="eastAsia"/>
          <w:color w:val="auto"/>
          <w:szCs w:val="32"/>
        </w:rPr>
        <w:t>一般公共预算拨款收入；支出包括：一般公共服务支出、社会保障和就业支出、卫生健康支出及住房保障支出。</w:t>
      </w:r>
      <w:r>
        <w:rPr>
          <w:color w:val="auto"/>
          <w:szCs w:val="32"/>
        </w:rPr>
        <w:t>20</w:t>
      </w:r>
      <w:r>
        <w:rPr>
          <w:rFonts w:hint="eastAsia"/>
          <w:color w:val="auto"/>
          <w:szCs w:val="32"/>
        </w:rPr>
        <w:t>2</w:t>
      </w:r>
      <w:r>
        <w:rPr>
          <w:rFonts w:hint="eastAsia"/>
          <w:color w:val="auto"/>
          <w:szCs w:val="32"/>
          <w:lang w:val="en-US" w:eastAsia="zh-CN"/>
        </w:rPr>
        <w:t>5</w:t>
      </w:r>
      <w:r>
        <w:rPr>
          <w:color w:val="auto"/>
          <w:szCs w:val="32"/>
        </w:rPr>
        <w:t>年收支总预算</w:t>
      </w:r>
      <w:r>
        <w:rPr>
          <w:rFonts w:hint="eastAsia"/>
          <w:color w:val="auto"/>
          <w:szCs w:val="32"/>
          <w:lang w:val="en-US" w:eastAsia="zh-CN"/>
        </w:rPr>
        <w:t>63.53</w:t>
      </w:r>
      <w:r>
        <w:rPr>
          <w:color w:val="auto"/>
          <w:szCs w:val="32"/>
        </w:rPr>
        <w:t>万元</w:t>
      </w:r>
      <w:r>
        <w:rPr>
          <w:rFonts w:hint="eastAsia"/>
          <w:color w:val="auto"/>
          <w:szCs w:val="32"/>
          <w:lang w:eastAsia="zh-CN"/>
        </w:rPr>
        <w:t>，其中：本年预算</w:t>
      </w:r>
      <w:r>
        <w:rPr>
          <w:rFonts w:hint="eastAsia"/>
          <w:color w:val="auto"/>
          <w:szCs w:val="32"/>
          <w:lang w:val="en-US" w:eastAsia="zh-CN"/>
        </w:rPr>
        <w:t>63.53</w:t>
      </w:r>
      <w:r>
        <w:rPr>
          <w:rFonts w:hint="eastAsia"/>
          <w:color w:val="auto"/>
          <w:szCs w:val="32"/>
          <w:lang w:eastAsia="zh-CN"/>
        </w:rPr>
        <w:t>万元；</w:t>
      </w:r>
      <w:r>
        <w:rPr>
          <w:rFonts w:hint="eastAsia"/>
          <w:color w:val="auto"/>
          <w:szCs w:val="32"/>
          <w:lang w:val="en-US" w:eastAsia="zh-CN"/>
        </w:rPr>
        <w:t>2025年本年预算</w:t>
      </w:r>
      <w:r>
        <w:rPr>
          <w:color w:val="auto"/>
          <w:szCs w:val="32"/>
        </w:rPr>
        <w:t>比20</w:t>
      </w:r>
      <w:r>
        <w:rPr>
          <w:rFonts w:hint="eastAsia"/>
          <w:color w:val="auto"/>
          <w:szCs w:val="32"/>
        </w:rPr>
        <w:t>2</w:t>
      </w:r>
      <w:r>
        <w:rPr>
          <w:rFonts w:hint="eastAsia"/>
          <w:color w:val="auto"/>
          <w:szCs w:val="32"/>
          <w:lang w:val="en-US" w:eastAsia="zh-CN"/>
        </w:rPr>
        <w:t>4</w:t>
      </w:r>
      <w:r>
        <w:rPr>
          <w:color w:val="auto"/>
          <w:szCs w:val="32"/>
        </w:rPr>
        <w:t>年</w:t>
      </w:r>
      <w:r>
        <w:rPr>
          <w:rFonts w:hint="eastAsia"/>
          <w:color w:val="auto"/>
          <w:szCs w:val="32"/>
          <w:lang w:eastAsia="zh-CN"/>
        </w:rPr>
        <w:t>当年</w:t>
      </w:r>
      <w:r>
        <w:rPr>
          <w:color w:val="auto"/>
          <w:szCs w:val="32"/>
        </w:rPr>
        <w:t>预算减少</w:t>
      </w:r>
      <w:r>
        <w:rPr>
          <w:rFonts w:hint="eastAsia"/>
          <w:color w:val="auto"/>
          <w:szCs w:val="32"/>
          <w:lang w:val="en-US" w:eastAsia="zh-CN"/>
        </w:rPr>
        <w:t>40.56</w:t>
      </w:r>
      <w:r>
        <w:rPr>
          <w:color w:val="auto"/>
          <w:szCs w:val="32"/>
        </w:rPr>
        <w:t>万元，主要原因是</w:t>
      </w:r>
      <w:r>
        <w:rPr>
          <w:rFonts w:hint="eastAsia"/>
          <w:color w:val="auto"/>
          <w:szCs w:val="32"/>
          <w:lang w:val="en-US" w:eastAsia="zh-CN"/>
        </w:rPr>
        <w:t>上年度开展第五次全国经济普查正式登记工作，相应项目经费纳入上年预算，故本年预算较上年减少。</w:t>
      </w:r>
    </w:p>
    <w:p>
      <w:pPr>
        <w:ind w:firstLine="640" w:firstLineChars="200"/>
        <w:rPr>
          <w:rFonts w:eastAsia="黑体"/>
          <w:color w:val="auto"/>
          <w:szCs w:val="32"/>
        </w:rPr>
      </w:pPr>
      <w:r>
        <w:rPr>
          <w:rFonts w:eastAsia="黑体"/>
          <w:color w:val="auto"/>
          <w:szCs w:val="32"/>
        </w:rPr>
        <w:t>二、20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年收入预算情况</w:t>
      </w:r>
    </w:p>
    <w:p>
      <w:pPr>
        <w:ind w:firstLine="640" w:firstLineChars="200"/>
        <w:rPr>
          <w:rFonts w:eastAsia="楷体"/>
          <w:color w:val="auto"/>
          <w:szCs w:val="30"/>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年收入预算</w:t>
      </w:r>
      <w:r>
        <w:rPr>
          <w:rFonts w:hint="eastAsia"/>
          <w:color w:val="auto"/>
          <w:szCs w:val="32"/>
          <w:lang w:val="en-US" w:eastAsia="zh-CN"/>
        </w:rPr>
        <w:t>63.53</w:t>
      </w:r>
      <w:r>
        <w:rPr>
          <w:color w:val="auto"/>
          <w:szCs w:val="32"/>
        </w:rPr>
        <w:t>万元，其中：本年收入</w:t>
      </w:r>
      <w:r>
        <w:rPr>
          <w:rFonts w:hint="eastAsia"/>
          <w:color w:val="auto"/>
          <w:szCs w:val="32"/>
          <w:lang w:val="en-US" w:eastAsia="zh-CN"/>
        </w:rPr>
        <w:t>63.53</w:t>
      </w:r>
      <w:r>
        <w:rPr>
          <w:color w:val="auto"/>
          <w:szCs w:val="32"/>
        </w:rPr>
        <w:t>万元，占</w:t>
      </w:r>
      <w:r>
        <w:rPr>
          <w:rFonts w:hint="eastAsia"/>
          <w:color w:val="auto"/>
          <w:szCs w:val="32"/>
          <w:lang w:val="en-US" w:eastAsia="zh-CN"/>
        </w:rPr>
        <w:t>100</w:t>
      </w:r>
      <w:r>
        <w:rPr>
          <w:color w:val="auto"/>
          <w:szCs w:val="32"/>
        </w:rPr>
        <w:t>%；一般公共预算拨款收入</w:t>
      </w:r>
      <w:r>
        <w:rPr>
          <w:rFonts w:hint="eastAsia"/>
          <w:color w:val="auto"/>
          <w:szCs w:val="32"/>
          <w:lang w:val="en-US" w:eastAsia="zh-CN"/>
        </w:rPr>
        <w:t>63.53</w:t>
      </w:r>
      <w:r>
        <w:rPr>
          <w:color w:val="auto"/>
          <w:szCs w:val="32"/>
        </w:rPr>
        <w:t>万元，占</w:t>
      </w:r>
      <w:r>
        <w:rPr>
          <w:rFonts w:hint="eastAsia"/>
          <w:color w:val="auto"/>
          <w:szCs w:val="32"/>
          <w:lang w:val="en-US" w:eastAsia="zh-CN"/>
        </w:rPr>
        <w:t>100</w:t>
      </w:r>
      <w:r>
        <w:rPr>
          <w:color w:val="auto"/>
          <w:szCs w:val="32"/>
        </w:rPr>
        <w:t>%；</w:t>
      </w:r>
    </w:p>
    <w:p>
      <w:pPr>
        <w:ind w:firstLine="640" w:firstLineChars="200"/>
        <w:rPr>
          <w:rFonts w:eastAsia="黑体"/>
          <w:color w:val="auto"/>
          <w:szCs w:val="32"/>
        </w:rPr>
      </w:pPr>
      <w:r>
        <w:rPr>
          <w:rFonts w:eastAsia="黑体"/>
          <w:color w:val="auto"/>
          <w:szCs w:val="32"/>
        </w:rPr>
        <w:t>三、20</w:t>
      </w:r>
      <w:r>
        <w:rPr>
          <w:rFonts w:hint="eastAsia" w:eastAsia="黑体"/>
          <w:color w:val="auto"/>
          <w:szCs w:val="32"/>
        </w:rPr>
        <w:t>2</w:t>
      </w:r>
      <w:r>
        <w:rPr>
          <w:rFonts w:hint="eastAsia"/>
          <w:color w:val="auto"/>
          <w:szCs w:val="32"/>
          <w:lang w:val="en-US" w:eastAsia="zh-CN"/>
        </w:rPr>
        <w:t>5</w:t>
      </w:r>
      <w:r>
        <w:rPr>
          <w:rFonts w:eastAsia="黑体"/>
          <w:color w:val="auto"/>
          <w:szCs w:val="32"/>
        </w:rPr>
        <w:t>年支出预算情况</w:t>
      </w:r>
    </w:p>
    <w:p>
      <w:pPr>
        <w:ind w:firstLine="60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年支出预算</w:t>
      </w:r>
      <w:r>
        <w:rPr>
          <w:rFonts w:hint="eastAsia"/>
          <w:color w:val="auto"/>
          <w:szCs w:val="32"/>
          <w:lang w:val="en-US" w:eastAsia="zh-CN"/>
        </w:rPr>
        <w:t>63.53</w:t>
      </w:r>
      <w:r>
        <w:rPr>
          <w:color w:val="auto"/>
          <w:szCs w:val="32"/>
        </w:rPr>
        <w:t>万元，其中：基本支出</w:t>
      </w:r>
      <w:r>
        <w:rPr>
          <w:rFonts w:hint="eastAsia"/>
          <w:color w:val="auto"/>
          <w:szCs w:val="32"/>
          <w:lang w:val="en-US" w:eastAsia="zh-CN"/>
        </w:rPr>
        <w:t>45.33</w:t>
      </w:r>
      <w:r>
        <w:rPr>
          <w:color w:val="auto"/>
          <w:szCs w:val="32"/>
        </w:rPr>
        <w:t>万元，占</w:t>
      </w:r>
      <w:r>
        <w:rPr>
          <w:rFonts w:hint="eastAsia"/>
          <w:color w:val="auto"/>
          <w:szCs w:val="32"/>
          <w:lang w:val="en-US" w:eastAsia="zh-CN"/>
        </w:rPr>
        <w:t>71.35</w:t>
      </w:r>
      <w:r>
        <w:rPr>
          <w:color w:val="auto"/>
          <w:szCs w:val="32"/>
        </w:rPr>
        <w:t>%；项目支出</w:t>
      </w:r>
      <w:r>
        <w:rPr>
          <w:rFonts w:hint="eastAsia"/>
          <w:color w:val="auto"/>
          <w:szCs w:val="32"/>
          <w:lang w:val="en-US" w:eastAsia="zh-CN"/>
        </w:rPr>
        <w:t>18.20</w:t>
      </w:r>
      <w:r>
        <w:rPr>
          <w:color w:val="auto"/>
          <w:szCs w:val="32"/>
        </w:rPr>
        <w:t>万元，占</w:t>
      </w:r>
      <w:r>
        <w:rPr>
          <w:rFonts w:hint="eastAsia"/>
          <w:color w:val="auto"/>
          <w:szCs w:val="32"/>
          <w:lang w:val="en-US" w:eastAsia="zh-CN"/>
        </w:rPr>
        <w:t>28.65</w:t>
      </w:r>
      <w:r>
        <w:rPr>
          <w:color w:val="auto"/>
          <w:szCs w:val="32"/>
        </w:rPr>
        <w:t>%；</w:t>
      </w:r>
    </w:p>
    <w:p>
      <w:pPr>
        <w:ind w:firstLine="600"/>
        <w:rPr>
          <w:rFonts w:eastAsia="黑体"/>
          <w:color w:val="auto"/>
          <w:szCs w:val="32"/>
        </w:rPr>
      </w:pPr>
      <w:r>
        <w:rPr>
          <w:rFonts w:eastAsia="黑体"/>
          <w:color w:val="auto"/>
          <w:szCs w:val="32"/>
        </w:rPr>
        <w:t>四、20</w:t>
      </w:r>
      <w:r>
        <w:rPr>
          <w:rFonts w:hint="eastAsia" w:eastAsia="黑体"/>
          <w:color w:val="auto"/>
          <w:szCs w:val="32"/>
        </w:rPr>
        <w:t>2</w:t>
      </w:r>
      <w:r>
        <w:rPr>
          <w:rFonts w:hint="eastAsia"/>
          <w:color w:val="auto"/>
          <w:szCs w:val="32"/>
          <w:lang w:val="en-US" w:eastAsia="zh-CN"/>
        </w:rPr>
        <w:t>5</w:t>
      </w:r>
      <w:r>
        <w:rPr>
          <w:rFonts w:eastAsia="黑体"/>
          <w:color w:val="auto"/>
          <w:szCs w:val="32"/>
        </w:rPr>
        <w:t>年财政拨款收支预算情况</w:t>
      </w:r>
    </w:p>
    <w:p>
      <w:pPr>
        <w:ind w:firstLine="60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年财政拨款收支总预算</w:t>
      </w:r>
      <w:r>
        <w:rPr>
          <w:rFonts w:hint="eastAsia"/>
          <w:color w:val="auto"/>
          <w:szCs w:val="32"/>
          <w:lang w:val="en-US" w:eastAsia="zh-CN"/>
        </w:rPr>
        <w:t>63.53</w:t>
      </w:r>
      <w:r>
        <w:rPr>
          <w:color w:val="auto"/>
          <w:szCs w:val="32"/>
        </w:rPr>
        <w:t>万元，其中：</w:t>
      </w:r>
      <w:r>
        <w:rPr>
          <w:rFonts w:hint="eastAsia"/>
          <w:color w:val="auto"/>
          <w:szCs w:val="32"/>
        </w:rPr>
        <w:t>本年</w:t>
      </w:r>
      <w:r>
        <w:rPr>
          <w:rFonts w:hint="eastAsia"/>
          <w:color w:val="auto"/>
          <w:szCs w:val="32"/>
          <w:lang w:eastAsia="zh-CN"/>
        </w:rPr>
        <w:t>预算</w:t>
      </w:r>
      <w:r>
        <w:rPr>
          <w:rFonts w:hint="eastAsia"/>
          <w:color w:val="auto"/>
          <w:szCs w:val="32"/>
          <w:lang w:val="en-US" w:eastAsia="zh-CN"/>
        </w:rPr>
        <w:t>63.53</w:t>
      </w:r>
      <w:r>
        <w:rPr>
          <w:color w:val="auto"/>
          <w:szCs w:val="32"/>
        </w:rPr>
        <w:t>万元</w:t>
      </w:r>
      <w:r>
        <w:rPr>
          <w:rFonts w:hint="eastAsia"/>
          <w:color w:val="auto"/>
          <w:szCs w:val="32"/>
        </w:rPr>
        <w:t>，</w:t>
      </w:r>
      <w:r>
        <w:rPr>
          <w:color w:val="auto"/>
          <w:szCs w:val="32"/>
        </w:rPr>
        <w:t>支出包括：</w:t>
      </w:r>
      <w:r>
        <w:rPr>
          <w:color w:val="auto"/>
          <w:kern w:val="0"/>
          <w:szCs w:val="32"/>
        </w:rPr>
        <w:t>一般公共服务支出</w:t>
      </w:r>
      <w:r>
        <w:rPr>
          <w:rFonts w:hint="eastAsia"/>
          <w:color w:val="auto"/>
          <w:szCs w:val="32"/>
          <w:lang w:val="en-US" w:eastAsia="zh-CN"/>
        </w:rPr>
        <w:t>48.23</w:t>
      </w:r>
      <w:r>
        <w:rPr>
          <w:color w:val="auto"/>
          <w:szCs w:val="32"/>
        </w:rPr>
        <w:t>万元，</w:t>
      </w:r>
      <w:r>
        <w:rPr>
          <w:color w:val="auto"/>
          <w:kern w:val="0"/>
          <w:szCs w:val="32"/>
        </w:rPr>
        <w:t>社会保障和就业支出</w:t>
      </w:r>
      <w:r>
        <w:rPr>
          <w:rFonts w:hint="eastAsia"/>
          <w:color w:val="auto"/>
          <w:szCs w:val="32"/>
          <w:lang w:val="en-US" w:eastAsia="zh-CN"/>
        </w:rPr>
        <w:t>10.85</w:t>
      </w:r>
      <w:r>
        <w:rPr>
          <w:color w:val="auto"/>
          <w:szCs w:val="32"/>
        </w:rPr>
        <w:t>万元，</w:t>
      </w:r>
      <w:r>
        <w:rPr>
          <w:color w:val="auto"/>
          <w:kern w:val="0"/>
          <w:szCs w:val="32"/>
        </w:rPr>
        <w:t>卫生</w:t>
      </w:r>
      <w:r>
        <w:rPr>
          <w:rFonts w:hint="eastAsia"/>
          <w:color w:val="auto"/>
          <w:kern w:val="0"/>
          <w:szCs w:val="32"/>
        </w:rPr>
        <w:t>健康</w:t>
      </w:r>
      <w:r>
        <w:rPr>
          <w:color w:val="auto"/>
          <w:kern w:val="0"/>
          <w:szCs w:val="32"/>
        </w:rPr>
        <w:t>支出</w:t>
      </w:r>
      <w:r>
        <w:rPr>
          <w:rFonts w:hint="eastAsia"/>
          <w:color w:val="auto"/>
          <w:szCs w:val="32"/>
          <w:lang w:val="en-US" w:eastAsia="zh-CN"/>
        </w:rPr>
        <w:t>1.50</w:t>
      </w:r>
      <w:r>
        <w:rPr>
          <w:color w:val="auto"/>
          <w:szCs w:val="32"/>
        </w:rPr>
        <w:t>万元，</w:t>
      </w:r>
      <w:r>
        <w:rPr>
          <w:color w:val="auto"/>
          <w:kern w:val="0"/>
          <w:szCs w:val="32"/>
        </w:rPr>
        <w:t>住房保障支出</w:t>
      </w:r>
      <w:r>
        <w:rPr>
          <w:rFonts w:hint="eastAsia"/>
          <w:color w:val="auto"/>
          <w:szCs w:val="32"/>
          <w:lang w:val="en-US" w:eastAsia="zh-CN"/>
        </w:rPr>
        <w:t>2.95</w:t>
      </w:r>
      <w:r>
        <w:rPr>
          <w:color w:val="auto"/>
          <w:szCs w:val="32"/>
        </w:rPr>
        <w:t>万元。</w:t>
      </w:r>
    </w:p>
    <w:p>
      <w:pPr>
        <w:ind w:firstLine="600"/>
        <w:rPr>
          <w:rFonts w:eastAsia="黑体"/>
          <w:color w:val="auto"/>
          <w:szCs w:val="30"/>
        </w:rPr>
      </w:pPr>
      <w:r>
        <w:rPr>
          <w:rFonts w:eastAsia="黑体"/>
          <w:color w:val="auto"/>
          <w:szCs w:val="30"/>
        </w:rPr>
        <w:t>五、20</w:t>
      </w:r>
      <w:r>
        <w:rPr>
          <w:rFonts w:hint="eastAsia" w:eastAsia="黑体"/>
          <w:color w:val="auto"/>
          <w:szCs w:val="30"/>
        </w:rPr>
        <w:t>2</w:t>
      </w:r>
      <w:r>
        <w:rPr>
          <w:rFonts w:hint="eastAsia"/>
          <w:color w:val="auto"/>
          <w:szCs w:val="32"/>
          <w:lang w:val="en-US" w:eastAsia="zh-CN"/>
        </w:rPr>
        <w:t>5</w:t>
      </w:r>
      <w:r>
        <w:rPr>
          <w:rFonts w:eastAsia="黑体"/>
          <w:color w:val="auto"/>
          <w:szCs w:val="30"/>
        </w:rPr>
        <w:t>年一般公共预算</w:t>
      </w:r>
      <w:r>
        <w:rPr>
          <w:rFonts w:hint="eastAsia" w:eastAsia="黑体"/>
          <w:color w:val="auto"/>
          <w:szCs w:val="30"/>
        </w:rPr>
        <w:t>支出</w:t>
      </w:r>
      <w:r>
        <w:rPr>
          <w:rFonts w:eastAsia="黑体"/>
          <w:color w:val="auto"/>
          <w:szCs w:val="30"/>
        </w:rPr>
        <w:t>情况</w:t>
      </w:r>
    </w:p>
    <w:p>
      <w:pPr>
        <w:spacing w:line="520" w:lineRule="exact"/>
        <w:ind w:firstLine="640" w:firstLineChars="20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年一般公共预算拨款</w:t>
      </w:r>
      <w:r>
        <w:rPr>
          <w:rFonts w:hint="eastAsia"/>
          <w:color w:val="auto"/>
          <w:szCs w:val="32"/>
          <w:lang w:val="en-US" w:eastAsia="zh-CN"/>
        </w:rPr>
        <w:t>63.53</w:t>
      </w:r>
      <w:r>
        <w:rPr>
          <w:color w:val="auto"/>
          <w:szCs w:val="32"/>
        </w:rPr>
        <w:t>万元，其中：基本支出</w:t>
      </w:r>
      <w:r>
        <w:rPr>
          <w:rFonts w:hint="eastAsia"/>
          <w:color w:val="auto"/>
          <w:szCs w:val="32"/>
          <w:lang w:val="en-US" w:eastAsia="zh-CN"/>
        </w:rPr>
        <w:t>45.33</w:t>
      </w:r>
      <w:r>
        <w:rPr>
          <w:color w:val="auto"/>
          <w:szCs w:val="32"/>
        </w:rPr>
        <w:t>万元，占</w:t>
      </w:r>
      <w:r>
        <w:rPr>
          <w:rFonts w:hint="eastAsia"/>
          <w:color w:val="auto"/>
          <w:szCs w:val="32"/>
          <w:lang w:val="en-US" w:eastAsia="zh-CN"/>
        </w:rPr>
        <w:t>71.35</w:t>
      </w:r>
      <w:r>
        <w:rPr>
          <w:color w:val="auto"/>
          <w:szCs w:val="32"/>
        </w:rPr>
        <w:t>%；项目支出</w:t>
      </w:r>
      <w:r>
        <w:rPr>
          <w:rFonts w:hint="eastAsia"/>
          <w:color w:val="auto"/>
          <w:szCs w:val="32"/>
          <w:lang w:val="en-US" w:eastAsia="zh-CN"/>
        </w:rPr>
        <w:t>18.20</w:t>
      </w:r>
      <w:r>
        <w:rPr>
          <w:color w:val="auto"/>
          <w:szCs w:val="32"/>
        </w:rPr>
        <w:t>万元，占</w:t>
      </w:r>
      <w:r>
        <w:rPr>
          <w:rFonts w:hint="eastAsia"/>
          <w:color w:val="auto"/>
          <w:szCs w:val="32"/>
          <w:lang w:val="en-US" w:eastAsia="zh-CN"/>
        </w:rPr>
        <w:t>28.65</w:t>
      </w:r>
      <w:r>
        <w:rPr>
          <w:color w:val="auto"/>
          <w:szCs w:val="32"/>
        </w:rPr>
        <w:t>%。基本支出中，人员经费</w:t>
      </w:r>
      <w:r>
        <w:rPr>
          <w:rFonts w:hint="eastAsia"/>
          <w:color w:val="auto"/>
          <w:szCs w:val="32"/>
          <w:lang w:val="en-US" w:eastAsia="zh-CN"/>
        </w:rPr>
        <w:t>38.69</w:t>
      </w:r>
      <w:r>
        <w:rPr>
          <w:color w:val="auto"/>
          <w:szCs w:val="32"/>
        </w:rPr>
        <w:t>万元，占</w:t>
      </w:r>
      <w:r>
        <w:rPr>
          <w:rFonts w:hint="eastAsia"/>
          <w:color w:val="auto"/>
          <w:szCs w:val="32"/>
          <w:lang w:val="en-US" w:eastAsia="zh-CN"/>
        </w:rPr>
        <w:t>85.35</w:t>
      </w:r>
      <w:r>
        <w:rPr>
          <w:color w:val="auto"/>
          <w:szCs w:val="32"/>
        </w:rPr>
        <w:t>%；公用经费</w:t>
      </w:r>
      <w:r>
        <w:rPr>
          <w:rFonts w:hint="eastAsia"/>
          <w:color w:val="auto"/>
          <w:szCs w:val="32"/>
          <w:lang w:val="en-US" w:eastAsia="zh-CN"/>
        </w:rPr>
        <w:t>6.64</w:t>
      </w:r>
      <w:r>
        <w:rPr>
          <w:color w:val="auto"/>
          <w:szCs w:val="32"/>
        </w:rPr>
        <w:t>万元，占</w:t>
      </w:r>
      <w:r>
        <w:rPr>
          <w:rFonts w:hint="eastAsia"/>
          <w:color w:val="auto"/>
          <w:szCs w:val="32"/>
          <w:lang w:val="en-US" w:eastAsia="zh-CN"/>
        </w:rPr>
        <w:t>14.65</w:t>
      </w:r>
      <w:r>
        <w:rPr>
          <w:color w:val="auto"/>
          <w:szCs w:val="32"/>
        </w:rPr>
        <w:t>%。</w:t>
      </w:r>
    </w:p>
    <w:p>
      <w:pPr>
        <w:spacing w:line="520" w:lineRule="exact"/>
        <w:ind w:firstLine="640" w:firstLineChars="200"/>
        <w:rPr>
          <w:rFonts w:hint="eastAsia"/>
          <w:color w:val="auto"/>
          <w:szCs w:val="32"/>
        </w:rPr>
      </w:pPr>
      <w:r>
        <w:rPr>
          <w:rFonts w:hint="eastAsia"/>
          <w:color w:val="auto"/>
          <w:szCs w:val="32"/>
        </w:rPr>
        <w:t>一般公共服务（类）支出</w:t>
      </w:r>
      <w:r>
        <w:rPr>
          <w:rFonts w:hint="eastAsia"/>
          <w:color w:val="auto"/>
          <w:szCs w:val="32"/>
          <w:lang w:val="en-US" w:eastAsia="zh-CN"/>
        </w:rPr>
        <w:t>48.23</w:t>
      </w:r>
      <w:r>
        <w:rPr>
          <w:rFonts w:hint="eastAsia"/>
          <w:color w:val="auto"/>
          <w:szCs w:val="32"/>
        </w:rPr>
        <w:t>万元，占</w:t>
      </w:r>
      <w:r>
        <w:rPr>
          <w:rFonts w:hint="eastAsia"/>
          <w:color w:val="auto"/>
          <w:szCs w:val="32"/>
          <w:lang w:val="en-US" w:eastAsia="zh-CN"/>
        </w:rPr>
        <w:t>75.91</w:t>
      </w:r>
      <w:r>
        <w:rPr>
          <w:rFonts w:hint="eastAsia"/>
          <w:color w:val="auto"/>
          <w:szCs w:val="32"/>
        </w:rPr>
        <w:t>%，主要用于保障职工工资，维持机关正常运转，完成年度统计工作任务。</w:t>
      </w:r>
    </w:p>
    <w:p>
      <w:pPr>
        <w:spacing w:line="520" w:lineRule="exact"/>
        <w:ind w:firstLine="640" w:firstLineChars="200"/>
        <w:rPr>
          <w:rFonts w:hint="eastAsia"/>
          <w:color w:val="auto"/>
          <w:szCs w:val="32"/>
        </w:rPr>
      </w:pPr>
      <w:r>
        <w:rPr>
          <w:rFonts w:hint="eastAsia"/>
          <w:color w:val="auto"/>
          <w:szCs w:val="32"/>
        </w:rPr>
        <w:t>社会保障和就业（类）支出</w:t>
      </w:r>
      <w:r>
        <w:rPr>
          <w:rFonts w:hint="eastAsia"/>
          <w:color w:val="auto"/>
          <w:szCs w:val="32"/>
          <w:lang w:val="en-US" w:eastAsia="zh-CN"/>
        </w:rPr>
        <w:t>10.85</w:t>
      </w:r>
      <w:r>
        <w:rPr>
          <w:rFonts w:hint="eastAsia"/>
          <w:color w:val="auto"/>
          <w:szCs w:val="32"/>
        </w:rPr>
        <w:t>万元，占</w:t>
      </w:r>
      <w:r>
        <w:rPr>
          <w:rFonts w:hint="eastAsia"/>
          <w:color w:val="auto"/>
          <w:szCs w:val="32"/>
          <w:lang w:val="en-US" w:eastAsia="zh-CN"/>
        </w:rPr>
        <w:t>17.09</w:t>
      </w:r>
      <w:r>
        <w:rPr>
          <w:rFonts w:hint="eastAsia"/>
          <w:color w:val="auto"/>
          <w:szCs w:val="32"/>
        </w:rPr>
        <w:t>%，主要用于机关事业单位基本养老保险缴费支出。</w:t>
      </w:r>
    </w:p>
    <w:p>
      <w:pPr>
        <w:spacing w:line="520" w:lineRule="exact"/>
        <w:ind w:firstLine="640" w:firstLineChars="200"/>
        <w:rPr>
          <w:rFonts w:hint="eastAsia"/>
          <w:color w:val="auto"/>
          <w:szCs w:val="32"/>
        </w:rPr>
      </w:pPr>
      <w:r>
        <w:rPr>
          <w:rFonts w:hint="eastAsia"/>
          <w:color w:val="auto"/>
          <w:szCs w:val="32"/>
        </w:rPr>
        <w:t>卫生健康支出（类）</w:t>
      </w:r>
      <w:r>
        <w:rPr>
          <w:rFonts w:hint="eastAsia"/>
          <w:color w:val="auto"/>
          <w:szCs w:val="32"/>
          <w:lang w:val="en-US" w:eastAsia="zh-CN"/>
        </w:rPr>
        <w:t>1.50</w:t>
      </w:r>
      <w:r>
        <w:rPr>
          <w:rFonts w:hint="eastAsia"/>
          <w:color w:val="auto"/>
          <w:szCs w:val="32"/>
        </w:rPr>
        <w:t>万元，占</w:t>
      </w:r>
      <w:r>
        <w:rPr>
          <w:rFonts w:hint="eastAsia"/>
          <w:color w:val="auto"/>
          <w:szCs w:val="32"/>
          <w:lang w:val="en-US" w:eastAsia="zh-CN"/>
        </w:rPr>
        <w:t>2.36</w:t>
      </w:r>
      <w:r>
        <w:rPr>
          <w:rFonts w:hint="eastAsia"/>
          <w:color w:val="auto"/>
          <w:szCs w:val="32"/>
        </w:rPr>
        <w:t>%，主要用于缴纳职工医疗保险。</w:t>
      </w:r>
    </w:p>
    <w:p>
      <w:pPr>
        <w:spacing w:line="520" w:lineRule="exact"/>
        <w:ind w:firstLine="640" w:firstLineChars="200"/>
        <w:rPr>
          <w:rFonts w:hint="eastAsia"/>
          <w:color w:val="auto"/>
          <w:szCs w:val="32"/>
        </w:rPr>
      </w:pPr>
      <w:r>
        <w:rPr>
          <w:rFonts w:hint="eastAsia"/>
          <w:color w:val="auto"/>
          <w:szCs w:val="32"/>
        </w:rPr>
        <w:t>住房保障（类）支出</w:t>
      </w:r>
      <w:r>
        <w:rPr>
          <w:rFonts w:hint="eastAsia"/>
          <w:color w:val="auto"/>
          <w:szCs w:val="32"/>
          <w:lang w:val="en-US" w:eastAsia="zh-CN"/>
        </w:rPr>
        <w:t>2.95</w:t>
      </w:r>
      <w:r>
        <w:rPr>
          <w:rFonts w:hint="eastAsia"/>
          <w:color w:val="auto"/>
          <w:szCs w:val="32"/>
        </w:rPr>
        <w:t>万元，占</w:t>
      </w:r>
      <w:r>
        <w:rPr>
          <w:rFonts w:hint="eastAsia"/>
          <w:color w:val="auto"/>
          <w:szCs w:val="32"/>
          <w:lang w:val="en-US" w:eastAsia="zh-CN"/>
        </w:rPr>
        <w:t>4.64</w:t>
      </w:r>
      <w:r>
        <w:rPr>
          <w:rFonts w:hint="eastAsia"/>
          <w:color w:val="auto"/>
          <w:szCs w:val="32"/>
        </w:rPr>
        <w:t>%，主要用于缴纳职工住房公积金。</w:t>
      </w:r>
    </w:p>
    <w:p>
      <w:pPr>
        <w:spacing w:line="520" w:lineRule="exact"/>
        <w:ind w:firstLine="640" w:firstLineChars="200"/>
        <w:rPr>
          <w:rFonts w:eastAsia="黑体"/>
          <w:color w:val="auto"/>
          <w:szCs w:val="32"/>
        </w:rPr>
      </w:pPr>
      <w:r>
        <w:rPr>
          <w:rFonts w:hint="eastAsia" w:eastAsia="黑体"/>
          <w:color w:val="auto"/>
          <w:szCs w:val="32"/>
          <w:lang w:val="en-US" w:eastAsia="zh-CN"/>
        </w:rPr>
        <w:t>六</w:t>
      </w:r>
      <w:r>
        <w:rPr>
          <w:rFonts w:eastAsia="黑体"/>
          <w:color w:val="auto"/>
          <w:szCs w:val="32"/>
        </w:rPr>
        <w:t>、20</w:t>
      </w:r>
      <w:r>
        <w:rPr>
          <w:rFonts w:hint="eastAsia" w:eastAsia="黑体"/>
          <w:color w:val="auto"/>
          <w:szCs w:val="32"/>
        </w:rPr>
        <w:t>2</w:t>
      </w:r>
      <w:r>
        <w:rPr>
          <w:rFonts w:hint="eastAsia"/>
          <w:color w:val="auto"/>
          <w:szCs w:val="32"/>
          <w:lang w:val="en-US" w:eastAsia="zh-CN"/>
        </w:rPr>
        <w:t>5</w:t>
      </w:r>
      <w:r>
        <w:rPr>
          <w:rFonts w:eastAsia="黑体"/>
          <w:color w:val="auto"/>
          <w:szCs w:val="32"/>
        </w:rPr>
        <w:t>年一般公共预算基本支出情况</w:t>
      </w:r>
    </w:p>
    <w:p>
      <w:pPr>
        <w:ind w:firstLine="64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年一般公共预算基本支出</w:t>
      </w:r>
      <w:r>
        <w:rPr>
          <w:rFonts w:hint="eastAsia"/>
          <w:color w:val="auto"/>
          <w:szCs w:val="32"/>
          <w:lang w:val="en-US" w:eastAsia="zh-CN"/>
        </w:rPr>
        <w:t>45.33</w:t>
      </w:r>
      <w:r>
        <w:rPr>
          <w:color w:val="auto"/>
          <w:szCs w:val="32"/>
        </w:rPr>
        <w:t>万元，其中：</w:t>
      </w:r>
    </w:p>
    <w:p>
      <w:pPr>
        <w:ind w:firstLine="640" w:firstLineChars="200"/>
        <w:rPr>
          <w:color w:val="auto"/>
          <w:kern w:val="0"/>
          <w:szCs w:val="32"/>
        </w:rPr>
      </w:pPr>
      <w:r>
        <w:rPr>
          <w:color w:val="auto"/>
          <w:szCs w:val="32"/>
        </w:rPr>
        <w:t>人员经费</w:t>
      </w:r>
      <w:r>
        <w:rPr>
          <w:rFonts w:hint="eastAsia"/>
          <w:color w:val="auto"/>
          <w:szCs w:val="32"/>
          <w:lang w:val="en-US" w:eastAsia="zh-CN"/>
        </w:rPr>
        <w:t>38.69</w:t>
      </w:r>
      <w:r>
        <w:rPr>
          <w:color w:val="auto"/>
          <w:szCs w:val="32"/>
        </w:rPr>
        <w:t>万元，主要包括：</w:t>
      </w:r>
      <w:r>
        <w:rPr>
          <w:color w:val="auto"/>
          <w:kern w:val="0"/>
          <w:szCs w:val="32"/>
        </w:rPr>
        <w:t>基本工资、津贴补贴</w:t>
      </w:r>
      <w:r>
        <w:rPr>
          <w:color w:val="auto"/>
          <w:szCs w:val="32"/>
        </w:rPr>
        <w:t>、</w:t>
      </w:r>
      <w:r>
        <w:rPr>
          <w:color w:val="auto"/>
          <w:kern w:val="0"/>
          <w:szCs w:val="32"/>
        </w:rPr>
        <w:t>奖金</w:t>
      </w:r>
      <w:r>
        <w:rPr>
          <w:color w:val="auto"/>
          <w:szCs w:val="32"/>
        </w:rPr>
        <w:t>、</w:t>
      </w:r>
      <w:r>
        <w:rPr>
          <w:rFonts w:hint="eastAsia"/>
          <w:color w:val="auto"/>
          <w:szCs w:val="32"/>
          <w:lang w:eastAsia="zh-CN"/>
        </w:rPr>
        <w:t>机关事业单位基本养老保险缴费、职工基本医疗保险缴费、公务员医疗补助缴费、其他</w:t>
      </w:r>
      <w:r>
        <w:rPr>
          <w:color w:val="auto"/>
          <w:kern w:val="0"/>
          <w:szCs w:val="32"/>
        </w:rPr>
        <w:t>社会保障缴费</w:t>
      </w:r>
      <w:r>
        <w:rPr>
          <w:color w:val="auto"/>
          <w:szCs w:val="32"/>
        </w:rPr>
        <w:t>、</w:t>
      </w:r>
      <w:r>
        <w:rPr>
          <w:color w:val="auto"/>
          <w:kern w:val="0"/>
          <w:szCs w:val="32"/>
        </w:rPr>
        <w:t>住房公积金</w:t>
      </w:r>
      <w:r>
        <w:rPr>
          <w:color w:val="auto"/>
          <w:szCs w:val="32"/>
        </w:rPr>
        <w:t>、</w:t>
      </w:r>
      <w:r>
        <w:rPr>
          <w:rFonts w:hint="eastAsia"/>
          <w:color w:val="auto"/>
          <w:szCs w:val="32"/>
          <w:lang w:eastAsia="zh-CN"/>
        </w:rPr>
        <w:t>医疗费、</w:t>
      </w:r>
      <w:r>
        <w:rPr>
          <w:color w:val="auto"/>
          <w:kern w:val="0"/>
          <w:szCs w:val="32"/>
        </w:rPr>
        <w:t>其他工资福利支出</w:t>
      </w:r>
      <w:r>
        <w:rPr>
          <w:rFonts w:hint="eastAsia"/>
          <w:color w:val="auto"/>
          <w:kern w:val="0"/>
          <w:szCs w:val="32"/>
          <w:lang w:eastAsia="zh-CN"/>
        </w:rPr>
        <w:t>、</w:t>
      </w:r>
      <w:r>
        <w:rPr>
          <w:color w:val="auto"/>
          <w:kern w:val="0"/>
          <w:szCs w:val="32"/>
        </w:rPr>
        <w:t>退休费</w:t>
      </w:r>
      <w:r>
        <w:rPr>
          <w:color w:val="auto"/>
          <w:szCs w:val="32"/>
        </w:rPr>
        <w:t>、</w:t>
      </w:r>
      <w:r>
        <w:rPr>
          <w:color w:val="auto"/>
          <w:kern w:val="0"/>
          <w:szCs w:val="32"/>
        </w:rPr>
        <w:t>其他对个人和家庭的补助。</w:t>
      </w:r>
    </w:p>
    <w:p>
      <w:pPr>
        <w:ind w:firstLine="640" w:firstLineChars="200"/>
        <w:rPr>
          <w:color w:val="auto"/>
          <w:szCs w:val="32"/>
        </w:rPr>
      </w:pPr>
      <w:r>
        <w:rPr>
          <w:color w:val="auto"/>
          <w:kern w:val="0"/>
          <w:szCs w:val="32"/>
        </w:rPr>
        <w:t>公用经费</w:t>
      </w:r>
      <w:r>
        <w:rPr>
          <w:rFonts w:hint="eastAsia"/>
          <w:color w:val="auto"/>
          <w:szCs w:val="32"/>
          <w:lang w:val="en-US" w:eastAsia="zh-CN"/>
        </w:rPr>
        <w:t>6.64</w:t>
      </w:r>
      <w:r>
        <w:rPr>
          <w:color w:val="auto"/>
          <w:szCs w:val="32"/>
        </w:rPr>
        <w:t>万元，主要包括：</w:t>
      </w:r>
      <w:r>
        <w:rPr>
          <w:color w:val="auto"/>
          <w:kern w:val="0"/>
          <w:szCs w:val="32"/>
        </w:rPr>
        <w:t>办公费</w:t>
      </w:r>
      <w:r>
        <w:rPr>
          <w:color w:val="auto"/>
          <w:szCs w:val="32"/>
        </w:rPr>
        <w:t>、</w:t>
      </w:r>
      <w:r>
        <w:rPr>
          <w:color w:val="auto"/>
          <w:kern w:val="0"/>
          <w:szCs w:val="32"/>
        </w:rPr>
        <w:t>邮电费</w:t>
      </w:r>
      <w:r>
        <w:rPr>
          <w:color w:val="auto"/>
          <w:szCs w:val="32"/>
        </w:rPr>
        <w:t>、</w:t>
      </w:r>
      <w:r>
        <w:rPr>
          <w:color w:val="auto"/>
          <w:kern w:val="0"/>
          <w:szCs w:val="32"/>
        </w:rPr>
        <w:t>差旅费</w:t>
      </w:r>
      <w:r>
        <w:rPr>
          <w:color w:val="auto"/>
          <w:szCs w:val="32"/>
        </w:rPr>
        <w:t>、</w:t>
      </w:r>
      <w:r>
        <w:rPr>
          <w:color w:val="auto"/>
          <w:kern w:val="0"/>
          <w:szCs w:val="32"/>
        </w:rPr>
        <w:t>培训费</w:t>
      </w:r>
      <w:r>
        <w:rPr>
          <w:rFonts w:hint="eastAsia"/>
          <w:color w:val="auto"/>
          <w:szCs w:val="32"/>
          <w:lang w:eastAsia="zh-CN"/>
        </w:rPr>
        <w:t>、</w:t>
      </w:r>
      <w:r>
        <w:rPr>
          <w:color w:val="auto"/>
          <w:kern w:val="0"/>
          <w:szCs w:val="32"/>
        </w:rPr>
        <w:t>工会经费、福利费</w:t>
      </w:r>
      <w:r>
        <w:rPr>
          <w:color w:val="auto"/>
          <w:szCs w:val="32"/>
        </w:rPr>
        <w:t>、</w:t>
      </w:r>
      <w:r>
        <w:rPr>
          <w:color w:val="auto"/>
          <w:kern w:val="0"/>
          <w:szCs w:val="32"/>
        </w:rPr>
        <w:t>其他交通</w:t>
      </w:r>
      <w:r>
        <w:rPr>
          <w:rFonts w:hint="eastAsia"/>
          <w:color w:val="auto"/>
          <w:kern w:val="0"/>
          <w:szCs w:val="32"/>
          <w:lang w:eastAsia="zh-CN"/>
        </w:rPr>
        <w:t>费用</w:t>
      </w:r>
      <w:r>
        <w:rPr>
          <w:color w:val="auto"/>
          <w:szCs w:val="32"/>
        </w:rPr>
        <w:t>、</w:t>
      </w:r>
      <w:r>
        <w:rPr>
          <w:color w:val="auto"/>
          <w:kern w:val="0"/>
          <w:szCs w:val="32"/>
        </w:rPr>
        <w:t>其他商品和服务支出</w:t>
      </w:r>
      <w:r>
        <w:rPr>
          <w:rFonts w:hint="eastAsia"/>
          <w:color w:val="auto"/>
          <w:kern w:val="0"/>
          <w:szCs w:val="32"/>
          <w:lang w:eastAsia="zh-CN"/>
        </w:rPr>
        <w:t>；办公设备购置</w:t>
      </w:r>
      <w:r>
        <w:rPr>
          <w:color w:val="auto"/>
          <w:kern w:val="0"/>
          <w:szCs w:val="32"/>
        </w:rPr>
        <w:t>。</w:t>
      </w:r>
    </w:p>
    <w:p>
      <w:pPr>
        <w:ind w:firstLine="640" w:firstLineChars="200"/>
        <w:rPr>
          <w:rFonts w:eastAsia="黑体"/>
          <w:color w:val="auto"/>
          <w:szCs w:val="30"/>
        </w:rPr>
      </w:pPr>
      <w:r>
        <w:rPr>
          <w:rFonts w:eastAsia="黑体"/>
          <w:color w:val="auto"/>
          <w:szCs w:val="30"/>
        </w:rPr>
        <w:t>七、20</w:t>
      </w:r>
      <w:r>
        <w:rPr>
          <w:rFonts w:hint="eastAsia" w:eastAsia="黑体"/>
          <w:color w:val="auto"/>
          <w:szCs w:val="30"/>
        </w:rPr>
        <w:t>2</w:t>
      </w:r>
      <w:r>
        <w:rPr>
          <w:rFonts w:hint="eastAsia"/>
          <w:color w:val="auto"/>
          <w:szCs w:val="32"/>
          <w:lang w:val="en-US" w:eastAsia="zh-CN"/>
        </w:rPr>
        <w:t>5</w:t>
      </w:r>
      <w:r>
        <w:rPr>
          <w:rFonts w:eastAsia="黑体"/>
          <w:color w:val="auto"/>
          <w:szCs w:val="30"/>
        </w:rPr>
        <w:t>年一般公共预算</w:t>
      </w:r>
      <w:r>
        <w:rPr>
          <w:rFonts w:hint="eastAsia" w:eastAsia="黑体"/>
          <w:color w:val="auto"/>
          <w:szCs w:val="30"/>
        </w:rPr>
        <w:t>财政拨款</w:t>
      </w:r>
      <w:r>
        <w:rPr>
          <w:rFonts w:eastAsia="黑体"/>
          <w:color w:val="auto"/>
          <w:szCs w:val="30"/>
        </w:rPr>
        <w:t>“三公”经费情况</w:t>
      </w:r>
    </w:p>
    <w:p>
      <w:pPr>
        <w:ind w:firstLine="640" w:firstLineChars="200"/>
        <w:rPr>
          <w:rFonts w:hint="eastAsia"/>
          <w:color w:val="auto"/>
          <w:szCs w:val="32"/>
          <w:lang w:val="en-US" w:eastAsia="zh-CN"/>
        </w:rPr>
      </w:pPr>
      <w:r>
        <w:rPr>
          <w:rFonts w:hint="eastAsia"/>
          <w:color w:val="auto"/>
          <w:szCs w:val="32"/>
          <w:lang w:eastAsia="zh-CN"/>
        </w:rPr>
        <w:t>本单位无一般公共预算拨款“三公”经费</w:t>
      </w:r>
      <w:r>
        <w:rPr>
          <w:rFonts w:hint="eastAsia"/>
          <w:color w:val="auto"/>
          <w:szCs w:val="32"/>
          <w:lang w:val="en-US" w:eastAsia="zh-CN"/>
        </w:rPr>
        <w:t>拨款</w:t>
      </w:r>
    </w:p>
    <w:p>
      <w:pPr>
        <w:ind w:firstLine="640" w:firstLineChars="200"/>
        <w:jc w:val="both"/>
        <w:rPr>
          <w:rFonts w:eastAsia="黑体"/>
          <w:color w:val="auto"/>
          <w:szCs w:val="32"/>
        </w:rPr>
      </w:pPr>
      <w:r>
        <w:rPr>
          <w:rFonts w:eastAsia="黑体"/>
          <w:color w:val="auto"/>
          <w:szCs w:val="32"/>
        </w:rPr>
        <w:t>八、20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年政府性基金预算支出情况</w:t>
      </w:r>
    </w:p>
    <w:p>
      <w:pPr>
        <w:ind w:firstLine="640" w:firstLineChars="200"/>
        <w:rPr>
          <w:rFonts w:hint="eastAsia"/>
          <w:color w:val="auto"/>
          <w:szCs w:val="32"/>
          <w:lang w:eastAsia="zh-CN"/>
        </w:rPr>
      </w:pPr>
      <w:r>
        <w:rPr>
          <w:rFonts w:hint="eastAsia"/>
          <w:color w:val="auto"/>
          <w:szCs w:val="32"/>
          <w:lang w:eastAsia="zh-CN"/>
        </w:rPr>
        <w:t>本单位无政府性基金预算拨款</w:t>
      </w:r>
    </w:p>
    <w:p>
      <w:pPr>
        <w:ind w:firstLine="640" w:firstLineChars="200"/>
        <w:rPr>
          <w:rFonts w:eastAsia="黑体"/>
          <w:color w:val="auto"/>
          <w:szCs w:val="32"/>
        </w:rPr>
      </w:pPr>
      <w:r>
        <w:rPr>
          <w:rFonts w:hint="eastAsia" w:eastAsia="黑体"/>
          <w:color w:val="auto"/>
          <w:szCs w:val="32"/>
        </w:rPr>
        <w:t>九</w:t>
      </w:r>
      <w:r>
        <w:rPr>
          <w:rFonts w:eastAsia="黑体"/>
          <w:color w:val="auto"/>
          <w:szCs w:val="32"/>
        </w:rPr>
        <w:t>、20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w:t>
      </w:r>
      <w:r>
        <w:rPr>
          <w:rFonts w:hint="eastAsia" w:eastAsia="黑体"/>
          <w:color w:val="auto"/>
          <w:szCs w:val="32"/>
        </w:rPr>
        <w:t>国有资本经营</w:t>
      </w:r>
      <w:r>
        <w:rPr>
          <w:rFonts w:eastAsia="黑体"/>
          <w:color w:val="auto"/>
          <w:szCs w:val="32"/>
        </w:rPr>
        <w:t>预算支出情况</w:t>
      </w:r>
    </w:p>
    <w:p>
      <w:pPr>
        <w:ind w:firstLine="640" w:firstLineChars="200"/>
        <w:rPr>
          <w:rFonts w:hint="eastAsia"/>
          <w:color w:val="auto"/>
          <w:szCs w:val="32"/>
          <w:lang w:eastAsia="zh-CN"/>
        </w:rPr>
      </w:pPr>
      <w:r>
        <w:rPr>
          <w:rFonts w:hint="eastAsia"/>
          <w:color w:val="auto"/>
          <w:szCs w:val="32"/>
          <w:lang w:eastAsia="zh-CN"/>
        </w:rPr>
        <w:t>本</w:t>
      </w:r>
      <w:r>
        <w:rPr>
          <w:rFonts w:hint="eastAsia"/>
          <w:color w:val="auto"/>
          <w:szCs w:val="32"/>
          <w:lang w:val="en-US" w:eastAsia="zh-CN"/>
        </w:rPr>
        <w:t>单位</w:t>
      </w:r>
      <w:r>
        <w:rPr>
          <w:rFonts w:hint="eastAsia"/>
          <w:color w:val="auto"/>
          <w:szCs w:val="32"/>
          <w:lang w:eastAsia="zh-CN"/>
        </w:rPr>
        <w:t>无国有资本经营预算拨款</w:t>
      </w:r>
    </w:p>
    <w:p>
      <w:pPr>
        <w:ind w:firstLine="640"/>
        <w:rPr>
          <w:rFonts w:eastAsia="黑体"/>
          <w:color w:val="auto"/>
          <w:szCs w:val="32"/>
        </w:rPr>
      </w:pPr>
      <w:r>
        <w:rPr>
          <w:rFonts w:hint="eastAsia" w:eastAsia="黑体"/>
          <w:color w:val="auto"/>
          <w:szCs w:val="32"/>
        </w:rPr>
        <w:t>十</w:t>
      </w:r>
      <w:r>
        <w:rPr>
          <w:rFonts w:eastAsia="黑体"/>
          <w:color w:val="auto"/>
          <w:szCs w:val="32"/>
        </w:rPr>
        <w:t>、其他重要事项的说明情况</w:t>
      </w:r>
    </w:p>
    <w:p>
      <w:pPr>
        <w:spacing w:line="540" w:lineRule="exact"/>
        <w:ind w:firstLine="640" w:firstLineChars="200"/>
        <w:rPr>
          <w:rFonts w:eastAsia="楷体"/>
          <w:color w:val="auto"/>
          <w:szCs w:val="32"/>
        </w:rPr>
      </w:pPr>
      <w:r>
        <w:rPr>
          <w:rFonts w:eastAsia="楷体"/>
          <w:color w:val="auto"/>
          <w:szCs w:val="32"/>
        </w:rPr>
        <w:t>（一）机关运行经费</w:t>
      </w:r>
    </w:p>
    <w:p>
      <w:pPr>
        <w:ind w:firstLine="640" w:firstLineChars="200"/>
        <w:rPr>
          <w:rFonts w:hint="eastAsia"/>
          <w:color w:val="auto"/>
          <w:szCs w:val="32"/>
          <w:lang w:eastAsia="zh-CN"/>
        </w:rPr>
      </w:pPr>
      <w:r>
        <w:rPr>
          <w:rFonts w:hint="eastAsia"/>
          <w:color w:val="auto"/>
          <w:szCs w:val="32"/>
          <w:lang w:eastAsia="zh-CN"/>
        </w:rPr>
        <w:t>202</w:t>
      </w:r>
      <w:r>
        <w:rPr>
          <w:rFonts w:hint="eastAsia"/>
          <w:color w:val="auto"/>
          <w:szCs w:val="32"/>
          <w:lang w:val="en-US" w:eastAsia="zh-CN"/>
        </w:rPr>
        <w:t>5</w:t>
      </w:r>
      <w:r>
        <w:rPr>
          <w:rFonts w:hint="eastAsia"/>
          <w:color w:val="auto"/>
          <w:szCs w:val="32"/>
          <w:lang w:eastAsia="zh-CN"/>
        </w:rPr>
        <w:t>年四平市统计局铁东区分局机关运行经费财政拨款预算</w:t>
      </w:r>
      <w:r>
        <w:rPr>
          <w:rFonts w:hint="eastAsia"/>
          <w:color w:val="auto"/>
          <w:szCs w:val="32"/>
          <w:lang w:val="en-US" w:eastAsia="zh-CN"/>
        </w:rPr>
        <w:t>6.64</w:t>
      </w:r>
      <w:r>
        <w:rPr>
          <w:rFonts w:hint="eastAsia"/>
          <w:color w:val="auto"/>
          <w:szCs w:val="32"/>
          <w:lang w:eastAsia="zh-CN"/>
        </w:rPr>
        <w:t>万元比202</w:t>
      </w:r>
      <w:r>
        <w:rPr>
          <w:rFonts w:hint="eastAsia"/>
          <w:color w:val="auto"/>
          <w:szCs w:val="32"/>
          <w:lang w:val="en-US" w:eastAsia="zh-CN"/>
        </w:rPr>
        <w:t>4</w:t>
      </w:r>
      <w:r>
        <w:rPr>
          <w:rFonts w:hint="eastAsia"/>
          <w:color w:val="auto"/>
          <w:szCs w:val="32"/>
          <w:lang w:eastAsia="zh-CN"/>
        </w:rPr>
        <w:t>年预算减少</w:t>
      </w:r>
      <w:r>
        <w:rPr>
          <w:rFonts w:hint="eastAsia"/>
          <w:color w:val="auto"/>
          <w:szCs w:val="32"/>
          <w:lang w:val="en-US" w:eastAsia="zh-CN"/>
        </w:rPr>
        <w:t>0.1</w:t>
      </w:r>
      <w:r>
        <w:rPr>
          <w:rFonts w:hint="eastAsia"/>
          <w:color w:val="auto"/>
          <w:szCs w:val="32"/>
          <w:lang w:eastAsia="zh-CN"/>
        </w:rPr>
        <w:t>万元，下降</w:t>
      </w:r>
      <w:r>
        <w:rPr>
          <w:rFonts w:hint="eastAsia"/>
          <w:color w:val="auto"/>
          <w:szCs w:val="32"/>
          <w:lang w:val="en-US" w:eastAsia="zh-CN"/>
        </w:rPr>
        <w:t>0.15</w:t>
      </w:r>
      <w:r>
        <w:rPr>
          <w:rFonts w:hint="eastAsia"/>
          <w:color w:val="auto"/>
          <w:szCs w:val="32"/>
          <w:lang w:eastAsia="zh-CN"/>
        </w:rPr>
        <w:t>%，主要原因是根据相关安排对机关运行经费预算进行调减，从而影响本年度机关运行经费预算。</w:t>
      </w:r>
    </w:p>
    <w:p>
      <w:pPr>
        <w:spacing w:line="540" w:lineRule="exact"/>
        <w:ind w:firstLine="640" w:firstLineChars="200"/>
        <w:rPr>
          <w:rFonts w:eastAsia="楷体"/>
          <w:color w:val="auto"/>
          <w:szCs w:val="32"/>
        </w:rPr>
      </w:pPr>
      <w:r>
        <w:rPr>
          <w:rFonts w:eastAsia="楷体"/>
          <w:color w:val="auto"/>
          <w:szCs w:val="32"/>
        </w:rPr>
        <w:t>（二）政府采购情况</w:t>
      </w:r>
    </w:p>
    <w:p>
      <w:pPr>
        <w:spacing w:line="540" w:lineRule="exact"/>
        <w:ind w:firstLine="640" w:firstLineChars="200"/>
        <w:rPr>
          <w:rFonts w:hint="eastAsia"/>
          <w:color w:val="auto"/>
          <w:lang w:val="en-US" w:eastAsia="zh-CN"/>
        </w:rPr>
      </w:pPr>
      <w:r>
        <w:rPr>
          <w:rFonts w:hint="eastAsia"/>
          <w:color w:val="auto"/>
          <w:lang w:val="en-US" w:eastAsia="zh-CN"/>
        </w:rPr>
        <w:t>本单位无政府采购预算拨款</w:t>
      </w:r>
    </w:p>
    <w:p>
      <w:pPr>
        <w:spacing w:line="540" w:lineRule="exact"/>
        <w:ind w:firstLine="640" w:firstLineChars="200"/>
        <w:rPr>
          <w:rFonts w:eastAsia="楷体"/>
          <w:color w:val="auto"/>
          <w:szCs w:val="32"/>
        </w:rPr>
      </w:pPr>
      <w:r>
        <w:rPr>
          <w:rFonts w:eastAsia="楷体"/>
          <w:color w:val="auto"/>
          <w:szCs w:val="32"/>
        </w:rPr>
        <w:t>（三）国有资产占有使用情况</w:t>
      </w:r>
    </w:p>
    <w:p>
      <w:pPr>
        <w:spacing w:line="540" w:lineRule="exact"/>
        <w:ind w:firstLine="640" w:firstLineChars="200"/>
        <w:rPr>
          <w:rFonts w:hint="eastAsia"/>
          <w:color w:val="auto"/>
          <w:lang w:val="en-US" w:eastAsia="zh-CN"/>
        </w:rPr>
      </w:pPr>
      <w:r>
        <w:rPr>
          <w:rFonts w:hint="eastAsia"/>
          <w:color w:val="auto"/>
          <w:lang w:val="en-US" w:eastAsia="zh-CN"/>
        </w:rPr>
        <w:t>截至2024年8月底，单位本级共有车辆0辆，土地0平方米，房屋0平方米，单价50万元以上设备0台/套。</w:t>
      </w:r>
    </w:p>
    <w:p>
      <w:pPr>
        <w:spacing w:line="540" w:lineRule="exact"/>
        <w:ind w:firstLine="640" w:firstLineChars="200"/>
        <w:rPr>
          <w:rFonts w:hint="eastAsia"/>
          <w:color w:val="auto"/>
          <w:lang w:val="en-US" w:eastAsia="zh-CN"/>
        </w:rPr>
      </w:pPr>
      <w:r>
        <w:rPr>
          <w:rFonts w:hint="eastAsia"/>
          <w:color w:val="auto"/>
          <w:lang w:val="en-US" w:eastAsia="zh-CN"/>
        </w:rPr>
        <w:t>2025年单位预算安排购置车辆0辆，安排购置土地0平方米，安排购置房屋0平方米，计划新增单价50万元以上设备0台/套。</w:t>
      </w:r>
    </w:p>
    <w:p>
      <w:pPr>
        <w:numPr>
          <w:ilvl w:val="0"/>
          <w:numId w:val="1"/>
        </w:numPr>
        <w:spacing w:line="540" w:lineRule="exact"/>
        <w:ind w:firstLine="640" w:firstLineChars="200"/>
        <w:rPr>
          <w:rFonts w:hint="eastAsia" w:eastAsia="楷体"/>
          <w:color w:val="auto"/>
          <w:szCs w:val="32"/>
        </w:rPr>
      </w:pPr>
      <w:r>
        <w:rPr>
          <w:rFonts w:hint="eastAsia" w:eastAsia="楷体"/>
          <w:color w:val="auto"/>
          <w:szCs w:val="32"/>
        </w:rPr>
        <w:t>项目支出情况说明</w:t>
      </w:r>
    </w:p>
    <w:p>
      <w:pPr>
        <w:spacing w:line="540" w:lineRule="exact"/>
        <w:ind w:firstLine="640" w:firstLineChars="200"/>
        <w:rPr>
          <w:color w:val="auto"/>
        </w:rPr>
      </w:pPr>
      <w:r>
        <w:rPr>
          <w:color w:val="auto"/>
        </w:rPr>
        <w:t>202</w:t>
      </w:r>
      <w:r>
        <w:rPr>
          <w:rFonts w:hint="eastAsia"/>
          <w:color w:val="auto"/>
          <w:lang w:val="en-US" w:eastAsia="zh-CN"/>
        </w:rPr>
        <w:t>5</w:t>
      </w:r>
      <w:r>
        <w:rPr>
          <w:color w:val="auto"/>
        </w:rPr>
        <w:t>年</w:t>
      </w:r>
      <w:r>
        <w:rPr>
          <w:rFonts w:hint="eastAsia"/>
          <w:color w:val="auto"/>
          <w:lang w:val="en-US" w:eastAsia="zh-CN"/>
        </w:rPr>
        <w:t>单位</w:t>
      </w:r>
      <w:r>
        <w:rPr>
          <w:color w:val="auto"/>
        </w:rPr>
        <w:t>项目支出</w:t>
      </w:r>
      <w:r>
        <w:rPr>
          <w:rFonts w:hint="eastAsia"/>
          <w:color w:val="auto"/>
          <w:szCs w:val="32"/>
          <w:lang w:val="en-US" w:eastAsia="zh-CN"/>
        </w:rPr>
        <w:t>18.20</w:t>
      </w:r>
      <w:r>
        <w:rPr>
          <w:color w:val="auto"/>
          <w:szCs w:val="32"/>
        </w:rPr>
        <w:t>万元，其中：一级项目</w:t>
      </w:r>
      <w:r>
        <w:rPr>
          <w:rFonts w:hint="eastAsia"/>
          <w:color w:val="auto"/>
          <w:szCs w:val="32"/>
          <w:lang w:val="en-US" w:eastAsia="zh-CN"/>
        </w:rPr>
        <w:t>1</w:t>
      </w:r>
      <w:r>
        <w:rPr>
          <w:color w:val="auto"/>
          <w:szCs w:val="32"/>
        </w:rPr>
        <w:t>个，二级项目</w:t>
      </w:r>
      <w:r>
        <w:rPr>
          <w:rFonts w:hint="eastAsia"/>
          <w:color w:val="auto"/>
          <w:szCs w:val="32"/>
          <w:lang w:val="en-US" w:eastAsia="zh-CN"/>
        </w:rPr>
        <w:t>1</w:t>
      </w:r>
      <w:r>
        <w:rPr>
          <w:color w:val="auto"/>
          <w:szCs w:val="32"/>
        </w:rPr>
        <w:t>个；使用</w:t>
      </w:r>
      <w:r>
        <w:rPr>
          <w:rFonts w:hint="eastAsia"/>
          <w:color w:val="auto"/>
          <w:szCs w:val="32"/>
        </w:rPr>
        <w:t>本年拨款</w:t>
      </w:r>
      <w:r>
        <w:rPr>
          <w:rFonts w:hint="eastAsia"/>
          <w:color w:val="auto"/>
          <w:szCs w:val="32"/>
          <w:lang w:val="en-US" w:eastAsia="zh-CN"/>
        </w:rPr>
        <w:t>18.20</w:t>
      </w:r>
      <w:r>
        <w:rPr>
          <w:color w:val="auto"/>
          <w:szCs w:val="32"/>
        </w:rPr>
        <w:t>万元，</w:t>
      </w:r>
      <w:r>
        <w:rPr>
          <w:rFonts w:hint="eastAsia"/>
          <w:color w:val="auto"/>
          <w:szCs w:val="32"/>
        </w:rPr>
        <w:t>财政拨款结转</w:t>
      </w:r>
      <w:r>
        <w:rPr>
          <w:rFonts w:hint="eastAsia"/>
          <w:color w:val="auto"/>
          <w:szCs w:val="32"/>
          <w:lang w:val="en-US" w:eastAsia="zh-CN"/>
        </w:rPr>
        <w:t>0</w:t>
      </w:r>
      <w:r>
        <w:rPr>
          <w:color w:val="auto"/>
          <w:szCs w:val="32"/>
        </w:rPr>
        <w:t>万元。</w:t>
      </w:r>
    </w:p>
    <w:p>
      <w:pPr>
        <w:spacing w:line="540" w:lineRule="exact"/>
        <w:ind w:firstLine="640" w:firstLineChars="200"/>
        <w:rPr>
          <w:rFonts w:eastAsia="楷体"/>
          <w:color w:val="auto"/>
          <w:szCs w:val="32"/>
        </w:rPr>
      </w:pPr>
      <w:r>
        <w:rPr>
          <w:rFonts w:hint="eastAsia" w:eastAsia="楷体"/>
          <w:color w:val="auto"/>
          <w:szCs w:val="32"/>
        </w:rPr>
        <w:t>（五）项目支出绩效目标情况说明</w:t>
      </w:r>
    </w:p>
    <w:p>
      <w:pPr>
        <w:ind w:firstLine="645"/>
        <w:rPr>
          <w:rFonts w:eastAsia="楷体"/>
          <w:color w:val="auto"/>
          <w:szCs w:val="32"/>
        </w:rPr>
      </w:pPr>
      <w:r>
        <w:rPr>
          <w:rFonts w:hint="eastAsia" w:ascii="宋体" w:hAnsi="宋体"/>
          <w:color w:val="auto"/>
        </w:rPr>
        <w:t>按照全面实施预算绩效管理的要求，结合本</w:t>
      </w:r>
      <w:r>
        <w:rPr>
          <w:rFonts w:hint="eastAsia" w:ascii="宋体" w:hAnsi="宋体"/>
          <w:color w:val="auto"/>
          <w:lang w:val="en-US" w:eastAsia="zh-CN"/>
        </w:rPr>
        <w:t>单位</w:t>
      </w:r>
      <w:r>
        <w:rPr>
          <w:rFonts w:hint="eastAsia" w:ascii="宋体" w:hAnsi="宋体"/>
          <w:color w:val="auto"/>
        </w:rPr>
        <w:t>职能和重点工作，202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eastAsia="zh-CN"/>
        </w:rPr>
        <w:t>将</w:t>
      </w:r>
      <w:r>
        <w:rPr>
          <w:rFonts w:hint="eastAsia" w:ascii="宋体" w:hAnsi="宋体"/>
          <w:color w:val="auto"/>
          <w:lang w:val="en-US" w:eastAsia="zh-CN"/>
        </w:rPr>
        <w:t>1</w:t>
      </w:r>
      <w:r>
        <w:rPr>
          <w:rFonts w:hint="eastAsia" w:ascii="宋体" w:hAnsi="宋体"/>
          <w:color w:val="auto"/>
        </w:rPr>
        <w:t>个项目支出的绩效目标和指标向社会公开，涉及金额</w:t>
      </w:r>
      <w:r>
        <w:rPr>
          <w:rFonts w:hint="eastAsia"/>
          <w:color w:val="auto"/>
          <w:szCs w:val="32"/>
          <w:lang w:val="en-US" w:eastAsia="zh-CN"/>
        </w:rPr>
        <w:t>18.20</w:t>
      </w:r>
      <w:r>
        <w:rPr>
          <w:rFonts w:hint="eastAsia" w:ascii="宋体" w:hAnsi="宋体"/>
          <w:color w:val="auto"/>
        </w:rPr>
        <w:t>万元。</w:t>
      </w:r>
    </w:p>
    <w:p>
      <w:pPr>
        <w:spacing w:line="540" w:lineRule="exact"/>
        <w:rPr>
          <w:rFonts w:eastAsia="楷体"/>
          <w:color w:val="auto"/>
          <w:szCs w:val="32"/>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p>
    <w:p>
      <w:pPr>
        <w:jc w:val="center"/>
        <w:rPr>
          <w:rFonts w:eastAsia="黑体"/>
          <w:color w:val="auto"/>
        </w:rPr>
      </w:pPr>
      <w:r>
        <w:rPr>
          <w:rFonts w:eastAsia="黑体"/>
          <w:color w:val="auto"/>
        </w:rPr>
        <w:t>第四部分 名词解释</w:t>
      </w:r>
    </w:p>
    <w:p>
      <w:pPr>
        <w:ind w:firstLine="640" w:firstLineChars="200"/>
        <w:jc w:val="center"/>
        <w:rPr>
          <w:rFonts w:eastAsia="黑体"/>
          <w:color w:val="auto"/>
        </w:rPr>
      </w:pPr>
    </w:p>
    <w:p>
      <w:pPr>
        <w:ind w:firstLine="640" w:firstLineChars="200"/>
        <w:rPr>
          <w:color w:val="auto"/>
          <w:szCs w:val="32"/>
        </w:rPr>
      </w:pPr>
      <w:r>
        <w:rPr>
          <w:rFonts w:eastAsia="楷体"/>
          <w:color w:val="auto"/>
          <w:szCs w:val="32"/>
        </w:rPr>
        <w:t>（一）一般公共预算拨款收入：</w:t>
      </w:r>
      <w:r>
        <w:rPr>
          <w:color w:val="auto"/>
          <w:szCs w:val="32"/>
        </w:rPr>
        <w:t>指省级财政通过当年一般公共预算拨付的资金。</w:t>
      </w:r>
    </w:p>
    <w:p>
      <w:pPr>
        <w:ind w:firstLine="640" w:firstLineChars="200"/>
        <w:rPr>
          <w:color w:val="auto"/>
          <w:szCs w:val="32"/>
        </w:rPr>
      </w:pPr>
      <w:r>
        <w:rPr>
          <w:rFonts w:eastAsia="楷体"/>
          <w:color w:val="auto"/>
          <w:szCs w:val="32"/>
        </w:rPr>
        <w:t>（二）</w:t>
      </w:r>
      <w:r>
        <w:rPr>
          <w:rFonts w:hint="eastAsia" w:eastAsia="楷体"/>
          <w:color w:val="auto"/>
          <w:szCs w:val="32"/>
        </w:rPr>
        <w:t>政府性基金预算拨款收入：</w:t>
      </w:r>
      <w:r>
        <w:rPr>
          <w:color w:val="auto"/>
          <w:szCs w:val="32"/>
        </w:rPr>
        <w:t>指省级财政通过当年</w:t>
      </w:r>
      <w:r>
        <w:rPr>
          <w:rFonts w:hint="eastAsia"/>
          <w:color w:val="auto"/>
          <w:szCs w:val="32"/>
        </w:rPr>
        <w:t>政府性基金</w:t>
      </w:r>
      <w:r>
        <w:rPr>
          <w:color w:val="auto"/>
          <w:szCs w:val="32"/>
        </w:rPr>
        <w:t>预算拨付的资金。</w:t>
      </w:r>
    </w:p>
    <w:p>
      <w:pPr>
        <w:ind w:firstLine="640" w:firstLineChars="200"/>
        <w:rPr>
          <w:color w:val="auto"/>
          <w:szCs w:val="32"/>
        </w:rPr>
      </w:pPr>
      <w:r>
        <w:rPr>
          <w:rFonts w:eastAsia="楷体"/>
          <w:color w:val="auto"/>
          <w:szCs w:val="32"/>
        </w:rPr>
        <w:t>（</w:t>
      </w:r>
      <w:r>
        <w:rPr>
          <w:rFonts w:hint="eastAsia" w:eastAsia="楷体"/>
          <w:color w:val="auto"/>
          <w:szCs w:val="32"/>
        </w:rPr>
        <w:t>三</w:t>
      </w:r>
      <w:r>
        <w:rPr>
          <w:rFonts w:eastAsia="楷体"/>
          <w:color w:val="auto"/>
          <w:szCs w:val="32"/>
        </w:rPr>
        <w:t>）</w:t>
      </w:r>
      <w:r>
        <w:rPr>
          <w:rFonts w:hint="eastAsia" w:eastAsia="楷体"/>
          <w:color w:val="auto"/>
          <w:szCs w:val="32"/>
        </w:rPr>
        <w:t>国有资本经营预算拨款收入：</w:t>
      </w:r>
      <w:r>
        <w:rPr>
          <w:color w:val="auto"/>
          <w:szCs w:val="32"/>
        </w:rPr>
        <w:t>指省级财政通过当年</w:t>
      </w:r>
      <w:r>
        <w:rPr>
          <w:rFonts w:hint="eastAsia"/>
          <w:color w:val="auto"/>
          <w:szCs w:val="32"/>
        </w:rPr>
        <w:t>国有资本经营</w:t>
      </w:r>
      <w:r>
        <w:rPr>
          <w:color w:val="auto"/>
          <w:szCs w:val="32"/>
        </w:rPr>
        <w:t>预算拨付的资金。</w:t>
      </w:r>
    </w:p>
    <w:p>
      <w:pPr>
        <w:ind w:firstLine="640"/>
        <w:rPr>
          <w:rFonts w:hint="eastAsia"/>
          <w:color w:val="auto"/>
          <w:szCs w:val="32"/>
        </w:rPr>
      </w:pPr>
      <w:r>
        <w:rPr>
          <w:rFonts w:eastAsia="楷体"/>
          <w:color w:val="auto"/>
          <w:szCs w:val="32"/>
        </w:rPr>
        <w:t>（</w:t>
      </w:r>
      <w:r>
        <w:rPr>
          <w:rFonts w:hint="eastAsia" w:eastAsia="楷体"/>
          <w:color w:val="auto"/>
          <w:szCs w:val="32"/>
        </w:rPr>
        <w:t>四</w:t>
      </w:r>
      <w:r>
        <w:rPr>
          <w:rFonts w:eastAsia="楷体"/>
          <w:color w:val="auto"/>
          <w:szCs w:val="32"/>
        </w:rPr>
        <w:t>）</w:t>
      </w:r>
      <w:r>
        <w:rPr>
          <w:rFonts w:hint="eastAsia" w:eastAsia="楷体"/>
          <w:color w:val="auto"/>
          <w:szCs w:val="32"/>
        </w:rPr>
        <w:t>财政专户管理资金收入</w:t>
      </w:r>
      <w:r>
        <w:rPr>
          <w:rFonts w:eastAsia="楷体"/>
          <w:color w:val="auto"/>
          <w:szCs w:val="32"/>
        </w:rPr>
        <w:t>：</w:t>
      </w:r>
      <w:r>
        <w:rPr>
          <w:rFonts w:hint="eastAsia"/>
          <w:color w:val="auto"/>
          <w:szCs w:val="32"/>
        </w:rPr>
        <w:t>指</w:t>
      </w:r>
      <w:r>
        <w:rPr>
          <w:rFonts w:hint="eastAsia"/>
          <w:color w:val="auto"/>
          <w:szCs w:val="32"/>
          <w:lang w:eastAsia="zh-CN"/>
        </w:rPr>
        <w:t>缴入财政专户</w:t>
      </w:r>
      <w:r>
        <w:rPr>
          <w:rFonts w:hint="eastAsia"/>
          <w:color w:val="auto"/>
          <w:szCs w:val="32"/>
        </w:rPr>
        <w:t>并实行财政专</w:t>
      </w:r>
      <w:r>
        <w:rPr>
          <w:rFonts w:hint="eastAsia"/>
          <w:color w:val="auto"/>
          <w:szCs w:val="32"/>
          <w:lang w:eastAsia="zh-CN"/>
        </w:rPr>
        <w:t>项</w:t>
      </w:r>
      <w:r>
        <w:rPr>
          <w:rFonts w:hint="eastAsia"/>
          <w:color w:val="auto"/>
          <w:szCs w:val="32"/>
        </w:rPr>
        <w:t>管理的资金收入。</w:t>
      </w:r>
    </w:p>
    <w:p>
      <w:pPr>
        <w:ind w:firstLine="640"/>
        <w:rPr>
          <w:rFonts w:hint="eastAsia" w:ascii="宋体" w:hAnsi="宋体" w:eastAsia="仿宋_GB2312" w:cs="Times New Roman"/>
          <w:color w:val="auto"/>
          <w:sz w:val="32"/>
          <w:szCs w:val="32"/>
          <w:lang w:val="en-US" w:eastAsia="zh-CN"/>
        </w:rPr>
      </w:pPr>
      <w:r>
        <w:rPr>
          <w:rFonts w:hint="eastAsia" w:eastAsia="楷体"/>
          <w:color w:val="auto"/>
          <w:szCs w:val="32"/>
        </w:rPr>
        <w:t>（五）</w:t>
      </w:r>
      <w:r>
        <w:rPr>
          <w:rFonts w:eastAsia="楷体"/>
          <w:color w:val="auto"/>
          <w:szCs w:val="32"/>
        </w:rPr>
        <w:t>事业收入：</w:t>
      </w:r>
      <w:r>
        <w:rPr>
          <w:rFonts w:hint="eastAsia" w:ascii="宋体" w:hAnsi="宋体" w:cs="Times New Roman"/>
          <w:color w:val="auto"/>
          <w:sz w:val="32"/>
          <w:szCs w:val="32"/>
          <w:lang w:val="en-US" w:eastAsia="zh-CN"/>
        </w:rPr>
        <w:t>是指</w:t>
      </w:r>
      <w:r>
        <w:rPr>
          <w:rFonts w:hint="eastAsia" w:ascii="宋体" w:hAnsi="宋体" w:eastAsia="仿宋_GB2312" w:cs="Times New Roman"/>
          <w:color w:val="auto"/>
          <w:sz w:val="32"/>
          <w:szCs w:val="32"/>
          <w:lang w:val="en-US" w:eastAsia="zh-CN"/>
        </w:rPr>
        <w:t>事业单位开展专业业务活动及其辅助活动取得的收入。</w:t>
      </w:r>
    </w:p>
    <w:p>
      <w:pPr>
        <w:ind w:firstLine="640"/>
        <w:rPr>
          <w:rFonts w:hint="eastAsia"/>
          <w:color w:val="auto"/>
          <w:szCs w:val="32"/>
        </w:rPr>
      </w:pPr>
      <w:r>
        <w:rPr>
          <w:rFonts w:eastAsia="楷体"/>
          <w:color w:val="auto"/>
          <w:szCs w:val="32"/>
        </w:rPr>
        <w:t>（</w:t>
      </w:r>
      <w:r>
        <w:rPr>
          <w:rFonts w:hint="eastAsia" w:eastAsia="楷体"/>
          <w:color w:val="auto"/>
          <w:szCs w:val="32"/>
        </w:rPr>
        <w:t>六</w:t>
      </w:r>
      <w:r>
        <w:rPr>
          <w:rFonts w:eastAsia="楷体"/>
          <w:color w:val="auto"/>
          <w:szCs w:val="32"/>
        </w:rPr>
        <w:t>）</w:t>
      </w:r>
      <w:r>
        <w:rPr>
          <w:rFonts w:hint="eastAsia" w:eastAsia="楷体"/>
          <w:color w:val="auto"/>
          <w:szCs w:val="32"/>
        </w:rPr>
        <w:t>上级补助收入：</w:t>
      </w:r>
      <w:r>
        <w:rPr>
          <w:rFonts w:hint="eastAsia"/>
          <w:color w:val="auto"/>
          <w:szCs w:val="32"/>
        </w:rPr>
        <w:t>指预算单位从主管部门或上级单位取得的非财政拨款补助收入。</w:t>
      </w:r>
    </w:p>
    <w:p>
      <w:pPr>
        <w:ind w:firstLine="640" w:firstLineChars="200"/>
        <w:jc w:val="both"/>
        <w:rPr>
          <w:rFonts w:hint="eastAsia" w:ascii="宋体" w:hAnsi="宋体" w:eastAsia="仿宋_GB2312" w:cs="Times New Roman"/>
          <w:color w:val="auto"/>
          <w:sz w:val="32"/>
          <w:szCs w:val="32"/>
          <w:lang w:val="en-US" w:eastAsia="zh-CN"/>
        </w:rPr>
      </w:pPr>
      <w:r>
        <w:rPr>
          <w:rFonts w:eastAsia="楷体"/>
          <w:color w:val="auto"/>
          <w:szCs w:val="32"/>
        </w:rPr>
        <w:t>（</w:t>
      </w:r>
      <w:r>
        <w:rPr>
          <w:rFonts w:hint="eastAsia" w:eastAsia="楷体"/>
          <w:color w:val="auto"/>
          <w:szCs w:val="32"/>
        </w:rPr>
        <w:t>七</w:t>
      </w:r>
      <w:r>
        <w:rPr>
          <w:rFonts w:eastAsia="楷体"/>
          <w:color w:val="auto"/>
          <w:szCs w:val="32"/>
        </w:rPr>
        <w:t>）</w:t>
      </w:r>
      <w:r>
        <w:rPr>
          <w:rFonts w:hint="eastAsia" w:eastAsia="楷体"/>
          <w:color w:val="auto"/>
          <w:szCs w:val="32"/>
        </w:rPr>
        <w:t>附属单位上缴收入：</w:t>
      </w:r>
      <w:r>
        <w:rPr>
          <w:rFonts w:hint="eastAsia" w:ascii="宋体" w:hAnsi="宋体" w:cs="Times New Roman"/>
          <w:color w:val="auto"/>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color w:val="auto"/>
          <w:szCs w:val="32"/>
        </w:rPr>
      </w:pPr>
      <w:r>
        <w:rPr>
          <w:rFonts w:eastAsia="楷体"/>
          <w:color w:val="auto"/>
          <w:szCs w:val="32"/>
        </w:rPr>
        <w:t>（</w:t>
      </w:r>
      <w:r>
        <w:rPr>
          <w:rFonts w:hint="eastAsia" w:eastAsia="楷体"/>
          <w:color w:val="auto"/>
          <w:szCs w:val="32"/>
        </w:rPr>
        <w:t>八</w:t>
      </w:r>
      <w:r>
        <w:rPr>
          <w:rFonts w:eastAsia="楷体"/>
          <w:color w:val="auto"/>
          <w:szCs w:val="32"/>
        </w:rPr>
        <w:t>）事业单位经营收入：</w:t>
      </w:r>
      <w:r>
        <w:rPr>
          <w:color w:val="auto"/>
          <w:szCs w:val="32"/>
        </w:rPr>
        <w:t>指事业单位在专业业务活动及其辅助活动之外开展非独立核算经营活动取得的收入。</w:t>
      </w:r>
    </w:p>
    <w:p>
      <w:pPr>
        <w:ind w:firstLine="640"/>
        <w:rPr>
          <w:rFonts w:hint="eastAsia" w:eastAsia="仿宋_GB2312"/>
          <w:color w:val="auto"/>
          <w:szCs w:val="32"/>
          <w:lang w:eastAsia="zh-CN"/>
        </w:rPr>
      </w:pPr>
      <w:r>
        <w:rPr>
          <w:rFonts w:eastAsia="楷体"/>
          <w:color w:val="auto"/>
          <w:szCs w:val="32"/>
        </w:rPr>
        <w:t>（</w:t>
      </w:r>
      <w:r>
        <w:rPr>
          <w:rFonts w:hint="eastAsia" w:eastAsia="楷体"/>
          <w:color w:val="auto"/>
          <w:szCs w:val="32"/>
        </w:rPr>
        <w:t>九</w:t>
      </w:r>
      <w:r>
        <w:rPr>
          <w:rFonts w:eastAsia="楷体"/>
          <w:color w:val="auto"/>
          <w:szCs w:val="32"/>
        </w:rPr>
        <w:t>）其他收入：</w:t>
      </w:r>
      <w:r>
        <w:rPr>
          <w:color w:val="auto"/>
          <w:szCs w:val="32"/>
        </w:rPr>
        <w:t>指除上述</w:t>
      </w:r>
      <w:r>
        <w:rPr>
          <w:rFonts w:hint="eastAsia"/>
          <w:color w:val="auto"/>
          <w:szCs w:val="32"/>
          <w:lang w:eastAsia="zh-CN"/>
        </w:rPr>
        <w:t>收入</w:t>
      </w:r>
      <w:r>
        <w:rPr>
          <w:color w:val="auto"/>
          <w:szCs w:val="32"/>
        </w:rPr>
        <w:t>以外的</w:t>
      </w:r>
      <w:r>
        <w:rPr>
          <w:rFonts w:hint="eastAsia"/>
          <w:color w:val="auto"/>
          <w:szCs w:val="32"/>
          <w:lang w:eastAsia="zh-CN"/>
        </w:rPr>
        <w:t>各项</w:t>
      </w:r>
      <w:r>
        <w:rPr>
          <w:color w:val="auto"/>
          <w:szCs w:val="32"/>
        </w:rPr>
        <w:t>收入</w:t>
      </w:r>
      <w:r>
        <w:rPr>
          <w:rFonts w:hint="eastAsia"/>
          <w:color w:val="auto"/>
          <w:szCs w:val="32"/>
          <w:lang w:eastAsia="zh-CN"/>
        </w:rPr>
        <w:t>，主要包括非本级财政拨款、事业单位的投资收益等收入。</w:t>
      </w:r>
    </w:p>
    <w:p>
      <w:pPr>
        <w:ind w:firstLine="640"/>
        <w:rPr>
          <w:color w:val="auto"/>
          <w:szCs w:val="32"/>
        </w:rPr>
      </w:pPr>
      <w:r>
        <w:rPr>
          <w:rFonts w:eastAsia="楷体"/>
          <w:color w:val="auto"/>
          <w:szCs w:val="32"/>
        </w:rPr>
        <w:t>（十）上年结转：</w:t>
      </w:r>
      <w:r>
        <w:rPr>
          <w:color w:val="auto"/>
          <w:szCs w:val="32"/>
        </w:rPr>
        <w:t>指以前年度尚未完成、结转到本年仍按原规定用途继续使用的资金。</w:t>
      </w:r>
    </w:p>
    <w:p>
      <w:pPr>
        <w:ind w:firstLine="640"/>
        <w:rPr>
          <w:color w:val="auto"/>
          <w:szCs w:val="32"/>
        </w:rPr>
      </w:pPr>
      <w:r>
        <w:rPr>
          <w:rFonts w:eastAsia="楷体"/>
          <w:color w:val="auto"/>
          <w:szCs w:val="32"/>
        </w:rPr>
        <w:t>（十</w:t>
      </w:r>
      <w:r>
        <w:rPr>
          <w:rFonts w:hint="eastAsia" w:eastAsia="楷体"/>
          <w:color w:val="auto"/>
          <w:szCs w:val="32"/>
          <w:lang w:eastAsia="zh-CN"/>
        </w:rPr>
        <w:t>一</w:t>
      </w:r>
      <w:r>
        <w:rPr>
          <w:rFonts w:eastAsia="楷体"/>
          <w:color w:val="auto"/>
          <w:szCs w:val="32"/>
        </w:rPr>
        <w:t>）结转下年：</w:t>
      </w:r>
      <w:r>
        <w:rPr>
          <w:color w:val="auto"/>
          <w:szCs w:val="32"/>
        </w:rPr>
        <w:t>指以前年度预算安排、因客观条件发生变化无法按原计划实施，需延迟到以后年度按原规定用途继续使用的资金。</w:t>
      </w:r>
    </w:p>
    <w:p>
      <w:pPr>
        <w:ind w:firstLine="640"/>
        <w:rPr>
          <w:color w:val="auto"/>
          <w:szCs w:val="32"/>
        </w:rPr>
      </w:pPr>
      <w:r>
        <w:rPr>
          <w:rFonts w:eastAsia="楷体"/>
          <w:color w:val="auto"/>
          <w:szCs w:val="32"/>
        </w:rPr>
        <w:t>（十</w:t>
      </w:r>
      <w:r>
        <w:rPr>
          <w:rFonts w:hint="eastAsia" w:eastAsia="楷体"/>
          <w:color w:val="auto"/>
          <w:szCs w:val="32"/>
          <w:lang w:eastAsia="zh-CN"/>
        </w:rPr>
        <w:t>二</w:t>
      </w:r>
      <w:r>
        <w:rPr>
          <w:rFonts w:eastAsia="楷体"/>
          <w:color w:val="auto"/>
          <w:szCs w:val="32"/>
        </w:rPr>
        <w:t>）基本支出：</w:t>
      </w:r>
      <w:r>
        <w:rPr>
          <w:color w:val="auto"/>
          <w:szCs w:val="32"/>
        </w:rPr>
        <w:t>指为保障机构正常运转</w:t>
      </w:r>
      <w:r>
        <w:rPr>
          <w:rFonts w:hint="eastAsia"/>
          <w:color w:val="auto"/>
          <w:szCs w:val="32"/>
          <w:lang w:eastAsia="zh-CN"/>
        </w:rPr>
        <w:t>和</w:t>
      </w:r>
      <w:r>
        <w:rPr>
          <w:color w:val="auto"/>
          <w:szCs w:val="32"/>
        </w:rPr>
        <w:t>完成日常工作任务</w:t>
      </w:r>
      <w:r>
        <w:rPr>
          <w:rFonts w:hint="eastAsia"/>
          <w:color w:val="auto"/>
          <w:szCs w:val="32"/>
          <w:lang w:eastAsia="zh-CN"/>
        </w:rPr>
        <w:t>所必需的支出，具体分为人员类项目和运转类项目中的公用经费项目</w:t>
      </w:r>
      <w:r>
        <w:rPr>
          <w:color w:val="auto"/>
          <w:szCs w:val="32"/>
        </w:rPr>
        <w:t>。</w:t>
      </w:r>
    </w:p>
    <w:p>
      <w:pPr>
        <w:ind w:firstLine="640"/>
        <w:rPr>
          <w:color w:val="auto"/>
          <w:szCs w:val="32"/>
        </w:rPr>
      </w:pPr>
      <w:r>
        <w:rPr>
          <w:rFonts w:eastAsia="楷体"/>
          <w:color w:val="auto"/>
          <w:szCs w:val="32"/>
        </w:rPr>
        <w:t>（十</w:t>
      </w:r>
      <w:r>
        <w:rPr>
          <w:rFonts w:hint="eastAsia" w:eastAsia="楷体"/>
          <w:color w:val="auto"/>
          <w:szCs w:val="32"/>
          <w:lang w:eastAsia="zh-CN"/>
        </w:rPr>
        <w:t>三</w:t>
      </w:r>
      <w:r>
        <w:rPr>
          <w:rFonts w:eastAsia="楷体"/>
          <w:color w:val="auto"/>
          <w:szCs w:val="32"/>
        </w:rPr>
        <w:t>）项目支出：</w:t>
      </w:r>
      <w:r>
        <w:rPr>
          <w:color w:val="auto"/>
          <w:szCs w:val="32"/>
        </w:rPr>
        <w:t>指在基本支出之外为完成特定行政任务和事业发展目标所发生的支出。</w:t>
      </w:r>
    </w:p>
    <w:p>
      <w:pPr>
        <w:ind w:firstLine="640"/>
        <w:rPr>
          <w:color w:val="auto"/>
          <w:szCs w:val="32"/>
        </w:rPr>
      </w:pPr>
      <w:r>
        <w:rPr>
          <w:rFonts w:eastAsia="楷体"/>
          <w:color w:val="auto"/>
          <w:szCs w:val="32"/>
        </w:rPr>
        <w:t>（十</w:t>
      </w:r>
      <w:r>
        <w:rPr>
          <w:rFonts w:hint="eastAsia" w:eastAsia="楷体"/>
          <w:color w:val="auto"/>
          <w:szCs w:val="32"/>
          <w:lang w:eastAsia="zh-CN"/>
        </w:rPr>
        <w:t>四</w:t>
      </w:r>
      <w:r>
        <w:rPr>
          <w:rFonts w:eastAsia="楷体"/>
          <w:color w:val="auto"/>
          <w:szCs w:val="32"/>
        </w:rPr>
        <w:t>）上缴上级支出：</w:t>
      </w:r>
      <w:r>
        <w:rPr>
          <w:color w:val="auto"/>
          <w:szCs w:val="32"/>
        </w:rPr>
        <w:t>指附属单位上缴上级的支出。</w:t>
      </w:r>
    </w:p>
    <w:p>
      <w:pPr>
        <w:ind w:firstLine="640"/>
        <w:rPr>
          <w:color w:val="auto"/>
          <w:szCs w:val="32"/>
        </w:rPr>
      </w:pPr>
      <w:r>
        <w:rPr>
          <w:rFonts w:eastAsia="楷体"/>
          <w:color w:val="auto"/>
          <w:szCs w:val="32"/>
        </w:rPr>
        <w:t>（十</w:t>
      </w:r>
      <w:r>
        <w:rPr>
          <w:rFonts w:hint="eastAsia" w:eastAsia="楷体"/>
          <w:color w:val="auto"/>
          <w:szCs w:val="32"/>
          <w:lang w:eastAsia="zh-CN"/>
        </w:rPr>
        <w:t>五</w:t>
      </w:r>
      <w:r>
        <w:rPr>
          <w:rFonts w:eastAsia="楷体"/>
          <w:color w:val="auto"/>
          <w:szCs w:val="32"/>
        </w:rPr>
        <w:t>）事业单位经营支出：</w:t>
      </w:r>
      <w:r>
        <w:rPr>
          <w:color w:val="auto"/>
          <w:szCs w:val="32"/>
        </w:rPr>
        <w:t>指事业单位在专业业务活动及其辅助活动之外开展非独立核算经营活动发生的支出。</w:t>
      </w:r>
    </w:p>
    <w:p>
      <w:pPr>
        <w:ind w:firstLine="640"/>
        <w:rPr>
          <w:color w:val="auto"/>
          <w:szCs w:val="32"/>
        </w:rPr>
      </w:pPr>
      <w:r>
        <w:rPr>
          <w:rFonts w:eastAsia="楷体"/>
          <w:color w:val="auto"/>
          <w:szCs w:val="32"/>
        </w:rPr>
        <w:t>（十</w:t>
      </w:r>
      <w:r>
        <w:rPr>
          <w:rFonts w:hint="eastAsia" w:eastAsia="楷体"/>
          <w:color w:val="auto"/>
          <w:szCs w:val="32"/>
          <w:lang w:eastAsia="zh-CN"/>
        </w:rPr>
        <w:t>六</w:t>
      </w:r>
      <w:r>
        <w:rPr>
          <w:rFonts w:eastAsia="楷体"/>
          <w:color w:val="auto"/>
          <w:szCs w:val="32"/>
        </w:rPr>
        <w:t>）对附属单位补助支出：</w:t>
      </w:r>
      <w:r>
        <w:rPr>
          <w:color w:val="auto"/>
          <w:szCs w:val="32"/>
        </w:rPr>
        <w:t>指对附属单位补助发生的支出。</w:t>
      </w:r>
    </w:p>
    <w:p>
      <w:pPr>
        <w:ind w:firstLine="640"/>
        <w:rPr>
          <w:color w:val="auto"/>
          <w:szCs w:val="32"/>
        </w:rPr>
      </w:pPr>
      <w:r>
        <w:rPr>
          <w:rFonts w:eastAsia="楷体"/>
          <w:color w:val="auto"/>
          <w:szCs w:val="32"/>
        </w:rPr>
        <w:t>（十</w:t>
      </w:r>
      <w:r>
        <w:rPr>
          <w:rFonts w:hint="eastAsia" w:eastAsia="楷体"/>
          <w:color w:val="auto"/>
          <w:szCs w:val="32"/>
          <w:lang w:eastAsia="zh-CN"/>
        </w:rPr>
        <w:t>七</w:t>
      </w:r>
      <w:r>
        <w:rPr>
          <w:rFonts w:eastAsia="楷体"/>
          <w:color w:val="auto"/>
          <w:szCs w:val="32"/>
        </w:rPr>
        <w:t>）“三公”经费：</w:t>
      </w:r>
      <w:r>
        <w:rPr>
          <w:color w:val="auto"/>
          <w:szCs w:val="32"/>
        </w:rPr>
        <w:t>纳入财政预决算管理的“三公”经费，是指</w:t>
      </w:r>
      <w:r>
        <w:rPr>
          <w:rFonts w:hint="eastAsia"/>
          <w:color w:val="auto"/>
          <w:szCs w:val="32"/>
          <w:lang w:val="en-US" w:eastAsia="zh-CN"/>
        </w:rPr>
        <w:t>单位</w:t>
      </w:r>
      <w:r>
        <w:rPr>
          <w:color w:val="auto"/>
          <w:szCs w:val="32"/>
        </w:rPr>
        <w:t>用财政拨款安排的因公出国（境）费、公务用车购置及运行</w:t>
      </w:r>
      <w:r>
        <w:rPr>
          <w:rFonts w:hint="eastAsia"/>
          <w:color w:val="auto"/>
          <w:szCs w:val="32"/>
          <w:lang w:eastAsia="zh-CN"/>
        </w:rPr>
        <w:t>维护</w:t>
      </w:r>
      <w:r>
        <w:rPr>
          <w:color w:val="auto"/>
          <w:szCs w:val="32"/>
        </w:rPr>
        <w:t>费和公务接待费。其中，因公出国（境）费反映单位公务出国（境）费的国际旅游、国外城市间交通费、住宿费、伙食费、培训费、公杂费等支出；公务用车购置及运行</w:t>
      </w:r>
      <w:r>
        <w:rPr>
          <w:rFonts w:hint="eastAsia"/>
          <w:color w:val="auto"/>
          <w:szCs w:val="32"/>
          <w:lang w:eastAsia="zh-CN"/>
        </w:rPr>
        <w:t>维护</w:t>
      </w:r>
      <w:r>
        <w:rPr>
          <w:color w:val="auto"/>
          <w:szCs w:val="32"/>
        </w:rPr>
        <w:t>费反映单位公务用车车辆购置支出（含车辆购置税）及</w:t>
      </w:r>
      <w:r>
        <w:rPr>
          <w:rFonts w:hint="eastAsia"/>
          <w:color w:val="auto"/>
          <w:szCs w:val="32"/>
          <w:lang w:eastAsia="zh-CN"/>
        </w:rPr>
        <w:t>公务用车</w:t>
      </w:r>
      <w:r>
        <w:rPr>
          <w:color w:val="auto"/>
          <w:szCs w:val="32"/>
        </w:rPr>
        <w:t>燃料费</w:t>
      </w:r>
      <w:r>
        <w:rPr>
          <w:rFonts w:hint="eastAsia"/>
          <w:color w:val="auto"/>
          <w:szCs w:val="32"/>
          <w:lang w:eastAsia="zh-CN"/>
        </w:rPr>
        <w:t>、新能源汽车充电费</w:t>
      </w:r>
      <w:r>
        <w:rPr>
          <w:color w:val="auto"/>
          <w:szCs w:val="32"/>
        </w:rPr>
        <w:t>、维修费、过路过桥费、保险费、安全奖励费用等支出；公务接待费反映单位按规定开支的各类公务接待（含外宾接待）支出。</w:t>
      </w:r>
    </w:p>
    <w:p>
      <w:pPr>
        <w:ind w:firstLine="640"/>
        <w:rPr>
          <w:color w:val="auto"/>
          <w:szCs w:val="32"/>
        </w:rPr>
      </w:pPr>
      <w:r>
        <w:rPr>
          <w:rFonts w:eastAsia="楷体"/>
          <w:color w:val="auto"/>
          <w:szCs w:val="32"/>
        </w:rPr>
        <w:t>（十</w:t>
      </w:r>
      <w:r>
        <w:rPr>
          <w:rFonts w:hint="eastAsia" w:eastAsia="楷体"/>
          <w:color w:val="auto"/>
          <w:szCs w:val="32"/>
          <w:lang w:eastAsia="zh-CN"/>
        </w:rPr>
        <w:t>八</w:t>
      </w:r>
      <w:r>
        <w:rPr>
          <w:rFonts w:eastAsia="楷体"/>
          <w:color w:val="auto"/>
          <w:szCs w:val="32"/>
        </w:rPr>
        <w:t>）机关运行经费：</w:t>
      </w:r>
      <w:r>
        <w:rPr>
          <w:color w:val="auto"/>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color w:val="auto"/>
          <w:szCs w:val="32"/>
        </w:rPr>
      </w:pPr>
      <w:r>
        <w:rPr>
          <w:rFonts w:eastAsia="楷体"/>
          <w:color w:val="auto"/>
          <w:szCs w:val="32"/>
        </w:rPr>
        <w:t>（</w:t>
      </w:r>
      <w:r>
        <w:rPr>
          <w:rFonts w:hint="eastAsia" w:eastAsia="楷体"/>
          <w:color w:val="auto"/>
          <w:szCs w:val="32"/>
          <w:lang w:eastAsia="zh-CN"/>
        </w:rPr>
        <w:t>十九</w:t>
      </w:r>
      <w:r>
        <w:rPr>
          <w:rFonts w:eastAsia="楷体"/>
          <w:color w:val="auto"/>
          <w:szCs w:val="32"/>
        </w:rPr>
        <w:t>）</w:t>
      </w:r>
      <w:r>
        <w:rPr>
          <w:rFonts w:hint="eastAsia" w:eastAsia="楷体"/>
          <w:color w:val="auto"/>
          <w:szCs w:val="32"/>
        </w:rPr>
        <w:t>项目支出绩效目标：</w:t>
      </w:r>
      <w:r>
        <w:rPr>
          <w:rFonts w:hint="eastAsia"/>
          <w:color w:val="auto"/>
        </w:rPr>
        <w:t>项目支出绩效目标是指</w:t>
      </w:r>
      <w:r>
        <w:rPr>
          <w:rFonts w:hint="eastAsia"/>
          <w:color w:val="auto"/>
          <w:lang w:val="en-US" w:eastAsia="zh-CN"/>
        </w:rPr>
        <w:t>单位</w:t>
      </w:r>
      <w:r>
        <w:rPr>
          <w:rFonts w:hint="eastAsia"/>
          <w:color w:val="auto"/>
        </w:rPr>
        <w:t>预算安排的项目支出在一定期限内预期达到的产出和效果。</w:t>
      </w:r>
    </w:p>
    <w:p>
      <w:pPr>
        <w:ind w:firstLine="640"/>
        <w:rPr>
          <w:color w:val="auto"/>
          <w:szCs w:val="32"/>
        </w:rPr>
      </w:pPr>
    </w:p>
    <w:p>
      <w:pPr>
        <w:ind w:firstLine="640"/>
        <w:rPr>
          <w:color w:val="auto"/>
          <w:szCs w:val="32"/>
        </w:rPr>
      </w:pPr>
    </w:p>
    <w:p>
      <w:pPr>
        <w:rPr>
          <w:color w:val="auto"/>
          <w:szCs w:val="32"/>
        </w:rPr>
      </w:pPr>
    </w:p>
    <w:p>
      <w:pPr>
        <w:spacing w:line="700" w:lineRule="exact"/>
        <w:rPr>
          <w:color w:val="auto"/>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p>
  <w:p>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OW8Gj8MBAABxAwAADgAAAAAAAAABACAA&#10;AAA0AQAAZHJzL2Uyb0RvYy54bWxQSwUGAAAAAAYABgBZAQAAa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AotJK4BAABLAwAADgAAAAAAAAABACAAAAA0AQAAZHJzL2Uyb0RvYy54bWxQ&#10;SwUGAAAAAAYABgBZAQAAV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5E4AD6"/>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5256BE"/>
    <w:rsid w:val="06BD5BC7"/>
    <w:rsid w:val="06F008FF"/>
    <w:rsid w:val="077E1262"/>
    <w:rsid w:val="079E5032"/>
    <w:rsid w:val="09015F14"/>
    <w:rsid w:val="091C5C63"/>
    <w:rsid w:val="09421190"/>
    <w:rsid w:val="09750C0F"/>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21563C"/>
    <w:rsid w:val="16C829AB"/>
    <w:rsid w:val="16DD34F5"/>
    <w:rsid w:val="17765BCA"/>
    <w:rsid w:val="17775522"/>
    <w:rsid w:val="17A027D8"/>
    <w:rsid w:val="17CC2625"/>
    <w:rsid w:val="18546479"/>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745799"/>
    <w:rsid w:val="1F857EA5"/>
    <w:rsid w:val="1FED47E9"/>
    <w:rsid w:val="206816AC"/>
    <w:rsid w:val="21134335"/>
    <w:rsid w:val="226E581D"/>
    <w:rsid w:val="22A4003E"/>
    <w:rsid w:val="22D9230E"/>
    <w:rsid w:val="23135C25"/>
    <w:rsid w:val="23EC61F6"/>
    <w:rsid w:val="244C543C"/>
    <w:rsid w:val="24624768"/>
    <w:rsid w:val="248910E8"/>
    <w:rsid w:val="24A8271E"/>
    <w:rsid w:val="254029E1"/>
    <w:rsid w:val="259B5BC5"/>
    <w:rsid w:val="25EF7FBC"/>
    <w:rsid w:val="25F62C4E"/>
    <w:rsid w:val="26643D6C"/>
    <w:rsid w:val="26FE109D"/>
    <w:rsid w:val="27073E1E"/>
    <w:rsid w:val="27B04AB3"/>
    <w:rsid w:val="282C3BA1"/>
    <w:rsid w:val="28A63332"/>
    <w:rsid w:val="28C96E8E"/>
    <w:rsid w:val="29527C78"/>
    <w:rsid w:val="29A62C82"/>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812174"/>
    <w:rsid w:val="3A9113D4"/>
    <w:rsid w:val="3AC54F32"/>
    <w:rsid w:val="3AF17846"/>
    <w:rsid w:val="3B144A0A"/>
    <w:rsid w:val="3B254018"/>
    <w:rsid w:val="3B3C3966"/>
    <w:rsid w:val="3B5257F8"/>
    <w:rsid w:val="3BC92948"/>
    <w:rsid w:val="3BE370D4"/>
    <w:rsid w:val="3C1A026D"/>
    <w:rsid w:val="3C29381E"/>
    <w:rsid w:val="3C711E1D"/>
    <w:rsid w:val="3C7F463D"/>
    <w:rsid w:val="3C9A6F26"/>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C42C62"/>
    <w:rsid w:val="45EB670F"/>
    <w:rsid w:val="46A61E2C"/>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3C446C"/>
    <w:rsid w:val="54290784"/>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6777D4"/>
    <w:rsid w:val="59D514A6"/>
    <w:rsid w:val="59EC6E09"/>
    <w:rsid w:val="5A04414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535608"/>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D42038"/>
    <w:rsid w:val="6FF50B81"/>
    <w:rsid w:val="70330B9C"/>
    <w:rsid w:val="709D17BE"/>
    <w:rsid w:val="714213DD"/>
    <w:rsid w:val="717F272E"/>
    <w:rsid w:val="72783A23"/>
    <w:rsid w:val="728027C6"/>
    <w:rsid w:val="73D62FA6"/>
    <w:rsid w:val="73FE7ACC"/>
    <w:rsid w:val="74556746"/>
    <w:rsid w:val="74716182"/>
    <w:rsid w:val="74743258"/>
    <w:rsid w:val="761B13C4"/>
    <w:rsid w:val="764B6A8A"/>
    <w:rsid w:val="76C17E06"/>
    <w:rsid w:val="76CA67BD"/>
    <w:rsid w:val="76E6298C"/>
    <w:rsid w:val="770021AC"/>
    <w:rsid w:val="774E6400"/>
    <w:rsid w:val="775B0046"/>
    <w:rsid w:val="780D67C1"/>
    <w:rsid w:val="79700BEF"/>
    <w:rsid w:val="798D552B"/>
    <w:rsid w:val="7A090695"/>
    <w:rsid w:val="7A1D5951"/>
    <w:rsid w:val="7AE175F4"/>
    <w:rsid w:val="7B417685"/>
    <w:rsid w:val="7B5220F0"/>
    <w:rsid w:val="7BA169C0"/>
    <w:rsid w:val="7BC55243"/>
    <w:rsid w:val="7C0671FB"/>
    <w:rsid w:val="7C2F4A9A"/>
    <w:rsid w:val="7C4D1E27"/>
    <w:rsid w:val="7C55027B"/>
    <w:rsid w:val="7CAD595B"/>
    <w:rsid w:val="7CE80891"/>
    <w:rsid w:val="7CF65D07"/>
    <w:rsid w:val="7D2975D1"/>
    <w:rsid w:val="7D2F3083"/>
    <w:rsid w:val="7D906046"/>
    <w:rsid w:val="7DCC0CD6"/>
    <w:rsid w:val="893D3F22"/>
    <w:rsid w:val="F4F796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pc6/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4600</Words>
  <Characters>5551</Characters>
  <Lines>71</Lines>
  <Paragraphs>20</Paragraphs>
  <TotalTime>2</TotalTime>
  <ScaleCrop>false</ScaleCrop>
  <LinksUpToDate>false</LinksUpToDate>
  <CharactersWithSpaces>6082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2022-02-21T01:24:00Z</dcterms:created>
  <dc:creator>Administrator</dc:creator>
  <cp:lastModifiedBy>pc6</cp:lastModifiedBy>
  <cp:lastPrinted>2025-02-11T19:07:00Z</cp:lastPrinted>
  <dcterms:modified xsi:type="dcterms:W3CDTF">2025-02-20T16:19:17Z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9393EE74DB5F43769F91ECFF81AF2D4F_13</vt:lpwstr>
  </property>
  <property fmtid="{D5CDD505-2E9C-101B-9397-08002B2CF9AE}" pid="4" name="KSOTemplateDocerSaveRecord">
    <vt:lpwstr>eyJoZGlkIjoiZGFhMTkyODlkY2YyM2QwNmRlNDczNjUyNThkZGYxZjciLCJ1c2VySWQiOiI0MTk1MjIyMTIifQ==</vt:lpwstr>
  </property>
</Properties>
</file>