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hint="eastAsia" w:ascii="宋体" w:hAnsi="宋体" w:eastAsia="宋体" w:cs="宋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u w:val="none"/>
          <w:lang w:eastAsia="zh-CN"/>
        </w:rPr>
        <w:t>磐石市统计</w:t>
      </w:r>
      <w:r>
        <w:rPr>
          <w:rFonts w:hint="eastAsia" w:ascii="Times New Roman" w:hAnsi="Times New Roman" w:eastAsia="方正小标宋简体" w:cs="Times New Roman"/>
          <w:sz w:val="44"/>
          <w:szCs w:val="44"/>
          <w:u w:val="none"/>
          <w:lang w:eastAsia="zh-CN"/>
        </w:rPr>
        <w:t>局</w:t>
      </w:r>
      <w:r>
        <w:rPr>
          <w:rFonts w:hint="eastAsia" w:ascii="Times New Roman" w:hAnsi="Times New Roman" w:eastAsia="方正小标宋简体" w:cs="Times New Roman"/>
          <w:sz w:val="44"/>
          <w:szCs w:val="44"/>
          <w:u w:val="none"/>
          <w:lang w:val="en-US" w:eastAsia="zh-CN"/>
        </w:rPr>
        <w:t>2025</w:t>
      </w:r>
      <w:r>
        <w:rPr>
          <w:rFonts w:hint="eastAsia" w:eastAsia="方正小标宋简体"/>
          <w:sz w:val="44"/>
          <w:szCs w:val="44"/>
          <w:u w:val="none"/>
          <w:lang w:val="en-US" w:eastAsia="zh-CN"/>
        </w:rPr>
        <w:t>年</w:t>
      </w:r>
      <w:r>
        <w:rPr>
          <w:rFonts w:hint="eastAsia" w:ascii="Times New Roman" w:hAnsi="Times New Roman" w:eastAsia="方正小标宋简体" w:cs="Times New Roman"/>
          <w:sz w:val="44"/>
          <w:szCs w:val="44"/>
          <w:u w:val="none"/>
          <w:lang w:eastAsia="zh-CN"/>
        </w:rPr>
        <w:t>单</w:t>
      </w:r>
      <w:r>
        <w:rPr>
          <w:rFonts w:hint="eastAsia" w:eastAsia="方正小标宋简体"/>
          <w:sz w:val="44"/>
          <w:szCs w:val="44"/>
          <w:u w:val="none"/>
          <w:lang w:eastAsia="zh-CN"/>
        </w:rPr>
        <w:t>位预算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hint="eastAsia" w:eastAsia="华文细黑"/>
          <w:szCs w:val="22"/>
          <w:lang w:eastAsia="zh-CN"/>
        </w:rPr>
      </w:pPr>
      <w:r>
        <w:rPr>
          <w:rFonts w:hint="eastAsia" w:eastAsia="华文细黑"/>
          <w:szCs w:val="22"/>
          <w:lang w:eastAsia="zh-CN"/>
        </w:rPr>
        <w:t>二〇二五年</w:t>
      </w:r>
      <w:r>
        <w:rPr>
          <w:rFonts w:hint="eastAsia" w:eastAsia="华文细黑"/>
          <w:szCs w:val="22"/>
          <w:lang w:val="en-US" w:eastAsia="zh-CN"/>
        </w:rPr>
        <w:t>二</w:t>
      </w:r>
      <w:r>
        <w:rPr>
          <w:rFonts w:hint="eastAsia" w:eastAsia="华文细黑"/>
          <w:szCs w:val="22"/>
          <w:lang w:eastAsia="zh-CN"/>
        </w:rPr>
        <w:t>月</w:t>
      </w:r>
      <w:r>
        <w:rPr>
          <w:rFonts w:hint="eastAsia" w:eastAsia="华文细黑"/>
          <w:szCs w:val="22"/>
          <w:lang w:val="en-US" w:eastAsia="zh-CN"/>
        </w:rPr>
        <w:t>二十一</w:t>
      </w:r>
      <w:r>
        <w:rPr>
          <w:rFonts w:hint="eastAsia" w:eastAsia="华文细黑"/>
          <w:szCs w:val="22"/>
          <w:lang w:eastAsia="zh-CN"/>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40" w:firstLineChars="200"/>
        <w:rPr>
          <w:rFonts w:hint="eastAsia" w:ascii="仿宋_GB2312" w:hAnsi="仿宋_GB2312" w:cs="仿宋_GB2312"/>
          <w:szCs w:val="32"/>
        </w:rPr>
      </w:pPr>
      <w:r>
        <w:rPr>
          <w:rFonts w:hint="eastAsia" w:ascii="仿宋_GB2312" w:hAnsi="仿宋_GB2312" w:cs="仿宋_GB2312"/>
          <w:szCs w:val="32"/>
        </w:rPr>
        <w:t>磐石市统计局是负责全市统计和国民经济核算工作的职能部门。其主要职责是：</w:t>
      </w:r>
    </w:p>
    <w:p>
      <w:pPr>
        <w:ind w:firstLine="640" w:firstLineChars="200"/>
        <w:rPr>
          <w:rFonts w:hint="eastAsia" w:ascii="仿宋_GB2312" w:hAnsi="仿宋_GB2312" w:cs="仿宋_GB2312"/>
          <w:szCs w:val="32"/>
        </w:rPr>
      </w:pPr>
      <w:r>
        <w:rPr>
          <w:rFonts w:hint="eastAsia" w:ascii="仿宋_GB2312" w:hAnsi="仿宋_GB2312" w:cs="仿宋_GB2312"/>
          <w:szCs w:val="32"/>
        </w:rPr>
        <w:t>（一）贯彻执行国家、省、市统计局的各项工作方针，组织领导和监督检查各乡、镇、街各部门及有关单位的统计和国民经济核算工作，监督检查统计法律、法规的实施。</w:t>
      </w:r>
    </w:p>
    <w:p>
      <w:pPr>
        <w:ind w:firstLine="640" w:firstLineChars="200"/>
        <w:rPr>
          <w:rFonts w:hint="eastAsia" w:ascii="仿宋_GB2312" w:hAnsi="仿宋_GB2312" w:cs="仿宋_GB2312"/>
          <w:szCs w:val="32"/>
        </w:rPr>
      </w:pPr>
      <w:r>
        <w:rPr>
          <w:rFonts w:hint="eastAsia" w:ascii="仿宋_GB2312" w:hAnsi="仿宋_GB2312" w:cs="仿宋_GB2312"/>
          <w:szCs w:val="32"/>
        </w:rPr>
        <w:t>（二）根据全国、全省、全市统一的基本统计制度，建立健全全市的国民经济核算体系，统计调查项目。</w:t>
      </w:r>
    </w:p>
    <w:p>
      <w:pPr>
        <w:ind w:firstLine="640" w:firstLineChars="200"/>
        <w:rPr>
          <w:rFonts w:hint="eastAsia" w:ascii="仿宋_GB2312" w:hAnsi="仿宋_GB2312" w:cs="仿宋_GB2312"/>
          <w:szCs w:val="32"/>
        </w:rPr>
      </w:pPr>
      <w:r>
        <w:rPr>
          <w:rFonts w:hint="eastAsia" w:ascii="仿宋_GB2312" w:hAnsi="仿宋_GB2312" w:cs="仿宋_GB2312"/>
          <w:szCs w:val="32"/>
        </w:rPr>
        <w:t>（三）代表市政府组织实施重大的国情、国力普查及重大的市情、市力调查，统一组织各乡、镇、街道及各部门的社会经济统计调查。</w:t>
      </w:r>
    </w:p>
    <w:p>
      <w:pPr>
        <w:ind w:firstLine="640" w:firstLineChars="200"/>
        <w:rPr>
          <w:rFonts w:hint="eastAsia" w:ascii="仿宋_GB2312" w:hAnsi="仿宋_GB2312" w:cs="仿宋_GB2312"/>
          <w:szCs w:val="32"/>
        </w:rPr>
      </w:pPr>
      <w:r>
        <w:rPr>
          <w:rFonts w:hint="eastAsia" w:ascii="仿宋_GB2312" w:hAnsi="仿宋_GB2312" w:cs="仿宋_GB2312"/>
          <w:szCs w:val="32"/>
        </w:rPr>
        <w:t>（四）统一核定、管理、公布全市性的基本统计资料，定期向社会公众发布全市国民经济和社会发展状况的统计信息。</w:t>
      </w:r>
    </w:p>
    <w:p>
      <w:pPr>
        <w:ind w:firstLine="640" w:firstLineChars="200"/>
        <w:rPr>
          <w:rFonts w:hint="eastAsia" w:ascii="仿宋_GB2312" w:hAnsi="仿宋_GB2312" w:cs="仿宋_GB2312"/>
          <w:szCs w:val="32"/>
        </w:rPr>
      </w:pPr>
      <w:r>
        <w:rPr>
          <w:rFonts w:hint="eastAsia" w:ascii="仿宋_GB2312" w:hAnsi="仿宋_GB2312" w:cs="仿宋_GB2312"/>
          <w:szCs w:val="32"/>
        </w:rPr>
        <w:t>（五）建立、完善和管理全市统计信息自动化系统和全市统计数据库体系。</w:t>
      </w:r>
    </w:p>
    <w:p>
      <w:pPr>
        <w:ind w:firstLine="640" w:firstLineChars="200"/>
        <w:rPr>
          <w:rFonts w:hint="eastAsia" w:ascii="仿宋_GB2312" w:hAnsi="仿宋_GB2312" w:cs="仿宋_GB2312"/>
          <w:szCs w:val="32"/>
        </w:rPr>
      </w:pPr>
      <w:r>
        <w:rPr>
          <w:rFonts w:hint="eastAsia" w:ascii="仿宋_GB2312" w:hAnsi="仿宋_GB2312" w:cs="仿宋_GB2312"/>
          <w:szCs w:val="32"/>
        </w:rPr>
        <w:t>（六）组织全市统计干部业务培训，组织指导全市统计科学研究、统计宣传。</w:t>
      </w:r>
    </w:p>
    <w:p>
      <w:pPr>
        <w:ind w:firstLine="640" w:firstLineChars="200"/>
        <w:rPr>
          <w:color w:val="000000"/>
          <w:szCs w:val="32"/>
        </w:rPr>
      </w:pPr>
      <w:r>
        <w:rPr>
          <w:rFonts w:hint="eastAsia" w:ascii="仿宋_GB2312" w:hAnsi="仿宋_GB2312" w:cs="仿宋_GB2312"/>
          <w:szCs w:val="32"/>
        </w:rPr>
        <w:t>（七）承办</w:t>
      </w:r>
      <w:r>
        <w:rPr>
          <w:rFonts w:hint="eastAsia" w:ascii="仿宋_GB2312" w:hAnsi="仿宋_GB2312" w:cs="仿宋_GB2312"/>
          <w:szCs w:val="32"/>
          <w:lang w:eastAsia="zh-CN"/>
        </w:rPr>
        <w:t>吉林市统计局和磐石市政府</w:t>
      </w:r>
      <w:r>
        <w:rPr>
          <w:rFonts w:hint="eastAsia" w:ascii="仿宋_GB2312" w:hAnsi="仿宋_GB2312" w:cs="仿宋_GB2312"/>
          <w:szCs w:val="32"/>
        </w:rPr>
        <w:t>交办的其他事项。</w:t>
      </w:r>
    </w:p>
    <w:p>
      <w:pPr>
        <w:ind w:firstLine="640" w:firstLineChars="200"/>
      </w:pPr>
      <w:r>
        <w:rPr>
          <w:rFonts w:eastAsia="楷体_GB2312"/>
        </w:rPr>
        <w:t>二、机构设置</w:t>
      </w:r>
    </w:p>
    <w:p>
      <w:pPr>
        <w:ind w:firstLine="640" w:firstLineChars="200"/>
        <w:rPr>
          <w:rFonts w:hint="eastAsia" w:ascii="仿宋_GB2312" w:hAnsi="仿宋_GB2312" w:cs="仿宋_GB2312"/>
          <w:szCs w:val="32"/>
        </w:rPr>
      </w:pPr>
      <w:r>
        <w:rPr>
          <w:rFonts w:hint="eastAsia" w:ascii="仿宋_GB2312" w:hAnsi="仿宋_GB2312" w:cs="仿宋_GB2312"/>
          <w:szCs w:val="32"/>
          <w:lang w:eastAsia="zh-CN"/>
        </w:rPr>
        <w:t>根据上述职责，</w:t>
      </w:r>
      <w:r>
        <w:rPr>
          <w:rFonts w:hint="eastAsia" w:ascii="仿宋_GB2312" w:hAnsi="仿宋_GB2312" w:cs="仿宋_GB2312"/>
          <w:szCs w:val="32"/>
        </w:rPr>
        <w:t>磐石市统计局</w:t>
      </w:r>
      <w:r>
        <w:rPr>
          <w:rFonts w:hint="eastAsia" w:ascii="仿宋_GB2312" w:hAnsi="仿宋_GB2312" w:cs="仿宋_GB2312"/>
          <w:szCs w:val="32"/>
          <w:lang w:val="en-US" w:eastAsia="zh-CN"/>
        </w:rPr>
        <w:t>内设2个</w:t>
      </w:r>
      <w:r>
        <w:rPr>
          <w:rFonts w:hint="eastAsia" w:ascii="仿宋_GB2312" w:hAnsi="仿宋_GB2312" w:cs="仿宋_GB2312"/>
          <w:szCs w:val="32"/>
        </w:rPr>
        <w:t>机构，分别为：综合科、社会经济统计科。</w:t>
      </w:r>
    </w:p>
    <w:p>
      <w:pPr>
        <w:pStyle w:val="23"/>
        <w:ind w:firstLine="640" w:firstLineChars="200"/>
        <w:rPr>
          <w:rFonts w:hint="eastAsia" w:eastAsia="仿宋_GB2312"/>
        </w:rPr>
      </w:pPr>
      <w:r>
        <w:rPr>
          <w:rFonts w:hint="eastAsia" w:eastAsia="仿宋_GB2312"/>
        </w:rPr>
        <w:t>无下设预算单位。</w:t>
      </w:r>
    </w:p>
    <w:p>
      <w:pPr>
        <w:pStyle w:val="23"/>
        <w:ind w:firstLine="640" w:firstLineChars="200"/>
        <w:rPr>
          <w:rFonts w:eastAsia="仿宋_GB2312"/>
        </w:rPr>
      </w:pPr>
    </w:p>
    <w:p>
      <w:pPr>
        <w:pStyle w:val="23"/>
        <w:ind w:firstLine="640" w:firstLineChars="200"/>
        <w:rPr>
          <w:rFonts w:eastAsia="楷体"/>
        </w:rPr>
      </w:pPr>
    </w:p>
    <w:p>
      <w:pPr>
        <w:pStyle w:val="23"/>
        <w:ind w:firstLine="640" w:firstLineChars="200"/>
        <w:rPr>
          <w:rFonts w:eastAsia="楷体"/>
        </w:rPr>
      </w:pPr>
    </w:p>
    <w:p>
      <w:pPr>
        <w:pStyle w:val="23"/>
        <w:ind w:firstLine="640" w:firstLineChars="200"/>
        <w:rPr>
          <w:rFonts w:hAnsi="楷体" w:eastAsia="楷体"/>
        </w:rPr>
      </w:pPr>
    </w:p>
    <w:p>
      <w:pPr>
        <w:pStyle w:val="23"/>
        <w:ind w:firstLine="640" w:firstLineChars="200"/>
        <w:rPr>
          <w:rFonts w:hAnsi="楷体" w:eastAsia="楷体"/>
        </w:rPr>
      </w:pPr>
    </w:p>
    <w:p>
      <w:pPr>
        <w:pStyle w:val="23"/>
        <w:ind w:firstLine="640" w:firstLineChars="200"/>
        <w:rPr>
          <w:rFonts w:hAnsi="楷体" w:eastAsia="楷体"/>
        </w:rPr>
      </w:pPr>
    </w:p>
    <w:p>
      <w:pPr>
        <w:pStyle w:val="23"/>
        <w:ind w:firstLine="640" w:firstLineChars="200"/>
        <w:rPr>
          <w:rFonts w:hAnsi="楷体" w:eastAsia="楷体"/>
        </w:rPr>
      </w:pPr>
    </w:p>
    <w:p>
      <w:pPr>
        <w:pStyle w:val="23"/>
        <w:ind w:firstLine="640" w:firstLineChars="200"/>
        <w:rPr>
          <w:rFonts w:hAnsi="楷体" w:eastAsia="楷体"/>
        </w:rPr>
      </w:pPr>
    </w:p>
    <w:p>
      <w:pPr>
        <w:pStyle w:val="23"/>
        <w:ind w:firstLine="640" w:firstLineChars="200"/>
        <w:rPr>
          <w:rFonts w:hint="eastAsia" w:hAnsi="楷体" w:eastAsia="楷体"/>
        </w:rPr>
      </w:pPr>
    </w:p>
    <w:p>
      <w:pPr>
        <w:pStyle w:val="23"/>
        <w:ind w:firstLine="640" w:firstLineChars="200"/>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3"/>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182.61</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182.61</w:t>
            </w: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一、一般公共服务</w:t>
            </w:r>
            <w:r>
              <w:rPr>
                <w:rFonts w:hint="eastAsia" w:eastAsia="宋体"/>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140.25</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140.25</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182.61</w:t>
            </w:r>
          </w:p>
        </w:tc>
        <w:tc>
          <w:tcPr>
            <w:tcW w:w="984"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182.61</w:t>
            </w: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lang w:eastAsia="zh-CN"/>
              </w:rPr>
              <w:t>社会保障和就业</w:t>
            </w:r>
            <w:r>
              <w:rPr>
                <w:rFonts w:hint="eastAsia" w:eastAsia="宋体"/>
                <w:color w:val="000000"/>
                <w:sz w:val="20"/>
              </w:rPr>
              <w:t>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25.37</w:t>
            </w:r>
          </w:p>
        </w:tc>
        <w:tc>
          <w:tcPr>
            <w:tcW w:w="1182"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25.37</w:t>
            </w: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lang w:eastAsia="zh-CN"/>
              </w:rPr>
              <w:t>卫生健康支出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5.27</w:t>
            </w:r>
          </w:p>
        </w:tc>
        <w:tc>
          <w:tcPr>
            <w:tcW w:w="1182"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5.27</w:t>
            </w: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hint="eastAsia" w:eastAsia="宋体"/>
                <w:color w:val="000000"/>
                <w:kern w:val="0"/>
                <w:sz w:val="20"/>
                <w:lang w:eastAsia="zh-CN"/>
              </w:rPr>
              <w:t>四、住房保障支出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11.72</w:t>
            </w:r>
          </w:p>
        </w:tc>
        <w:tc>
          <w:tcPr>
            <w:tcW w:w="1182"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11.72</w:t>
            </w: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eastAsia="宋体"/>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182.61</w:t>
            </w:r>
          </w:p>
        </w:tc>
        <w:tc>
          <w:tcPr>
            <w:tcW w:w="984"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182.61</w:t>
            </w: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182.61</w:t>
            </w:r>
          </w:p>
        </w:tc>
        <w:tc>
          <w:tcPr>
            <w:tcW w:w="11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182.61</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182.61</w:t>
            </w:r>
          </w:p>
        </w:tc>
        <w:tc>
          <w:tcPr>
            <w:tcW w:w="984"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182.61</w:t>
            </w: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182.61</w:t>
            </w:r>
          </w:p>
        </w:tc>
        <w:tc>
          <w:tcPr>
            <w:tcW w:w="11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182.61</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258"/>
        <w:gridCol w:w="1039"/>
        <w:gridCol w:w="930"/>
        <w:gridCol w:w="975"/>
        <w:gridCol w:w="360"/>
        <w:gridCol w:w="390"/>
        <w:gridCol w:w="495"/>
        <w:gridCol w:w="435"/>
        <w:gridCol w:w="420"/>
        <w:gridCol w:w="390"/>
        <w:gridCol w:w="360"/>
        <w:gridCol w:w="390"/>
        <w:gridCol w:w="486"/>
        <w:gridCol w:w="556"/>
        <w:gridCol w:w="492"/>
        <w:gridCol w:w="1"/>
        <w:gridCol w:w="504"/>
        <w:gridCol w:w="487"/>
        <w:gridCol w:w="520"/>
      </w:tblGrid>
      <w:tr>
        <w:tblPrEx>
          <w:tblCellMar>
            <w:top w:w="0" w:type="dxa"/>
            <w:left w:w="108" w:type="dxa"/>
            <w:bottom w:w="0" w:type="dxa"/>
            <w:right w:w="108" w:type="dxa"/>
          </w:tblCellMar>
        </w:tblPrEx>
        <w:trPr>
          <w:trHeight w:val="335" w:hRule="atLeast"/>
          <w:jc w:val="center"/>
        </w:trPr>
        <w:tc>
          <w:tcPr>
            <w:tcW w:w="1258" w:type="dxa"/>
            <w:tcBorders>
              <w:bottom w:val="single" w:color="000000" w:sz="4" w:space="0"/>
            </w:tcBorders>
            <w:noWrap w:val="0"/>
            <w:vAlign w:val="top"/>
          </w:tcPr>
          <w:p>
            <w:pPr>
              <w:autoSpaceDN w:val="0"/>
              <w:jc w:val="left"/>
              <w:textAlignment w:val="center"/>
              <w:rPr>
                <w:rFonts w:eastAsia="华文细黑"/>
                <w:color w:val="000000"/>
                <w:sz w:val="20"/>
              </w:rPr>
            </w:pPr>
          </w:p>
        </w:tc>
        <w:tc>
          <w:tcPr>
            <w:tcW w:w="5044" w:type="dxa"/>
            <w:gridSpan w:val="8"/>
            <w:tcBorders>
              <w:bottom w:val="single" w:color="000000" w:sz="4" w:space="0"/>
            </w:tcBorders>
            <w:noWrap w:val="0"/>
            <w:vAlign w:val="center"/>
          </w:tcPr>
          <w:p>
            <w:pPr>
              <w:autoSpaceDN w:val="0"/>
              <w:jc w:val="left"/>
              <w:textAlignment w:val="center"/>
              <w:rPr>
                <w:rFonts w:eastAsia="华文细黑"/>
                <w:color w:val="000000"/>
                <w:sz w:val="20"/>
              </w:rPr>
            </w:pPr>
          </w:p>
        </w:tc>
        <w:tc>
          <w:tcPr>
            <w:tcW w:w="1140" w:type="dxa"/>
            <w:gridSpan w:val="3"/>
            <w:noWrap w:val="0"/>
            <w:vAlign w:val="center"/>
          </w:tcPr>
          <w:p>
            <w:pPr>
              <w:autoSpaceDN w:val="0"/>
              <w:jc w:val="left"/>
              <w:textAlignment w:val="center"/>
              <w:rPr>
                <w:rFonts w:eastAsia="华文细黑"/>
                <w:color w:val="000000"/>
                <w:sz w:val="20"/>
              </w:rPr>
            </w:pPr>
          </w:p>
        </w:tc>
        <w:tc>
          <w:tcPr>
            <w:tcW w:w="486" w:type="dxa"/>
            <w:noWrap w:val="0"/>
            <w:vAlign w:val="center"/>
          </w:tcPr>
          <w:p>
            <w:pPr>
              <w:autoSpaceDN w:val="0"/>
              <w:jc w:val="left"/>
              <w:textAlignment w:val="center"/>
              <w:rPr>
                <w:rFonts w:eastAsia="华文细黑"/>
                <w:color w:val="000000"/>
                <w:sz w:val="20"/>
              </w:rPr>
            </w:pPr>
          </w:p>
        </w:tc>
        <w:tc>
          <w:tcPr>
            <w:tcW w:w="556" w:type="dxa"/>
            <w:noWrap w:val="0"/>
            <w:vAlign w:val="center"/>
          </w:tcPr>
          <w:p>
            <w:pPr>
              <w:autoSpaceDN w:val="0"/>
              <w:jc w:val="left"/>
              <w:textAlignment w:val="center"/>
              <w:rPr>
                <w:rFonts w:eastAsia="华文细黑"/>
                <w:color w:val="000000"/>
                <w:sz w:val="20"/>
              </w:rPr>
            </w:pPr>
          </w:p>
        </w:tc>
        <w:tc>
          <w:tcPr>
            <w:tcW w:w="493" w:type="dxa"/>
            <w:gridSpan w:val="2"/>
            <w:noWrap w:val="0"/>
            <w:vAlign w:val="bottom"/>
          </w:tcPr>
          <w:p>
            <w:pPr>
              <w:autoSpaceDN w:val="0"/>
              <w:jc w:val="right"/>
              <w:textAlignment w:val="bottom"/>
              <w:rPr>
                <w:rFonts w:eastAsia="宋体"/>
                <w:color w:val="000000"/>
                <w:sz w:val="20"/>
              </w:rPr>
            </w:pPr>
          </w:p>
        </w:tc>
        <w:tc>
          <w:tcPr>
            <w:tcW w:w="1511" w:type="dxa"/>
            <w:gridSpan w:val="3"/>
            <w:noWrap w:val="0"/>
            <w:vAlign w:val="bottom"/>
          </w:tcPr>
          <w:p>
            <w:pPr>
              <w:wordWrap/>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trHeight w:val="517" w:hRule="atLeast"/>
          <w:jc w:val="center"/>
        </w:trPr>
        <w:tc>
          <w:tcPr>
            <w:tcW w:w="1258" w:type="dxa"/>
            <w:vMerge w:val="restart"/>
            <w:tcBorders>
              <w:left w:val="single" w:color="000000" w:sz="4" w:space="0"/>
              <w:right w:val="single" w:color="000000" w:sz="4" w:space="0"/>
            </w:tcBorders>
            <w:noWrap w:val="0"/>
            <w:vAlign w:val="center"/>
          </w:tcPr>
          <w:p>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部门（单位）</w:t>
            </w:r>
          </w:p>
          <w:p>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1039" w:type="dxa"/>
            <w:vMerge w:val="restart"/>
            <w:tcBorders>
              <w:top w:val="single" w:color="000000" w:sz="4" w:space="0"/>
              <w:left w:val="single" w:color="000000" w:sz="4" w:space="0"/>
              <w:right w:val="single" w:color="000000" w:sz="4" w:space="0"/>
            </w:tcBorders>
            <w:noWrap w:val="0"/>
            <w:vAlign w:val="center"/>
          </w:tcPr>
          <w:p>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145" w:type="dxa"/>
            <w:gridSpan w:val="10"/>
            <w:tcBorders>
              <w:top w:val="single" w:color="000000" w:sz="4" w:space="0"/>
              <w:left w:val="single" w:color="000000" w:sz="4" w:space="0"/>
              <w:right w:val="single" w:color="000000" w:sz="4" w:space="0"/>
            </w:tcBorders>
            <w:noWrap w:val="0"/>
            <w:vAlign w:val="center"/>
          </w:tcPr>
          <w:p>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本年收入</w:t>
            </w:r>
          </w:p>
        </w:tc>
        <w:tc>
          <w:tcPr>
            <w:tcW w:w="3046" w:type="dxa"/>
            <w:gridSpan w:val="7"/>
            <w:tcBorders>
              <w:top w:val="single" w:color="000000" w:sz="4" w:space="0"/>
              <w:left w:val="single" w:color="000000" w:sz="4" w:space="0"/>
              <w:right w:val="single" w:color="000000" w:sz="4" w:space="0"/>
            </w:tcBorders>
            <w:noWrap w:val="0"/>
            <w:vAlign w:val="center"/>
          </w:tcPr>
          <w:p>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tblPrEx>
          <w:tblCellMar>
            <w:top w:w="0" w:type="dxa"/>
            <w:left w:w="108" w:type="dxa"/>
            <w:bottom w:w="0" w:type="dxa"/>
            <w:right w:w="108" w:type="dxa"/>
          </w:tblCellMar>
        </w:tblPrEx>
        <w:trPr>
          <w:trHeight w:val="517" w:hRule="atLeast"/>
          <w:jc w:val="center"/>
        </w:trPr>
        <w:tc>
          <w:tcPr>
            <w:tcW w:w="1258" w:type="dxa"/>
            <w:vMerge w:val="continue"/>
            <w:tcBorders>
              <w:left w:val="single" w:color="000000" w:sz="4" w:space="0"/>
              <w:right w:val="single" w:color="000000" w:sz="4" w:space="0"/>
            </w:tcBorders>
            <w:noWrap w:val="0"/>
            <w:vAlign w:val="center"/>
          </w:tcPr>
          <w:p>
            <w:pPr>
              <w:widowControl/>
              <w:jc w:val="center"/>
              <w:rPr>
                <w:rFonts w:hint="eastAsia" w:eastAsia="宋体"/>
                <w:color w:val="000000"/>
                <w:sz w:val="20"/>
                <w:shd w:val="clear" w:color="auto" w:fill="FFFFFF"/>
                <w:lang w:eastAsia="zh-CN"/>
              </w:rPr>
            </w:pPr>
          </w:p>
        </w:tc>
        <w:tc>
          <w:tcPr>
            <w:tcW w:w="1039" w:type="dxa"/>
            <w:vMerge w:val="continue"/>
            <w:tcBorders>
              <w:left w:val="single" w:color="000000" w:sz="4" w:space="0"/>
              <w:right w:val="single" w:color="000000" w:sz="4" w:space="0"/>
            </w:tcBorders>
            <w:noWrap w:val="0"/>
            <w:vAlign w:val="center"/>
          </w:tcPr>
          <w:p>
            <w:pPr>
              <w:widowControl/>
              <w:jc w:val="center"/>
              <w:rPr>
                <w:rFonts w:hint="eastAsia" w:eastAsia="宋体"/>
                <w:color w:val="000000"/>
                <w:sz w:val="20"/>
                <w:shd w:val="clear" w:color="auto" w:fill="FFFFFF"/>
                <w:lang w:eastAsia="zh-CN"/>
              </w:rPr>
            </w:pPr>
          </w:p>
        </w:tc>
        <w:tc>
          <w:tcPr>
            <w:tcW w:w="930" w:type="dxa"/>
            <w:vMerge w:val="restart"/>
            <w:tcBorders>
              <w:top w:val="single" w:color="000000" w:sz="4" w:space="0"/>
              <w:left w:val="single" w:color="000000" w:sz="4" w:space="0"/>
              <w:right w:val="single" w:color="auto" w:sz="4" w:space="0"/>
            </w:tcBorders>
            <w:noWrap w:val="0"/>
            <w:vAlign w:val="center"/>
          </w:tcPr>
          <w:p>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725" w:type="dxa"/>
            <w:gridSpan w:val="3"/>
            <w:tcBorders>
              <w:top w:val="single" w:color="000000" w:sz="4" w:space="0"/>
              <w:left w:val="single" w:color="auto" w:sz="4" w:space="0"/>
              <w:right w:val="single" w:color="auto" w:sz="4" w:space="0"/>
            </w:tcBorders>
            <w:noWrap w:val="0"/>
            <w:vAlign w:val="center"/>
          </w:tcPr>
          <w:p>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495" w:type="dxa"/>
            <w:vMerge w:val="restart"/>
            <w:tcBorders>
              <w:top w:val="single" w:color="000000" w:sz="4" w:space="0"/>
              <w:left w:val="single" w:color="auto" w:sz="4" w:space="0"/>
              <w:right w:val="single" w:color="auto" w:sz="4" w:space="0"/>
            </w:tcBorders>
            <w:noWrap w:val="0"/>
            <w:vAlign w:val="center"/>
          </w:tcPr>
          <w:p>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1995" w:type="dxa"/>
            <w:gridSpan w:val="5"/>
            <w:tcBorders>
              <w:top w:val="single" w:color="000000" w:sz="4" w:space="0"/>
              <w:left w:val="single" w:color="auto" w:sz="4" w:space="0"/>
              <w:right w:val="single" w:color="000000" w:sz="4" w:space="0"/>
            </w:tcBorders>
            <w:noWrap w:val="0"/>
            <w:vAlign w:val="center"/>
          </w:tcPr>
          <w:p>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486" w:type="dxa"/>
            <w:vMerge w:val="restart"/>
            <w:tcBorders>
              <w:top w:val="single" w:color="000000" w:sz="4" w:space="0"/>
              <w:left w:val="single" w:color="000000" w:sz="4" w:space="0"/>
              <w:right w:val="single" w:color="auto" w:sz="4" w:space="0"/>
            </w:tcBorders>
            <w:noWrap w:val="0"/>
            <w:vAlign w:val="center"/>
          </w:tcPr>
          <w:p>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553" w:type="dxa"/>
            <w:gridSpan w:val="4"/>
            <w:tcBorders>
              <w:top w:val="single" w:color="000000" w:sz="4" w:space="0"/>
              <w:left w:val="single" w:color="auto" w:sz="4" w:space="0"/>
              <w:right w:val="single" w:color="auto" w:sz="4" w:space="0"/>
            </w:tcBorders>
            <w:noWrap w:val="0"/>
            <w:vAlign w:val="center"/>
          </w:tcPr>
          <w:p>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1007" w:type="dxa"/>
            <w:gridSpan w:val="2"/>
            <w:tcBorders>
              <w:top w:val="single" w:color="000000" w:sz="4" w:space="0"/>
              <w:left w:val="single" w:color="auto" w:sz="4" w:space="0"/>
              <w:right w:val="single" w:color="000000" w:sz="4" w:space="0"/>
            </w:tcBorders>
            <w:noWrap w:val="0"/>
            <w:vAlign w:val="center"/>
          </w:tcPr>
          <w:p>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tblPrEx>
          <w:tblCellMar>
            <w:top w:w="0" w:type="dxa"/>
            <w:left w:w="108" w:type="dxa"/>
            <w:bottom w:w="0" w:type="dxa"/>
            <w:right w:w="108" w:type="dxa"/>
          </w:tblCellMar>
        </w:tblPrEx>
        <w:trPr>
          <w:trHeight w:val="6089" w:hRule="atLeast"/>
          <w:jc w:val="center"/>
        </w:trPr>
        <w:tc>
          <w:tcPr>
            <w:tcW w:w="1258"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hd w:val="clear" w:color="auto" w:fill="FFFFFF"/>
              </w:rPr>
            </w:pPr>
          </w:p>
        </w:tc>
        <w:tc>
          <w:tcPr>
            <w:tcW w:w="1039"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hd w:val="clear" w:color="auto" w:fill="FFFFFF"/>
                <w:lang w:eastAsia="zh-CN"/>
              </w:rPr>
            </w:pPr>
          </w:p>
        </w:tc>
        <w:tc>
          <w:tcPr>
            <w:tcW w:w="93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widowControl/>
              <w:ind w:left="113" w:right="113"/>
              <w:jc w:val="center"/>
              <w:rPr>
                <w:rFonts w:hint="eastAsia" w:eastAsia="宋体"/>
                <w:color w:val="000000"/>
                <w:sz w:val="21"/>
                <w:szCs w:val="21"/>
                <w:shd w:val="clear" w:color="auto" w:fill="FFFFFF"/>
                <w:lang w:eastAsia="zh-CN"/>
              </w:rPr>
            </w:pPr>
          </w:p>
        </w:tc>
        <w:tc>
          <w:tcPr>
            <w:tcW w:w="97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360" w:type="dxa"/>
            <w:tcBorders>
              <w:top w:val="single" w:color="000000" w:sz="4" w:space="0"/>
              <w:left w:val="single" w:color="000000" w:sz="4" w:space="0"/>
              <w:bottom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495"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486"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left"/>
              <w:rPr>
                <w:rFonts w:hint="eastAsia" w:eastAsia="宋体"/>
                <w:color w:val="000000"/>
                <w:sz w:val="20"/>
                <w:szCs w:val="20"/>
                <w:shd w:val="clear" w:color="auto" w:fill="FFFFFF"/>
                <w:lang w:eastAsia="zh-CN"/>
              </w:rPr>
            </w:pPr>
          </w:p>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政府性基金预算拨款结转</w:t>
            </w:r>
          </w:p>
          <w:p>
            <w:pPr>
              <w:widowControl/>
              <w:ind w:left="113" w:right="113"/>
              <w:jc w:val="center"/>
              <w:rPr>
                <w:rFonts w:hint="eastAsia" w:eastAsia="宋体"/>
                <w:color w:val="000000"/>
                <w:sz w:val="20"/>
                <w:szCs w:val="20"/>
                <w:shd w:val="clear" w:color="auto" w:fill="FFFFFF"/>
                <w:lang w:eastAsia="zh-CN"/>
              </w:rPr>
            </w:pPr>
          </w:p>
        </w:tc>
        <w:tc>
          <w:tcPr>
            <w:tcW w:w="505" w:type="dxa"/>
            <w:gridSpan w:val="2"/>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8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磐石市</w:t>
            </w:r>
          </w:p>
          <w:p>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统计局</w:t>
            </w:r>
          </w:p>
        </w:tc>
        <w:tc>
          <w:tcPr>
            <w:tcW w:w="103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182.61</w:t>
            </w:r>
          </w:p>
        </w:tc>
        <w:tc>
          <w:tcPr>
            <w:tcW w:w="9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182.61</w:t>
            </w:r>
          </w:p>
        </w:tc>
        <w:tc>
          <w:tcPr>
            <w:tcW w:w="9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182.61</w:t>
            </w:r>
          </w:p>
        </w:tc>
        <w:tc>
          <w:tcPr>
            <w:tcW w:w="36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103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9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30"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103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182.61</w:t>
            </w:r>
          </w:p>
        </w:tc>
        <w:tc>
          <w:tcPr>
            <w:tcW w:w="9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182.61</w:t>
            </w:r>
          </w:p>
        </w:tc>
        <w:tc>
          <w:tcPr>
            <w:tcW w:w="9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182.61</w:t>
            </w:r>
          </w:p>
        </w:tc>
        <w:tc>
          <w:tcPr>
            <w:tcW w:w="36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95"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9960"/>
        <w:gridCol w:w="445"/>
      </w:tblGrid>
      <w:tr>
        <w:tblPrEx>
          <w:tblCellMar>
            <w:top w:w="0" w:type="dxa"/>
            <w:left w:w="108" w:type="dxa"/>
            <w:bottom w:w="0" w:type="dxa"/>
            <w:right w:w="108" w:type="dxa"/>
          </w:tblCellMar>
        </w:tblPrEx>
        <w:trPr>
          <w:trHeight w:val="615" w:hRule="atLeast"/>
          <w:jc w:val="center"/>
        </w:trPr>
        <w:tc>
          <w:tcPr>
            <w:tcW w:w="10405" w:type="dxa"/>
            <w:gridSpan w:val="2"/>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149"/>
              <w:gridCol w:w="1548"/>
              <w:gridCol w:w="1140"/>
              <w:gridCol w:w="1140"/>
              <w:gridCol w:w="1132"/>
              <w:gridCol w:w="1266"/>
              <w:gridCol w:w="30"/>
              <w:gridCol w:w="1297"/>
              <w:gridCol w:w="138"/>
            </w:tblGrid>
            <w:tr>
              <w:tblPrEx>
                <w:tblCellMar>
                  <w:top w:w="15" w:type="dxa"/>
                  <w:left w:w="15" w:type="dxa"/>
                  <w:bottom w:w="15" w:type="dxa"/>
                  <w:right w:w="15" w:type="dxa"/>
                </w:tblCellMar>
              </w:tblPrEx>
              <w:trPr>
                <w:gridAfter w:val="1"/>
                <w:wAfter w:w="138" w:type="dxa"/>
                <w:trHeight w:val="636" w:hRule="atLeast"/>
              </w:trPr>
              <w:tc>
                <w:tcPr>
                  <w:tcW w:w="5977" w:type="dxa"/>
                  <w:gridSpan w:val="4"/>
                  <w:tcBorders>
                    <w:bottom w:val="single" w:color="000000" w:sz="4" w:space="0"/>
                  </w:tcBorders>
                  <w:noWrap w:val="0"/>
                  <w:vAlign w:val="center"/>
                </w:tcPr>
                <w:p>
                  <w:pPr>
                    <w:widowControl/>
                    <w:jc w:val="left"/>
                    <w:rPr>
                      <w:rFonts w:eastAsia="华文细黑"/>
                      <w:color w:val="000000"/>
                      <w:kern w:val="0"/>
                      <w:sz w:val="20"/>
                    </w:rPr>
                  </w:pPr>
                </w:p>
              </w:tc>
              <w:tc>
                <w:tcPr>
                  <w:tcW w:w="1132" w:type="dxa"/>
                  <w:tcBorders>
                    <w:bottom w:val="single" w:color="000000" w:sz="4" w:space="0"/>
                  </w:tcBorders>
                  <w:noWrap w:val="0"/>
                  <w:vAlign w:val="center"/>
                </w:tcPr>
                <w:p>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pPr>
                    <w:widowControl/>
                    <w:jc w:val="right"/>
                    <w:rPr>
                      <w:rFonts w:eastAsia="华文细黑"/>
                      <w:color w:val="000000"/>
                      <w:kern w:val="0"/>
                      <w:sz w:val="20"/>
                    </w:rPr>
                  </w:pPr>
                </w:p>
              </w:tc>
              <w:tc>
                <w:tcPr>
                  <w:tcW w:w="1297" w:type="dxa"/>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866" w:hRule="atLeast"/>
              </w:trPr>
              <w:tc>
                <w:tcPr>
                  <w:tcW w:w="2149"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szCs w:val="22"/>
                    </w:rPr>
                  </w:pPr>
                  <w:r>
                    <w:rPr>
                      <w:rFonts w:eastAsia="华文细黑"/>
                      <w:color w:val="000000"/>
                      <w:kern w:val="0"/>
                      <w:sz w:val="20"/>
                      <w:szCs w:val="22"/>
                    </w:rPr>
                    <w:t>功能分类</w:t>
                  </w:r>
                </w:p>
                <w:p>
                  <w:pPr>
                    <w:widowControl/>
                    <w:jc w:val="center"/>
                    <w:rPr>
                      <w:rFonts w:eastAsia="华文细黑"/>
                      <w:color w:val="000000"/>
                      <w:kern w:val="0"/>
                      <w:sz w:val="20"/>
                    </w:rPr>
                  </w:pPr>
                  <w:r>
                    <w:rPr>
                      <w:rFonts w:eastAsia="华文细黑"/>
                      <w:color w:val="000000"/>
                      <w:kern w:val="0"/>
                      <w:sz w:val="20"/>
                      <w:szCs w:val="22"/>
                    </w:rPr>
                    <w:t>科目名称</w:t>
                  </w:r>
                </w:p>
              </w:tc>
              <w:tc>
                <w:tcPr>
                  <w:tcW w:w="1548"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701"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i w:val="0"/>
                      <w:color w:val="000000"/>
                      <w:kern w:val="0"/>
                      <w:sz w:val="20"/>
                      <w:szCs w:val="20"/>
                      <w:u w:val="none"/>
                      <w:lang w:val="en-US" w:eastAsia="zh-CN" w:bidi="ar"/>
                    </w:rPr>
                    <w:t>一、一般公共服务支出</w:t>
                  </w:r>
                </w:p>
              </w:tc>
              <w:tc>
                <w:tcPr>
                  <w:tcW w:w="154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140.25</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117.84</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22.41</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统计信息事务</w:t>
                  </w:r>
                </w:p>
              </w:tc>
              <w:tc>
                <w:tcPr>
                  <w:tcW w:w="154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140.25</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117.84</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22.41</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600" w:firstLineChars="30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行政运行</w:t>
                  </w:r>
                </w:p>
              </w:tc>
              <w:tc>
                <w:tcPr>
                  <w:tcW w:w="154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117.84</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117.84</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600" w:firstLineChars="30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一般行政管理事务</w:t>
                  </w:r>
                </w:p>
              </w:tc>
              <w:tc>
                <w:tcPr>
                  <w:tcW w:w="154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22.41</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22.41</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二、社会保障和就业支出</w:t>
                  </w:r>
                </w:p>
              </w:tc>
              <w:tc>
                <w:tcPr>
                  <w:tcW w:w="154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25.37</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25.37</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行政事业单位养老支出</w:t>
                  </w:r>
                </w:p>
              </w:tc>
              <w:tc>
                <w:tcPr>
                  <w:tcW w:w="154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25.37</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25.37</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600" w:firstLineChars="30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行政单位离退休</w:t>
                  </w:r>
                </w:p>
              </w:tc>
              <w:tc>
                <w:tcPr>
                  <w:tcW w:w="154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11.62</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11.62</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600" w:firstLineChars="30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154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13.75</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13.75</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三、卫生健康支出</w:t>
                  </w:r>
                </w:p>
              </w:tc>
              <w:tc>
                <w:tcPr>
                  <w:tcW w:w="154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5.27</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5.27</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行政事业单位医疗</w:t>
                  </w:r>
                </w:p>
              </w:tc>
              <w:tc>
                <w:tcPr>
                  <w:tcW w:w="154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5.27</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5.27</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600" w:firstLineChars="30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行政单位医疗</w:t>
                  </w:r>
                </w:p>
              </w:tc>
              <w:tc>
                <w:tcPr>
                  <w:tcW w:w="154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5.27</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5.27</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四、住房保障支出</w:t>
                  </w:r>
                </w:p>
              </w:tc>
              <w:tc>
                <w:tcPr>
                  <w:tcW w:w="154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11.72</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11.72</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住房改革支出</w:t>
                  </w:r>
                </w:p>
              </w:tc>
              <w:tc>
                <w:tcPr>
                  <w:tcW w:w="154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11.72</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11.72</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600" w:firstLineChars="30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住房公积金</w:t>
                  </w:r>
                </w:p>
              </w:tc>
              <w:tc>
                <w:tcPr>
                  <w:tcW w:w="154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11.72</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11.72</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eastAsia="华文细黑"/>
                      <w:color w:val="000000"/>
                      <w:kern w:val="0"/>
                      <w:sz w:val="20"/>
                    </w:rPr>
                    <w:t>合计</w:t>
                  </w:r>
                </w:p>
              </w:tc>
              <w:tc>
                <w:tcPr>
                  <w:tcW w:w="154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182.61</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160.20</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22.41</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r>
        <w:tblPrEx>
          <w:tblCellMar>
            <w:top w:w="0" w:type="dxa"/>
            <w:left w:w="108" w:type="dxa"/>
            <w:bottom w:w="0" w:type="dxa"/>
            <w:right w:w="108" w:type="dxa"/>
          </w:tblCellMar>
        </w:tblPrEx>
        <w:trPr>
          <w:gridAfter w:val="1"/>
          <w:wAfter w:w="445" w:type="dxa"/>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182.61</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182.61</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182.61</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182.61</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szCs w:val="22"/>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182.61</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182.61</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（一）</w:t>
                  </w:r>
                  <w:r>
                    <w:rPr>
                      <w:rFonts w:hint="eastAsia" w:ascii="宋体" w:hAnsi="宋体" w:eastAsia="宋体" w:cs="宋体"/>
                      <w:color w:val="000000"/>
                      <w:kern w:val="0"/>
                      <w:sz w:val="20"/>
                      <w:szCs w:val="20"/>
                    </w:rPr>
                    <w:t>一般公共服务</w:t>
                  </w:r>
                  <w:r>
                    <w:rPr>
                      <w:rFonts w:hint="eastAsia" w:ascii="宋体" w:hAnsi="宋体" w:eastAsia="宋体" w:cs="宋体"/>
                      <w:color w:val="000000"/>
                      <w:kern w:val="0"/>
                      <w:sz w:val="20"/>
                      <w:szCs w:val="20"/>
                      <w:lang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140.25</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140.25</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二</w:t>
                  </w:r>
                  <w:r>
                    <w:rPr>
                      <w:rFonts w:hint="eastAsia" w:ascii="宋体" w:hAnsi="宋体" w:eastAsia="宋体" w:cs="宋体"/>
                      <w:color w:val="000000"/>
                      <w:sz w:val="20"/>
                      <w:szCs w:val="20"/>
                      <w:lang w:eastAsia="zh-CN"/>
                    </w:rPr>
                    <w:t>）社会保障和就业</w:t>
                  </w:r>
                  <w:r>
                    <w:rPr>
                      <w:rFonts w:hint="eastAsia" w:ascii="宋体" w:hAnsi="宋体" w:eastAsia="宋体" w:cs="宋体"/>
                      <w:color w:val="000000"/>
                      <w:sz w:val="20"/>
                      <w:szCs w:val="20"/>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25.37</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25.37</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三</w:t>
                  </w:r>
                  <w:r>
                    <w:rPr>
                      <w:rFonts w:hint="eastAsia" w:ascii="宋体" w:hAnsi="宋体" w:eastAsia="宋体" w:cs="宋体"/>
                      <w:color w:val="000000"/>
                      <w:sz w:val="20"/>
                      <w:szCs w:val="20"/>
                      <w:lang w:eastAsia="zh-CN"/>
                    </w:rPr>
                    <w:t>）卫生健康</w:t>
                  </w:r>
                  <w:r>
                    <w:rPr>
                      <w:rFonts w:hint="eastAsia" w:ascii="宋体" w:hAnsi="宋体" w:eastAsia="宋体" w:cs="宋体"/>
                      <w:color w:val="000000"/>
                      <w:sz w:val="20"/>
                      <w:szCs w:val="20"/>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5.27</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5.27</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lang w:eastAsia="zh-CN"/>
                    </w:rPr>
                    <w:t>（四）住房保障</w:t>
                  </w:r>
                  <w:r>
                    <w:rPr>
                      <w:rFonts w:hint="eastAsia" w:ascii="宋体" w:hAnsi="宋体" w:eastAsia="宋体" w:cs="宋体"/>
                      <w:color w:val="000000"/>
                      <w:sz w:val="20"/>
                      <w:szCs w:val="20"/>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11.72</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11.72</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182.61</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182.61</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黑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182.61</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182.61</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bl>
          <w:p>
            <w:pPr>
              <w:widowControl/>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szCs w:val="22"/>
                    </w:rPr>
                  </w:pPr>
                  <w:r>
                    <w:rPr>
                      <w:rFonts w:eastAsia="华文细黑"/>
                      <w:color w:val="000000"/>
                      <w:kern w:val="0"/>
                      <w:sz w:val="20"/>
                      <w:szCs w:val="22"/>
                    </w:rPr>
                    <w:t>功能分类</w:t>
                  </w:r>
                </w:p>
                <w:p>
                  <w:pPr>
                    <w:widowControl/>
                    <w:jc w:val="center"/>
                    <w:rPr>
                      <w:rFonts w:eastAsia="华文细黑"/>
                      <w:color w:val="000000"/>
                      <w:kern w:val="0"/>
                      <w:sz w:val="20"/>
                    </w:rPr>
                  </w:pPr>
                  <w:r>
                    <w:rPr>
                      <w:rFonts w:eastAsia="华文细黑"/>
                      <w:color w:val="000000"/>
                      <w:kern w:val="0"/>
                      <w:sz w:val="20"/>
                      <w:szCs w:val="22"/>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lang w:eastAsia="zh-CN"/>
                    </w:rPr>
                  </w:pPr>
                  <w:r>
                    <w:rPr>
                      <w:rFonts w:hint="eastAsia" w:eastAsia="华文细黑"/>
                      <w:color w:val="000000"/>
                      <w:kern w:val="0"/>
                      <w:sz w:val="20"/>
                      <w:lang w:eastAsia="zh-CN"/>
                    </w:rPr>
                    <w:t>合计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lang w:eastAsia="zh-CN"/>
                    </w:rPr>
                  </w:pPr>
                  <w:r>
                    <w:rPr>
                      <w:rFonts w:hint="eastAsia" w:eastAsia="华文细黑"/>
                      <w:color w:val="000000"/>
                      <w:kern w:val="0"/>
                      <w:sz w:val="20"/>
                      <w:lang w:eastAsia="zh-CN"/>
                    </w:rPr>
                    <w:t>小计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一、一般公共服务支出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140.25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117.84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94.15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23.69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22.41</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140.25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117.84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94.15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23.69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22.41</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600" w:firstLineChars="30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117.84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117.84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94.15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23.69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600" w:firstLineChars="30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22.41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22.41</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25.37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25.37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25.37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25.37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25.37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25.37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600" w:firstLineChars="30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11.62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11.62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11.62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600" w:firstLineChars="30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13.75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13.75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13.75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600" w:firstLineChars="30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11.72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11.72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11.72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11.72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11.72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11.72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600" w:firstLineChars="30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11.72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11.72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11.72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182.61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160.20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136.51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23.69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22.41</w:t>
                  </w: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543"/>
        <w:gridCol w:w="1853"/>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543"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1853"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center"/>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812" w:hRule="atLeast"/>
          <w:jc w:val="center"/>
        </w:trPr>
        <w:tc>
          <w:tcPr>
            <w:tcW w:w="3543" w:type="dxa"/>
            <w:tcBorders>
              <w:top w:val="single" w:color="auto" w:sz="4" w:space="0"/>
              <w:left w:val="single" w:color="auto" w:sz="4" w:space="0"/>
              <w:right w:val="single" w:color="auto" w:sz="4" w:space="0"/>
            </w:tcBorders>
            <w:noWrap w:val="0"/>
            <w:vAlign w:val="center"/>
          </w:tcPr>
          <w:p>
            <w:pPr>
              <w:widowControl/>
              <w:jc w:val="center"/>
              <w:rPr>
                <w:rFonts w:hint="eastAsia" w:eastAsia="华文细黑"/>
                <w:color w:val="000000"/>
                <w:kern w:val="0"/>
                <w:sz w:val="20"/>
                <w:szCs w:val="22"/>
                <w:lang w:eastAsia="zh-CN"/>
              </w:rPr>
            </w:pPr>
            <w:r>
              <w:rPr>
                <w:rFonts w:hint="eastAsia" w:eastAsia="华文细黑"/>
                <w:color w:val="000000"/>
                <w:kern w:val="0"/>
                <w:sz w:val="20"/>
                <w:szCs w:val="22"/>
                <w:lang w:eastAsia="zh-CN"/>
              </w:rPr>
              <w:t>部门预算支出经济分类科目</w:t>
            </w:r>
          </w:p>
        </w:tc>
        <w:tc>
          <w:tcPr>
            <w:tcW w:w="1853" w:type="dxa"/>
            <w:tcBorders>
              <w:top w:val="single" w:color="auto" w:sz="4" w:space="0"/>
              <w:left w:val="single" w:color="auto" w:sz="4" w:space="0"/>
              <w:right w:val="single" w:color="auto" w:sz="4" w:space="0"/>
            </w:tcBorders>
            <w:noWrap w:val="0"/>
            <w:vAlign w:val="center"/>
          </w:tcPr>
          <w:p>
            <w:pPr>
              <w:widowControl/>
              <w:jc w:val="center"/>
              <w:rPr>
                <w:rFonts w:hint="eastAsia" w:eastAsia="华文细黑"/>
                <w:color w:val="000000"/>
                <w:kern w:val="0"/>
                <w:sz w:val="20"/>
                <w:szCs w:val="22"/>
              </w:rPr>
            </w:pPr>
            <w:r>
              <w:rPr>
                <w:rFonts w:hint="eastAsia" w:eastAsia="华文细黑"/>
                <w:color w:val="000000"/>
                <w:kern w:val="0"/>
                <w:sz w:val="20"/>
                <w:szCs w:val="22"/>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rPr>
                <w:rFonts w:hint="eastAsia" w:eastAsia="华文细黑"/>
                <w:color w:val="000000"/>
                <w:kern w:val="0"/>
                <w:sz w:val="20"/>
                <w:szCs w:val="22"/>
              </w:rPr>
            </w:pPr>
            <w:r>
              <w:rPr>
                <w:rFonts w:hint="eastAsia" w:eastAsia="华文细黑"/>
                <w:color w:val="000000"/>
                <w:kern w:val="0"/>
                <w:sz w:val="20"/>
                <w:szCs w:val="22"/>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华文细黑"/>
                <w:color w:val="000000"/>
                <w:kern w:val="0"/>
                <w:sz w:val="20"/>
                <w:szCs w:val="22"/>
              </w:rPr>
            </w:pPr>
            <w:r>
              <w:rPr>
                <w:rFonts w:hint="eastAsia" w:eastAsia="华文细黑"/>
                <w:color w:val="000000"/>
                <w:kern w:val="0"/>
                <w:sz w:val="20"/>
                <w:szCs w:val="22"/>
              </w:rPr>
              <w:t>公用经费</w:t>
            </w:r>
          </w:p>
        </w:tc>
      </w:tr>
      <w:tr>
        <w:tblPrEx>
          <w:tblCellMar>
            <w:top w:w="0" w:type="dxa"/>
            <w:left w:w="108" w:type="dxa"/>
            <w:bottom w:w="0" w:type="dxa"/>
            <w:right w:w="108" w:type="dxa"/>
          </w:tblCellMar>
        </w:tblPrEx>
        <w:trPr>
          <w:trHeight w:val="340" w:hRule="atLeast"/>
          <w:jc w:val="center"/>
        </w:trPr>
        <w:tc>
          <w:tcPr>
            <w:tcW w:w="35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rPr>
            </w:pPr>
            <w:r>
              <w:rPr>
                <w:rFonts w:hint="eastAsia" w:ascii="宋体" w:hAnsi="宋体" w:eastAsia="宋体" w:cs="宋体"/>
                <w:i w:val="0"/>
                <w:color w:val="000000"/>
                <w:kern w:val="0"/>
                <w:sz w:val="20"/>
                <w:szCs w:val="20"/>
                <w:u w:val="none"/>
                <w:lang w:val="en-US" w:eastAsia="zh-CN" w:bidi="ar"/>
              </w:rPr>
              <w:t>一、工资福利支出</w:t>
            </w: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124.45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124.45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r>
      <w:tr>
        <w:tblPrEx>
          <w:tblCellMar>
            <w:top w:w="0" w:type="dxa"/>
            <w:left w:w="108" w:type="dxa"/>
            <w:bottom w:w="0" w:type="dxa"/>
            <w:right w:w="108" w:type="dxa"/>
          </w:tblCellMar>
        </w:tblPrEx>
        <w:trPr>
          <w:trHeight w:val="340" w:hRule="atLeast"/>
          <w:jc w:val="center"/>
        </w:trPr>
        <w:tc>
          <w:tcPr>
            <w:tcW w:w="35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400" w:firstLineChars="200"/>
              <w:jc w:val="left"/>
              <w:textAlignment w:val="center"/>
              <w:rPr>
                <w:rFonts w:hint="eastAsia" w:ascii="宋体" w:hAnsi="宋体" w:eastAsia="宋体" w:cs="宋体"/>
                <w:color w:val="000000"/>
                <w:kern w:val="0"/>
                <w:sz w:val="20"/>
              </w:rPr>
            </w:pPr>
            <w:r>
              <w:rPr>
                <w:rFonts w:hint="eastAsia" w:ascii="宋体" w:hAnsi="宋体" w:eastAsia="宋体" w:cs="宋体"/>
                <w:i w:val="0"/>
                <w:color w:val="000000"/>
                <w:kern w:val="0"/>
                <w:sz w:val="20"/>
                <w:szCs w:val="20"/>
                <w:u w:val="none"/>
                <w:lang w:val="en-US" w:eastAsia="zh-CN" w:bidi="ar"/>
              </w:rPr>
              <w:t>基本工资</w:t>
            </w: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46.92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46.92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r>
      <w:tr>
        <w:tblPrEx>
          <w:tblCellMar>
            <w:top w:w="0" w:type="dxa"/>
            <w:left w:w="108" w:type="dxa"/>
            <w:bottom w:w="0" w:type="dxa"/>
            <w:right w:w="108" w:type="dxa"/>
          </w:tblCellMar>
        </w:tblPrEx>
        <w:trPr>
          <w:trHeight w:val="340" w:hRule="atLeast"/>
          <w:jc w:val="center"/>
        </w:trPr>
        <w:tc>
          <w:tcPr>
            <w:tcW w:w="35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400" w:firstLineChars="200"/>
              <w:jc w:val="left"/>
              <w:textAlignment w:val="center"/>
              <w:rPr>
                <w:rFonts w:hint="eastAsia" w:ascii="宋体" w:hAnsi="宋体" w:eastAsia="宋体" w:cs="宋体"/>
                <w:color w:val="000000"/>
                <w:kern w:val="0"/>
                <w:sz w:val="20"/>
              </w:rPr>
            </w:pPr>
            <w:r>
              <w:rPr>
                <w:rFonts w:hint="eastAsia" w:ascii="宋体" w:hAnsi="宋体" w:eastAsia="宋体" w:cs="宋体"/>
                <w:i w:val="0"/>
                <w:color w:val="000000"/>
                <w:kern w:val="0"/>
                <w:sz w:val="20"/>
                <w:szCs w:val="20"/>
                <w:u w:val="none"/>
                <w:lang w:val="en-US" w:eastAsia="zh-CN" w:bidi="ar"/>
              </w:rPr>
              <w:t>津贴补贴</w:t>
            </w: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23.82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23.82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r>
      <w:tr>
        <w:tblPrEx>
          <w:tblCellMar>
            <w:top w:w="0" w:type="dxa"/>
            <w:left w:w="108" w:type="dxa"/>
            <w:bottom w:w="0" w:type="dxa"/>
            <w:right w:w="108" w:type="dxa"/>
          </w:tblCellMar>
        </w:tblPrEx>
        <w:trPr>
          <w:trHeight w:val="340" w:hRule="atLeast"/>
          <w:jc w:val="center"/>
        </w:trPr>
        <w:tc>
          <w:tcPr>
            <w:tcW w:w="35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400" w:firstLineChars="200"/>
              <w:jc w:val="left"/>
              <w:textAlignment w:val="center"/>
              <w:rPr>
                <w:rFonts w:hint="eastAsia" w:ascii="宋体" w:hAnsi="宋体" w:eastAsia="宋体" w:cs="宋体"/>
                <w:color w:val="000000"/>
                <w:kern w:val="0"/>
                <w:sz w:val="20"/>
              </w:rPr>
            </w:pPr>
            <w:r>
              <w:rPr>
                <w:rFonts w:hint="eastAsia" w:ascii="宋体" w:hAnsi="宋体" w:eastAsia="宋体" w:cs="宋体"/>
                <w:i w:val="0"/>
                <w:color w:val="000000"/>
                <w:kern w:val="0"/>
                <w:sz w:val="20"/>
                <w:szCs w:val="20"/>
                <w:u w:val="none"/>
                <w:lang w:val="en-US" w:eastAsia="zh-CN" w:bidi="ar"/>
              </w:rPr>
              <w:t>奖金</w:t>
            </w: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19.83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19.83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r>
      <w:tr>
        <w:tblPrEx>
          <w:tblCellMar>
            <w:top w:w="0" w:type="dxa"/>
            <w:left w:w="108" w:type="dxa"/>
            <w:bottom w:w="0" w:type="dxa"/>
            <w:right w:w="108" w:type="dxa"/>
          </w:tblCellMar>
        </w:tblPrEx>
        <w:trPr>
          <w:trHeight w:val="90" w:hRule="atLeast"/>
          <w:jc w:val="center"/>
        </w:trPr>
        <w:tc>
          <w:tcPr>
            <w:tcW w:w="35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400" w:firstLineChars="200"/>
              <w:jc w:val="left"/>
              <w:textAlignment w:val="center"/>
              <w:rPr>
                <w:rFonts w:hint="eastAsia" w:ascii="宋体" w:hAnsi="宋体" w:eastAsia="宋体" w:cs="宋体"/>
                <w:kern w:val="0"/>
                <w:sz w:val="20"/>
              </w:rPr>
            </w:pPr>
            <w:r>
              <w:rPr>
                <w:rFonts w:hint="eastAsia" w:ascii="宋体" w:hAnsi="宋体" w:eastAsia="宋体" w:cs="宋体"/>
                <w:i w:val="0"/>
                <w:color w:val="000000"/>
                <w:kern w:val="0"/>
                <w:sz w:val="20"/>
                <w:szCs w:val="20"/>
                <w:u w:val="none"/>
                <w:lang w:val="en-US" w:eastAsia="zh-CN" w:bidi="ar"/>
              </w:rPr>
              <w:t>机关事业单位基本养老保险缴费</w:t>
            </w: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13.75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13.75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r>
      <w:tr>
        <w:tblPrEx>
          <w:tblCellMar>
            <w:top w:w="0" w:type="dxa"/>
            <w:left w:w="108" w:type="dxa"/>
            <w:bottom w:w="0" w:type="dxa"/>
            <w:right w:w="108" w:type="dxa"/>
          </w:tblCellMar>
        </w:tblPrEx>
        <w:trPr>
          <w:trHeight w:val="340" w:hRule="atLeast"/>
          <w:jc w:val="center"/>
        </w:trPr>
        <w:tc>
          <w:tcPr>
            <w:tcW w:w="35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400" w:firstLineChars="200"/>
              <w:jc w:val="left"/>
              <w:textAlignment w:val="center"/>
              <w:rPr>
                <w:rFonts w:hint="eastAsia" w:ascii="宋体" w:hAnsi="宋体" w:eastAsia="宋体" w:cs="宋体"/>
                <w:kern w:val="0"/>
                <w:sz w:val="20"/>
              </w:rPr>
            </w:pPr>
            <w:r>
              <w:rPr>
                <w:rFonts w:hint="eastAsia" w:ascii="宋体" w:hAnsi="宋体" w:eastAsia="宋体" w:cs="宋体"/>
                <w:i w:val="0"/>
                <w:color w:val="000000"/>
                <w:kern w:val="0"/>
                <w:sz w:val="20"/>
                <w:szCs w:val="20"/>
                <w:u w:val="none"/>
                <w:lang w:val="en-US" w:eastAsia="zh-CN" w:bidi="ar"/>
              </w:rPr>
              <w:t>职工基本医疗保险缴费</w:t>
            </w: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5.13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5.13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r>
      <w:tr>
        <w:tblPrEx>
          <w:tblCellMar>
            <w:top w:w="0" w:type="dxa"/>
            <w:left w:w="108" w:type="dxa"/>
            <w:bottom w:w="0" w:type="dxa"/>
            <w:right w:w="108" w:type="dxa"/>
          </w:tblCellMar>
        </w:tblPrEx>
        <w:trPr>
          <w:trHeight w:val="340" w:hRule="atLeast"/>
          <w:jc w:val="center"/>
        </w:trPr>
        <w:tc>
          <w:tcPr>
            <w:tcW w:w="35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400" w:firstLineChars="200"/>
              <w:jc w:val="left"/>
              <w:textAlignment w:val="center"/>
              <w:rPr>
                <w:rFonts w:hint="eastAsia" w:ascii="宋体" w:hAnsi="宋体" w:eastAsia="宋体" w:cs="宋体"/>
                <w:kern w:val="0"/>
                <w:sz w:val="20"/>
              </w:rPr>
            </w:pPr>
            <w:r>
              <w:rPr>
                <w:rFonts w:hint="eastAsia" w:ascii="宋体" w:hAnsi="宋体" w:eastAsia="宋体" w:cs="宋体"/>
                <w:i w:val="0"/>
                <w:color w:val="000000"/>
                <w:kern w:val="0"/>
                <w:sz w:val="20"/>
                <w:szCs w:val="20"/>
                <w:u w:val="none"/>
                <w:lang w:val="en-US" w:eastAsia="zh-CN" w:bidi="ar"/>
              </w:rPr>
              <w:t>其他社会保障缴费</w:t>
            </w: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0.14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0.14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r>
      <w:tr>
        <w:tblPrEx>
          <w:tblCellMar>
            <w:top w:w="0" w:type="dxa"/>
            <w:left w:w="108" w:type="dxa"/>
            <w:bottom w:w="0" w:type="dxa"/>
            <w:right w:w="108" w:type="dxa"/>
          </w:tblCellMar>
        </w:tblPrEx>
        <w:trPr>
          <w:trHeight w:val="340" w:hRule="atLeast"/>
          <w:jc w:val="center"/>
        </w:trPr>
        <w:tc>
          <w:tcPr>
            <w:tcW w:w="35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400" w:firstLineChars="200"/>
              <w:jc w:val="left"/>
              <w:textAlignment w:val="center"/>
              <w:rPr>
                <w:rFonts w:hint="eastAsia" w:ascii="宋体" w:hAnsi="宋体" w:eastAsia="宋体" w:cs="宋体"/>
                <w:color w:val="000000"/>
                <w:sz w:val="20"/>
              </w:rPr>
            </w:pPr>
            <w:r>
              <w:rPr>
                <w:rFonts w:hint="eastAsia" w:ascii="宋体" w:hAnsi="宋体" w:eastAsia="宋体" w:cs="宋体"/>
                <w:i w:val="0"/>
                <w:color w:val="000000"/>
                <w:kern w:val="0"/>
                <w:sz w:val="20"/>
                <w:szCs w:val="20"/>
                <w:u w:val="none"/>
                <w:lang w:val="en-US" w:eastAsia="zh-CN" w:bidi="ar"/>
              </w:rPr>
              <w:t>住房公积金</w:t>
            </w: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11.72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11.72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r>
      <w:tr>
        <w:tblPrEx>
          <w:tblCellMar>
            <w:top w:w="0" w:type="dxa"/>
            <w:left w:w="108" w:type="dxa"/>
            <w:bottom w:w="0" w:type="dxa"/>
            <w:right w:w="108" w:type="dxa"/>
          </w:tblCellMar>
        </w:tblPrEx>
        <w:trPr>
          <w:trHeight w:val="340" w:hRule="atLeast"/>
          <w:jc w:val="center"/>
        </w:trPr>
        <w:tc>
          <w:tcPr>
            <w:tcW w:w="35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400" w:firstLineChars="200"/>
              <w:jc w:val="left"/>
              <w:textAlignment w:val="center"/>
              <w:rPr>
                <w:rFonts w:hint="eastAsia" w:ascii="宋体" w:hAnsi="宋体" w:eastAsia="宋体" w:cs="宋体"/>
                <w:color w:val="000000"/>
                <w:sz w:val="20"/>
              </w:rPr>
            </w:pPr>
            <w:r>
              <w:rPr>
                <w:rFonts w:hint="eastAsia" w:ascii="宋体" w:hAnsi="宋体" w:eastAsia="宋体" w:cs="宋体"/>
                <w:i w:val="0"/>
                <w:color w:val="000000"/>
                <w:kern w:val="0"/>
                <w:sz w:val="20"/>
                <w:szCs w:val="20"/>
                <w:u w:val="none"/>
                <w:lang w:val="en-US" w:eastAsia="zh-CN" w:bidi="ar"/>
              </w:rPr>
              <w:t>医疗费</w:t>
            </w: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1.44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1.44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r>
      <w:tr>
        <w:tblPrEx>
          <w:tblCellMar>
            <w:top w:w="0" w:type="dxa"/>
            <w:left w:w="108" w:type="dxa"/>
            <w:bottom w:w="0" w:type="dxa"/>
            <w:right w:w="108" w:type="dxa"/>
          </w:tblCellMar>
        </w:tblPrEx>
        <w:trPr>
          <w:trHeight w:val="340" w:hRule="atLeast"/>
          <w:jc w:val="center"/>
        </w:trPr>
        <w:tc>
          <w:tcPr>
            <w:tcW w:w="35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400" w:firstLineChars="200"/>
              <w:jc w:val="left"/>
              <w:textAlignment w:val="center"/>
              <w:rPr>
                <w:rFonts w:hint="eastAsia" w:ascii="宋体" w:hAnsi="宋体" w:eastAsia="宋体" w:cs="宋体"/>
                <w:color w:val="000000"/>
                <w:sz w:val="20"/>
              </w:rPr>
            </w:pPr>
            <w:r>
              <w:rPr>
                <w:rFonts w:hint="eastAsia" w:ascii="宋体" w:hAnsi="宋体" w:eastAsia="宋体" w:cs="宋体"/>
                <w:i w:val="0"/>
                <w:color w:val="000000"/>
                <w:kern w:val="0"/>
                <w:sz w:val="20"/>
                <w:szCs w:val="20"/>
                <w:u w:val="none"/>
                <w:lang w:val="en-US" w:eastAsia="zh-CN" w:bidi="ar"/>
              </w:rPr>
              <w:t>其他工资福利支出</w:t>
            </w: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1.70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1.70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r>
      <w:tr>
        <w:tblPrEx>
          <w:tblCellMar>
            <w:top w:w="0" w:type="dxa"/>
            <w:left w:w="108" w:type="dxa"/>
            <w:bottom w:w="0" w:type="dxa"/>
            <w:right w:w="108" w:type="dxa"/>
          </w:tblCellMar>
        </w:tblPrEx>
        <w:trPr>
          <w:trHeight w:val="340" w:hRule="atLeast"/>
          <w:jc w:val="center"/>
        </w:trPr>
        <w:tc>
          <w:tcPr>
            <w:tcW w:w="35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sz w:val="20"/>
              </w:rPr>
            </w:pPr>
            <w:r>
              <w:rPr>
                <w:rFonts w:hint="eastAsia" w:ascii="宋体" w:hAnsi="宋体" w:eastAsia="宋体" w:cs="宋体"/>
                <w:i w:val="0"/>
                <w:color w:val="000000"/>
                <w:kern w:val="0"/>
                <w:sz w:val="20"/>
                <w:szCs w:val="20"/>
                <w:u w:val="none"/>
                <w:lang w:val="en-US" w:eastAsia="zh-CN" w:bidi="ar"/>
              </w:rPr>
              <w:t>二、商品和服务支出</w:t>
            </w: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22.95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22.95</w:t>
            </w:r>
          </w:p>
        </w:tc>
      </w:tr>
      <w:tr>
        <w:tblPrEx>
          <w:tblCellMar>
            <w:top w:w="0" w:type="dxa"/>
            <w:left w:w="108" w:type="dxa"/>
            <w:bottom w:w="0" w:type="dxa"/>
            <w:right w:w="108" w:type="dxa"/>
          </w:tblCellMar>
        </w:tblPrEx>
        <w:trPr>
          <w:trHeight w:val="340" w:hRule="atLeast"/>
          <w:jc w:val="center"/>
        </w:trPr>
        <w:tc>
          <w:tcPr>
            <w:tcW w:w="35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400" w:firstLineChars="200"/>
              <w:jc w:val="left"/>
              <w:textAlignment w:val="center"/>
              <w:rPr>
                <w:rFonts w:hint="eastAsia" w:ascii="宋体" w:hAnsi="宋体" w:eastAsia="宋体" w:cs="宋体"/>
                <w:color w:val="000000"/>
                <w:sz w:val="20"/>
              </w:rPr>
            </w:pPr>
            <w:r>
              <w:rPr>
                <w:rFonts w:hint="eastAsia" w:ascii="宋体" w:hAnsi="宋体" w:eastAsia="宋体" w:cs="宋体"/>
                <w:i w:val="0"/>
                <w:color w:val="000000"/>
                <w:kern w:val="0"/>
                <w:sz w:val="20"/>
                <w:szCs w:val="20"/>
                <w:u w:val="none"/>
                <w:lang w:val="en-US" w:eastAsia="zh-CN" w:bidi="ar"/>
              </w:rPr>
              <w:t>办公费</w:t>
            </w: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4.79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4.79</w:t>
            </w:r>
          </w:p>
        </w:tc>
      </w:tr>
      <w:tr>
        <w:tblPrEx>
          <w:tblCellMar>
            <w:top w:w="0" w:type="dxa"/>
            <w:left w:w="108" w:type="dxa"/>
            <w:bottom w:w="0" w:type="dxa"/>
            <w:right w:w="108" w:type="dxa"/>
          </w:tblCellMar>
        </w:tblPrEx>
        <w:trPr>
          <w:trHeight w:val="340" w:hRule="atLeast"/>
          <w:jc w:val="center"/>
        </w:trPr>
        <w:tc>
          <w:tcPr>
            <w:tcW w:w="35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400" w:firstLineChars="200"/>
              <w:jc w:val="left"/>
              <w:textAlignment w:val="center"/>
              <w:rPr>
                <w:rFonts w:hint="eastAsia" w:ascii="宋体" w:hAnsi="宋体" w:eastAsia="宋体" w:cs="宋体"/>
                <w:color w:val="000000"/>
                <w:sz w:val="20"/>
              </w:rPr>
            </w:pPr>
            <w:r>
              <w:rPr>
                <w:rFonts w:hint="eastAsia" w:ascii="宋体" w:hAnsi="宋体" w:eastAsia="宋体" w:cs="宋体"/>
                <w:i w:val="0"/>
                <w:color w:val="000000"/>
                <w:kern w:val="0"/>
                <w:sz w:val="20"/>
                <w:szCs w:val="20"/>
                <w:u w:val="none"/>
                <w:lang w:val="en-US" w:eastAsia="zh-CN" w:bidi="ar"/>
              </w:rPr>
              <w:t>印刷费</w:t>
            </w: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0.21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0.21</w:t>
            </w:r>
          </w:p>
        </w:tc>
      </w:tr>
      <w:tr>
        <w:tblPrEx>
          <w:tblCellMar>
            <w:top w:w="0" w:type="dxa"/>
            <w:left w:w="108" w:type="dxa"/>
            <w:bottom w:w="0" w:type="dxa"/>
            <w:right w:w="108" w:type="dxa"/>
          </w:tblCellMar>
        </w:tblPrEx>
        <w:trPr>
          <w:trHeight w:val="340" w:hRule="atLeast"/>
          <w:jc w:val="center"/>
        </w:trPr>
        <w:tc>
          <w:tcPr>
            <w:tcW w:w="35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400" w:firstLineChars="200"/>
              <w:jc w:val="left"/>
              <w:textAlignment w:val="center"/>
              <w:rPr>
                <w:rFonts w:hint="eastAsia" w:ascii="宋体" w:hAnsi="宋体" w:eastAsia="宋体" w:cs="宋体"/>
                <w:color w:val="000000"/>
                <w:sz w:val="20"/>
              </w:rPr>
            </w:pPr>
            <w:r>
              <w:rPr>
                <w:rFonts w:hint="eastAsia" w:ascii="宋体" w:hAnsi="宋体" w:eastAsia="宋体" w:cs="宋体"/>
                <w:i w:val="0"/>
                <w:color w:val="000000"/>
                <w:kern w:val="0"/>
                <w:sz w:val="20"/>
                <w:szCs w:val="20"/>
                <w:u w:val="none"/>
                <w:lang w:val="en-US" w:eastAsia="zh-CN" w:bidi="ar"/>
              </w:rPr>
              <w:t>邮电费</w:t>
            </w: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0.50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0.50</w:t>
            </w:r>
          </w:p>
        </w:tc>
      </w:tr>
      <w:tr>
        <w:tblPrEx>
          <w:tblCellMar>
            <w:top w:w="0" w:type="dxa"/>
            <w:left w:w="108" w:type="dxa"/>
            <w:bottom w:w="0" w:type="dxa"/>
            <w:right w:w="108" w:type="dxa"/>
          </w:tblCellMar>
        </w:tblPrEx>
        <w:trPr>
          <w:trHeight w:val="340" w:hRule="atLeast"/>
          <w:jc w:val="center"/>
        </w:trPr>
        <w:tc>
          <w:tcPr>
            <w:tcW w:w="35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400" w:firstLineChars="200"/>
              <w:jc w:val="left"/>
              <w:textAlignment w:val="center"/>
              <w:rPr>
                <w:rFonts w:hint="eastAsia" w:ascii="宋体" w:hAnsi="宋体" w:eastAsia="宋体" w:cs="宋体"/>
                <w:color w:val="000000"/>
                <w:sz w:val="20"/>
              </w:rPr>
            </w:pPr>
            <w:r>
              <w:rPr>
                <w:rFonts w:hint="eastAsia" w:ascii="宋体" w:hAnsi="宋体" w:eastAsia="宋体" w:cs="宋体"/>
                <w:i w:val="0"/>
                <w:color w:val="000000"/>
                <w:kern w:val="0"/>
                <w:sz w:val="20"/>
                <w:szCs w:val="20"/>
                <w:u w:val="none"/>
                <w:lang w:val="en-US" w:eastAsia="zh-CN" w:bidi="ar"/>
              </w:rPr>
              <w:t>差旅费</w:t>
            </w: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3.10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3.10</w:t>
            </w:r>
          </w:p>
        </w:tc>
      </w:tr>
      <w:tr>
        <w:tblPrEx>
          <w:tblCellMar>
            <w:top w:w="0" w:type="dxa"/>
            <w:left w:w="108" w:type="dxa"/>
            <w:bottom w:w="0" w:type="dxa"/>
            <w:right w:w="108" w:type="dxa"/>
          </w:tblCellMar>
        </w:tblPrEx>
        <w:trPr>
          <w:trHeight w:val="340" w:hRule="atLeast"/>
          <w:jc w:val="center"/>
        </w:trPr>
        <w:tc>
          <w:tcPr>
            <w:tcW w:w="35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400" w:firstLineChars="200"/>
              <w:jc w:val="left"/>
              <w:textAlignment w:val="center"/>
              <w:rPr>
                <w:rFonts w:hint="eastAsia" w:ascii="宋体" w:hAnsi="宋体" w:eastAsia="宋体" w:cs="宋体"/>
                <w:color w:val="000000"/>
                <w:sz w:val="20"/>
              </w:rPr>
            </w:pPr>
            <w:r>
              <w:rPr>
                <w:rFonts w:hint="eastAsia" w:ascii="宋体" w:hAnsi="宋体" w:eastAsia="宋体" w:cs="宋体"/>
                <w:i w:val="0"/>
                <w:color w:val="000000"/>
                <w:kern w:val="0"/>
                <w:sz w:val="20"/>
                <w:szCs w:val="20"/>
                <w:u w:val="none"/>
                <w:lang w:val="en-US" w:eastAsia="zh-CN" w:bidi="ar"/>
              </w:rPr>
              <w:t>维修（护）费</w:t>
            </w: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0.50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0.50</w:t>
            </w:r>
          </w:p>
        </w:tc>
      </w:tr>
      <w:tr>
        <w:tblPrEx>
          <w:tblCellMar>
            <w:top w:w="0" w:type="dxa"/>
            <w:left w:w="108" w:type="dxa"/>
            <w:bottom w:w="0" w:type="dxa"/>
            <w:right w:w="108" w:type="dxa"/>
          </w:tblCellMar>
        </w:tblPrEx>
        <w:trPr>
          <w:trHeight w:val="340" w:hRule="atLeast"/>
          <w:jc w:val="center"/>
        </w:trPr>
        <w:tc>
          <w:tcPr>
            <w:tcW w:w="35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400" w:firstLineChars="200"/>
              <w:jc w:val="left"/>
              <w:textAlignment w:val="center"/>
              <w:rPr>
                <w:rFonts w:hint="eastAsia" w:ascii="宋体" w:hAnsi="宋体" w:eastAsia="宋体" w:cs="宋体"/>
                <w:color w:val="000000"/>
                <w:sz w:val="20"/>
              </w:rPr>
            </w:pPr>
            <w:r>
              <w:rPr>
                <w:rFonts w:hint="eastAsia" w:ascii="宋体" w:hAnsi="宋体" w:eastAsia="宋体" w:cs="宋体"/>
                <w:i w:val="0"/>
                <w:color w:val="000000"/>
                <w:kern w:val="0"/>
                <w:sz w:val="20"/>
                <w:szCs w:val="20"/>
                <w:u w:val="none"/>
                <w:lang w:val="en-US" w:eastAsia="zh-CN" w:bidi="ar"/>
              </w:rPr>
              <w:t>培训费</w:t>
            </w: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0.49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0.49</w:t>
            </w:r>
          </w:p>
        </w:tc>
      </w:tr>
      <w:tr>
        <w:tblPrEx>
          <w:tblCellMar>
            <w:top w:w="0" w:type="dxa"/>
            <w:left w:w="108" w:type="dxa"/>
            <w:bottom w:w="0" w:type="dxa"/>
            <w:right w:w="108" w:type="dxa"/>
          </w:tblCellMar>
        </w:tblPrEx>
        <w:trPr>
          <w:trHeight w:val="340" w:hRule="atLeast"/>
          <w:jc w:val="center"/>
        </w:trPr>
        <w:tc>
          <w:tcPr>
            <w:tcW w:w="35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400" w:firstLineChars="200"/>
              <w:jc w:val="left"/>
              <w:textAlignment w:val="center"/>
              <w:rPr>
                <w:rFonts w:hint="eastAsia" w:ascii="宋体" w:hAnsi="宋体" w:eastAsia="宋体" w:cs="宋体"/>
                <w:color w:val="000000"/>
                <w:sz w:val="20"/>
              </w:rPr>
            </w:pPr>
            <w:r>
              <w:rPr>
                <w:rFonts w:hint="eastAsia" w:ascii="宋体" w:hAnsi="宋体" w:eastAsia="宋体" w:cs="宋体"/>
                <w:i w:val="0"/>
                <w:color w:val="000000"/>
                <w:kern w:val="0"/>
                <w:sz w:val="20"/>
                <w:szCs w:val="20"/>
                <w:u w:val="none"/>
                <w:lang w:val="en-US" w:eastAsia="zh-CN" w:bidi="ar"/>
              </w:rPr>
              <w:t>公务接待费</w:t>
            </w: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0.18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0.18</w:t>
            </w:r>
          </w:p>
        </w:tc>
      </w:tr>
      <w:tr>
        <w:tblPrEx>
          <w:tblCellMar>
            <w:top w:w="0" w:type="dxa"/>
            <w:left w:w="108" w:type="dxa"/>
            <w:bottom w:w="0" w:type="dxa"/>
            <w:right w:w="108" w:type="dxa"/>
          </w:tblCellMar>
        </w:tblPrEx>
        <w:trPr>
          <w:trHeight w:val="340" w:hRule="atLeast"/>
          <w:jc w:val="center"/>
        </w:trPr>
        <w:tc>
          <w:tcPr>
            <w:tcW w:w="35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400" w:firstLineChars="200"/>
              <w:jc w:val="left"/>
              <w:textAlignment w:val="center"/>
              <w:rPr>
                <w:rFonts w:hint="eastAsia" w:ascii="宋体" w:hAnsi="宋体" w:eastAsia="宋体" w:cs="宋体"/>
                <w:color w:val="000000"/>
                <w:sz w:val="20"/>
              </w:rPr>
            </w:pPr>
            <w:r>
              <w:rPr>
                <w:rFonts w:hint="eastAsia" w:ascii="宋体" w:hAnsi="宋体" w:eastAsia="宋体" w:cs="宋体"/>
                <w:i w:val="0"/>
                <w:color w:val="000000"/>
                <w:kern w:val="0"/>
                <w:sz w:val="20"/>
                <w:szCs w:val="20"/>
                <w:u w:val="none"/>
                <w:lang w:val="en-US" w:eastAsia="zh-CN" w:bidi="ar"/>
              </w:rPr>
              <w:t>工会经费</w:t>
            </w: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1.39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1.39</w:t>
            </w:r>
          </w:p>
        </w:tc>
      </w:tr>
      <w:tr>
        <w:tblPrEx>
          <w:tblCellMar>
            <w:top w:w="0" w:type="dxa"/>
            <w:left w:w="108" w:type="dxa"/>
            <w:bottom w:w="0" w:type="dxa"/>
            <w:right w:w="108" w:type="dxa"/>
          </w:tblCellMar>
        </w:tblPrEx>
        <w:trPr>
          <w:trHeight w:val="340" w:hRule="atLeast"/>
          <w:jc w:val="center"/>
        </w:trPr>
        <w:tc>
          <w:tcPr>
            <w:tcW w:w="35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400" w:firstLineChars="200"/>
              <w:jc w:val="left"/>
              <w:textAlignment w:val="center"/>
              <w:rPr>
                <w:rFonts w:hint="eastAsia" w:ascii="宋体" w:hAnsi="宋体" w:eastAsia="宋体" w:cs="宋体"/>
                <w:color w:val="000000"/>
                <w:sz w:val="20"/>
              </w:rPr>
            </w:pPr>
            <w:r>
              <w:rPr>
                <w:rFonts w:hint="eastAsia" w:ascii="宋体" w:hAnsi="宋体" w:eastAsia="宋体" w:cs="宋体"/>
                <w:i w:val="0"/>
                <w:color w:val="000000"/>
                <w:kern w:val="0"/>
                <w:sz w:val="20"/>
                <w:szCs w:val="20"/>
                <w:u w:val="none"/>
                <w:lang w:val="en-US" w:eastAsia="zh-CN" w:bidi="ar"/>
              </w:rPr>
              <w:t>福利费</w:t>
            </w: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4.10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4.10</w:t>
            </w:r>
          </w:p>
        </w:tc>
      </w:tr>
      <w:tr>
        <w:tblPrEx>
          <w:tblCellMar>
            <w:top w:w="0" w:type="dxa"/>
            <w:left w:w="108" w:type="dxa"/>
            <w:bottom w:w="0" w:type="dxa"/>
            <w:right w:w="108" w:type="dxa"/>
          </w:tblCellMar>
        </w:tblPrEx>
        <w:trPr>
          <w:trHeight w:val="340" w:hRule="atLeast"/>
          <w:jc w:val="center"/>
        </w:trPr>
        <w:tc>
          <w:tcPr>
            <w:tcW w:w="35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400" w:firstLineChars="200"/>
              <w:jc w:val="left"/>
              <w:textAlignment w:val="center"/>
              <w:rPr>
                <w:rFonts w:hint="eastAsia" w:ascii="宋体" w:hAnsi="宋体" w:eastAsia="宋体" w:cs="宋体"/>
                <w:color w:val="000000"/>
                <w:sz w:val="20"/>
              </w:rPr>
            </w:pPr>
            <w:r>
              <w:rPr>
                <w:rFonts w:hint="eastAsia" w:ascii="宋体" w:hAnsi="宋体" w:eastAsia="宋体" w:cs="宋体"/>
                <w:i w:val="0"/>
                <w:color w:val="000000"/>
                <w:kern w:val="0"/>
                <w:sz w:val="20"/>
                <w:szCs w:val="20"/>
                <w:u w:val="none"/>
                <w:lang w:val="en-US" w:eastAsia="zh-CN" w:bidi="ar"/>
              </w:rPr>
              <w:t>其他交通费用</w:t>
            </w: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5.94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5.94</w:t>
            </w:r>
          </w:p>
        </w:tc>
      </w:tr>
      <w:tr>
        <w:tblPrEx>
          <w:tblCellMar>
            <w:top w:w="0" w:type="dxa"/>
            <w:left w:w="108" w:type="dxa"/>
            <w:bottom w:w="0" w:type="dxa"/>
            <w:right w:w="108" w:type="dxa"/>
          </w:tblCellMar>
        </w:tblPrEx>
        <w:trPr>
          <w:trHeight w:val="340" w:hRule="atLeast"/>
          <w:jc w:val="center"/>
        </w:trPr>
        <w:tc>
          <w:tcPr>
            <w:tcW w:w="35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400" w:firstLineChars="200"/>
              <w:jc w:val="left"/>
              <w:textAlignment w:val="center"/>
              <w:rPr>
                <w:rFonts w:hint="eastAsia" w:ascii="宋体" w:hAnsi="宋体" w:eastAsia="宋体" w:cs="宋体"/>
                <w:color w:val="000000"/>
                <w:sz w:val="20"/>
              </w:rPr>
            </w:pPr>
            <w:r>
              <w:rPr>
                <w:rFonts w:hint="eastAsia" w:ascii="宋体" w:hAnsi="宋体" w:eastAsia="宋体" w:cs="宋体"/>
                <w:i w:val="0"/>
                <w:color w:val="000000"/>
                <w:kern w:val="0"/>
                <w:sz w:val="20"/>
                <w:szCs w:val="20"/>
                <w:u w:val="none"/>
                <w:lang w:val="en-US" w:eastAsia="zh-CN" w:bidi="ar"/>
              </w:rPr>
              <w:t>其他商品和服务支出</w:t>
            </w: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1.75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1.75</w:t>
            </w:r>
          </w:p>
        </w:tc>
      </w:tr>
      <w:tr>
        <w:tblPrEx>
          <w:tblCellMar>
            <w:top w:w="0" w:type="dxa"/>
            <w:left w:w="108" w:type="dxa"/>
            <w:bottom w:w="0" w:type="dxa"/>
            <w:right w:w="108" w:type="dxa"/>
          </w:tblCellMar>
        </w:tblPrEx>
        <w:trPr>
          <w:trHeight w:val="340" w:hRule="atLeast"/>
          <w:jc w:val="center"/>
        </w:trPr>
        <w:tc>
          <w:tcPr>
            <w:tcW w:w="35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sz w:val="20"/>
              </w:rPr>
            </w:pPr>
            <w:r>
              <w:rPr>
                <w:rFonts w:hint="eastAsia" w:ascii="宋体" w:hAnsi="宋体" w:eastAsia="宋体" w:cs="宋体"/>
                <w:i w:val="0"/>
                <w:color w:val="000000"/>
                <w:kern w:val="0"/>
                <w:sz w:val="20"/>
                <w:szCs w:val="20"/>
                <w:u w:val="none"/>
                <w:lang w:val="en-US" w:eastAsia="zh-CN" w:bidi="ar"/>
              </w:rPr>
              <w:t>三、对个人和家庭的补助</w:t>
            </w: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12.06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12.06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r>
      <w:tr>
        <w:tblPrEx>
          <w:tblCellMar>
            <w:top w:w="0" w:type="dxa"/>
            <w:left w:w="108" w:type="dxa"/>
            <w:bottom w:w="0" w:type="dxa"/>
            <w:right w:w="108" w:type="dxa"/>
          </w:tblCellMar>
        </w:tblPrEx>
        <w:trPr>
          <w:trHeight w:val="340" w:hRule="atLeast"/>
          <w:jc w:val="center"/>
        </w:trPr>
        <w:tc>
          <w:tcPr>
            <w:tcW w:w="35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400" w:firstLineChars="200"/>
              <w:jc w:val="left"/>
              <w:textAlignment w:val="center"/>
              <w:rPr>
                <w:rFonts w:hint="eastAsia" w:ascii="宋体" w:hAnsi="宋体" w:eastAsia="宋体" w:cs="宋体"/>
                <w:color w:val="000000"/>
                <w:sz w:val="20"/>
              </w:rPr>
            </w:pPr>
            <w:r>
              <w:rPr>
                <w:rFonts w:hint="eastAsia" w:ascii="宋体" w:hAnsi="宋体" w:eastAsia="宋体" w:cs="宋体"/>
                <w:i w:val="0"/>
                <w:color w:val="000000"/>
                <w:kern w:val="0"/>
                <w:sz w:val="20"/>
                <w:szCs w:val="20"/>
                <w:u w:val="none"/>
                <w:lang w:val="en-US" w:eastAsia="zh-CN" w:bidi="ar"/>
              </w:rPr>
              <w:t>退休费</w:t>
            </w: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11.62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11.62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r>
      <w:tr>
        <w:tblPrEx>
          <w:tblCellMar>
            <w:top w:w="0" w:type="dxa"/>
            <w:left w:w="108" w:type="dxa"/>
            <w:bottom w:w="0" w:type="dxa"/>
            <w:right w:w="108" w:type="dxa"/>
          </w:tblCellMar>
        </w:tblPrEx>
        <w:trPr>
          <w:trHeight w:val="340" w:hRule="atLeast"/>
          <w:jc w:val="center"/>
        </w:trPr>
        <w:tc>
          <w:tcPr>
            <w:tcW w:w="35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400" w:firstLineChars="200"/>
              <w:jc w:val="left"/>
              <w:textAlignment w:val="center"/>
              <w:rPr>
                <w:rFonts w:hint="eastAsia" w:ascii="宋体" w:hAnsi="宋体" w:eastAsia="宋体" w:cs="宋体"/>
                <w:color w:val="000000"/>
                <w:sz w:val="20"/>
              </w:rPr>
            </w:pPr>
            <w:r>
              <w:rPr>
                <w:rFonts w:hint="eastAsia" w:ascii="宋体" w:hAnsi="宋体" w:eastAsia="宋体" w:cs="宋体"/>
                <w:i w:val="0"/>
                <w:color w:val="000000"/>
                <w:kern w:val="0"/>
                <w:sz w:val="20"/>
                <w:szCs w:val="20"/>
                <w:u w:val="none"/>
                <w:lang w:val="en-US" w:eastAsia="zh-CN" w:bidi="ar"/>
              </w:rPr>
              <w:t>其他对个人和家庭的补助</w:t>
            </w: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0.44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0.44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sz w:val="20"/>
                <w:szCs w:val="20"/>
                <w:u w:val="none"/>
                <w:lang w:val="en-US" w:eastAsia="zh-CN"/>
              </w:rPr>
            </w:pPr>
          </w:p>
        </w:tc>
      </w:tr>
      <w:tr>
        <w:tblPrEx>
          <w:tblCellMar>
            <w:top w:w="0" w:type="dxa"/>
            <w:left w:w="108" w:type="dxa"/>
            <w:bottom w:w="0" w:type="dxa"/>
            <w:right w:w="108" w:type="dxa"/>
          </w:tblCellMar>
        </w:tblPrEx>
        <w:trPr>
          <w:trHeight w:val="340" w:hRule="atLeast"/>
          <w:jc w:val="center"/>
        </w:trPr>
        <w:tc>
          <w:tcPr>
            <w:tcW w:w="35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lang w:bidi="ar"/>
              </w:rPr>
            </w:pPr>
            <w:r>
              <w:rPr>
                <w:rFonts w:hint="eastAsia" w:ascii="宋体" w:hAnsi="宋体" w:eastAsia="宋体" w:cs="宋体"/>
                <w:i w:val="0"/>
                <w:color w:val="000000"/>
                <w:kern w:val="0"/>
                <w:sz w:val="20"/>
                <w:szCs w:val="20"/>
                <w:u w:val="none"/>
                <w:lang w:val="en-US" w:eastAsia="zh-CN" w:bidi="ar"/>
              </w:rPr>
              <w:t>四、资本性支出</w:t>
            </w: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0.74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kern w:val="0"/>
                <w:sz w:val="20"/>
                <w:szCs w:val="20"/>
                <w:u w:val="none"/>
                <w:lang w:val="en-US" w:eastAsia="zh-CN" w:bidi="ar"/>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0.74</w:t>
            </w:r>
          </w:p>
        </w:tc>
      </w:tr>
      <w:tr>
        <w:tblPrEx>
          <w:tblCellMar>
            <w:top w:w="0" w:type="dxa"/>
            <w:left w:w="108" w:type="dxa"/>
            <w:bottom w:w="0" w:type="dxa"/>
            <w:right w:w="108" w:type="dxa"/>
          </w:tblCellMar>
        </w:tblPrEx>
        <w:trPr>
          <w:trHeight w:val="340" w:hRule="atLeast"/>
          <w:jc w:val="center"/>
        </w:trPr>
        <w:tc>
          <w:tcPr>
            <w:tcW w:w="35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400" w:firstLineChars="200"/>
              <w:jc w:val="left"/>
              <w:textAlignment w:val="center"/>
              <w:rPr>
                <w:rFonts w:hint="eastAsia" w:ascii="宋体" w:hAnsi="宋体" w:eastAsia="宋体" w:cs="宋体"/>
                <w:color w:val="000000"/>
                <w:kern w:val="0"/>
                <w:sz w:val="20"/>
                <w:lang w:bidi="ar"/>
              </w:rPr>
            </w:pPr>
            <w:r>
              <w:rPr>
                <w:rFonts w:hint="eastAsia" w:ascii="宋体" w:hAnsi="宋体" w:eastAsia="宋体" w:cs="宋体"/>
                <w:i w:val="0"/>
                <w:color w:val="000000"/>
                <w:kern w:val="0"/>
                <w:sz w:val="20"/>
                <w:szCs w:val="20"/>
                <w:u w:val="none"/>
                <w:lang w:val="en-US" w:eastAsia="zh-CN" w:bidi="ar"/>
              </w:rPr>
              <w:t>办公设备购置</w:t>
            </w: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0.74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i w:val="0"/>
                <w:color w:val="000000"/>
                <w:kern w:val="0"/>
                <w:sz w:val="20"/>
                <w:szCs w:val="20"/>
                <w:u w:val="none"/>
                <w:lang w:val="en-US" w:eastAsia="zh-CN" w:bidi="ar"/>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0.74</w:t>
            </w:r>
          </w:p>
        </w:tc>
      </w:tr>
    </w:tbl>
    <w:p>
      <w:pPr>
        <w:rPr>
          <w:sz w:val="16"/>
          <w:szCs w:val="16"/>
        </w:rPr>
      </w:pPr>
    </w:p>
    <w:p>
      <w:pPr>
        <w:rPr>
          <w:sz w:val="16"/>
          <w:szCs w:val="16"/>
        </w:rPr>
      </w:pPr>
    </w:p>
    <w:p>
      <w:pPr>
        <w:rPr>
          <w:sz w:val="16"/>
          <w:szCs w:val="16"/>
        </w:rPr>
      </w:pPr>
    </w:p>
    <w:p>
      <w:pPr>
        <w:rPr>
          <w:rFonts w:eastAsia="楷体"/>
        </w:rPr>
      </w:pP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0.18</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0.18</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pPr>
              <w:widowControl/>
              <w:jc w:val="both"/>
              <w:rPr>
                <w:rFonts w:hint="eastAsia" w:eastAsia="仿宋_GB2312"/>
                <w:color w:val="000000"/>
                <w:kern w:val="0"/>
                <w:sz w:val="28"/>
                <w:szCs w:val="28"/>
                <w:lang w:val="en-US" w:eastAsia="zh-CN"/>
              </w:rPr>
            </w:pPr>
          </w:p>
        </w:tc>
      </w:tr>
    </w:tbl>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eastAsia="楷体"/>
          <w:kern w:val="0"/>
          <w:szCs w:val="32"/>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spacing w:line="700" w:lineRule="exact"/>
        <w:rPr>
          <w:rFonts w:hint="eastAsia" w:ascii="仿宋" w:hAnsi="仿宋" w:eastAsia="仿宋" w:cs="仿宋"/>
          <w:kern w:val="0"/>
          <w:szCs w:val="32"/>
          <w:lang w:val="en-US" w:eastAsia="zh-CN"/>
        </w:rPr>
      </w:pPr>
      <w:r>
        <w:rPr>
          <w:rFonts w:hint="eastAsia" w:ascii="仿宋" w:hAnsi="仿宋" w:eastAsia="仿宋" w:cs="仿宋"/>
          <w:kern w:val="0"/>
          <w:sz w:val="28"/>
          <w:szCs w:val="28"/>
          <w:lang w:eastAsia="zh-CN"/>
        </w:rPr>
        <w:t>说明：本单位</w:t>
      </w:r>
      <w:r>
        <w:rPr>
          <w:rFonts w:hint="eastAsia" w:ascii="仿宋" w:hAnsi="仿宋" w:eastAsia="仿宋" w:cs="仿宋"/>
          <w:kern w:val="0"/>
          <w:sz w:val="28"/>
          <w:szCs w:val="28"/>
          <w:lang w:val="en-US" w:eastAsia="zh-CN"/>
        </w:rPr>
        <w:t>2025年度无政府性基金预算拨款预算，故本表无数据。</w:t>
      </w:r>
    </w:p>
    <w:p>
      <w:pPr>
        <w:spacing w:line="700" w:lineRule="exact"/>
        <w:rPr>
          <w:rFonts w:hint="eastAsia" w:ascii="仿宋" w:hAnsi="仿宋" w:eastAsia="仿宋" w:cs="仿宋"/>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hint="eastAsia" w:eastAsia="楷体"/>
          <w:kern w:val="0"/>
          <w:szCs w:val="32"/>
          <w:lang w:eastAsia="zh-CN"/>
        </w:rPr>
        <w:sectPr>
          <w:footerReference r:id="rId9" w:type="first"/>
          <w:footerReference r:id="rId8"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spacing w:line="700" w:lineRule="exact"/>
        <w:rPr>
          <w:rFonts w:hint="eastAsia" w:ascii="仿宋" w:hAnsi="仿宋" w:eastAsia="仿宋" w:cs="仿宋"/>
          <w:kern w:val="0"/>
          <w:sz w:val="28"/>
          <w:szCs w:val="28"/>
        </w:rPr>
      </w:pPr>
      <w:r>
        <w:rPr>
          <w:rFonts w:hint="eastAsia" w:ascii="仿宋" w:hAnsi="仿宋" w:eastAsia="仿宋" w:cs="仿宋"/>
          <w:kern w:val="0"/>
          <w:sz w:val="28"/>
          <w:szCs w:val="28"/>
          <w:lang w:eastAsia="zh-CN"/>
        </w:rPr>
        <w:t>说明：本单位</w:t>
      </w:r>
      <w:r>
        <w:rPr>
          <w:rFonts w:hint="eastAsia" w:ascii="仿宋" w:hAnsi="仿宋" w:eastAsia="仿宋" w:cs="仿宋"/>
          <w:kern w:val="0"/>
          <w:sz w:val="28"/>
          <w:szCs w:val="28"/>
          <w:lang w:val="en-US" w:eastAsia="zh-CN"/>
        </w:rPr>
        <w:t>2025年度无国有资本经营预算，故本表无数据。</w:t>
      </w: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pPr>
        <w:spacing w:line="700" w:lineRule="exact"/>
        <w:jc w:val="center"/>
        <w:rPr>
          <w:rFonts w:eastAsia="楷体"/>
          <w:kern w:val="0"/>
          <w:szCs w:val="32"/>
        </w:rPr>
      </w:pPr>
    </w:p>
    <w:p>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855"/>
        <w:gridCol w:w="88"/>
        <w:gridCol w:w="662"/>
        <w:gridCol w:w="765"/>
        <w:gridCol w:w="765"/>
        <w:gridCol w:w="885"/>
        <w:gridCol w:w="375"/>
        <w:gridCol w:w="390"/>
        <w:gridCol w:w="435"/>
        <w:gridCol w:w="465"/>
        <w:gridCol w:w="420"/>
        <w:gridCol w:w="435"/>
        <w:gridCol w:w="450"/>
        <w:gridCol w:w="375"/>
        <w:gridCol w:w="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8676" w:type="dxa"/>
            <w:gridSpan w:val="16"/>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96"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943"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662"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765"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765"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550"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095"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96"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605" w:type="dxa"/>
            <w:gridSpan w:val="3"/>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765" w:type="dxa"/>
            <w:vMerge w:val="restart"/>
            <w:noWrap w:val="0"/>
            <w:textDirection w:val="tbLrV"/>
            <w:vAlign w:val="center"/>
          </w:tcPr>
          <w:p>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部门（单位）名称</w:t>
            </w:r>
          </w:p>
        </w:tc>
        <w:tc>
          <w:tcPr>
            <w:tcW w:w="765"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550" w:type="dxa"/>
            <w:gridSpan w:val="5"/>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2095" w:type="dxa"/>
            <w:gridSpan w:val="5"/>
            <w:noWrap w:val="0"/>
            <w:vAlign w:val="center"/>
          </w:tcPr>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96"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855"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750" w:type="dxa"/>
            <w:gridSpan w:val="2"/>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项目</w:t>
            </w:r>
          </w:p>
        </w:tc>
        <w:tc>
          <w:tcPr>
            <w:tcW w:w="765" w:type="dxa"/>
            <w:vMerge w:val="continue"/>
            <w:noWrap w:val="0"/>
            <w:textDirection w:val="tbLrV"/>
            <w:vAlign w:val="center"/>
          </w:tcPr>
          <w:p>
            <w:pPr>
              <w:autoSpaceDN w:val="0"/>
              <w:ind w:left="113" w:right="113"/>
              <w:jc w:val="center"/>
              <w:textAlignment w:val="center"/>
              <w:rPr>
                <w:rFonts w:hint="eastAsia" w:ascii="宋体" w:hAnsi="宋体" w:eastAsia="宋体" w:cs="宋体"/>
                <w:color w:val="000000"/>
                <w:sz w:val="20"/>
                <w:szCs w:val="22"/>
                <w:lang w:eastAsia="zh-CN"/>
              </w:rPr>
            </w:pPr>
          </w:p>
        </w:tc>
        <w:tc>
          <w:tcPr>
            <w:tcW w:w="765"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1650" w:type="dxa"/>
            <w:gridSpan w:val="3"/>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435" w:type="dxa"/>
            <w:vMerge w:val="restart"/>
            <w:noWrap w:val="0"/>
            <w:vAlign w:val="center"/>
          </w:tcPr>
          <w:p>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65"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305" w:type="dxa"/>
            <w:gridSpan w:val="3"/>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790" w:type="dxa"/>
            <w:gridSpan w:val="2"/>
            <w:noWrap w:val="0"/>
            <w:vAlign w:val="center"/>
          </w:tcPr>
          <w:p>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896"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855"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750" w:type="dxa"/>
            <w:gridSpan w:val="2"/>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765"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765"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885"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375"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390" w:type="dxa"/>
            <w:noWrap w:val="0"/>
            <w:vAlign w:val="center"/>
          </w:tcPr>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435" w:type="dxa"/>
            <w:vMerge w:val="continue"/>
            <w:noWrap w:val="0"/>
            <w:textDirection w:val="tbLrV"/>
            <w:vAlign w:val="center"/>
          </w:tcPr>
          <w:p>
            <w:pPr>
              <w:autoSpaceDN w:val="0"/>
              <w:ind w:left="113" w:right="113"/>
              <w:jc w:val="center"/>
              <w:textAlignment w:val="center"/>
              <w:rPr>
                <w:rFonts w:hint="eastAsia" w:ascii="宋体" w:hAnsi="宋体" w:eastAsia="宋体" w:cs="宋体"/>
                <w:color w:val="000000"/>
                <w:sz w:val="20"/>
                <w:szCs w:val="22"/>
                <w:lang w:eastAsia="zh-CN"/>
              </w:rPr>
            </w:pPr>
          </w:p>
        </w:tc>
        <w:tc>
          <w:tcPr>
            <w:tcW w:w="465" w:type="dxa"/>
            <w:vMerge w:val="continue"/>
            <w:noWrap w:val="0"/>
            <w:textDirection w:val="tbLrV"/>
            <w:vAlign w:val="center"/>
          </w:tcPr>
          <w:p>
            <w:pPr>
              <w:autoSpaceDN w:val="0"/>
              <w:ind w:left="113" w:right="113"/>
              <w:jc w:val="center"/>
              <w:textAlignment w:val="center"/>
              <w:rPr>
                <w:rFonts w:hint="eastAsia" w:ascii="宋体" w:hAnsi="宋体" w:eastAsia="宋体" w:cs="宋体"/>
                <w:color w:val="000000"/>
                <w:sz w:val="20"/>
                <w:szCs w:val="22"/>
              </w:rPr>
            </w:pPr>
          </w:p>
        </w:tc>
        <w:tc>
          <w:tcPr>
            <w:tcW w:w="420"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35"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50"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375" w:type="dxa"/>
            <w:noWrap w:val="0"/>
            <w:vAlign w:val="center"/>
          </w:tcPr>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15"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31</w:t>
            </w:r>
            <w:r>
              <w:rPr>
                <w:rFonts w:hint="eastAsia" w:ascii="宋体" w:hAnsi="宋体" w:eastAsia="宋体" w:cs="宋体"/>
                <w:kern w:val="0"/>
                <w:sz w:val="20"/>
                <w:szCs w:val="20"/>
              </w:rPr>
              <w:t>部门特定目标类项目</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lang w:eastAsia="zh-CN"/>
              </w:rPr>
            </w:pPr>
          </w:p>
        </w:tc>
        <w:tc>
          <w:tcPr>
            <w:tcW w:w="7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22.41</w:t>
            </w: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22.41</w:t>
            </w:r>
          </w:p>
        </w:tc>
        <w:tc>
          <w:tcPr>
            <w:tcW w:w="3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3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3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1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专项统计业务</w:t>
            </w:r>
          </w:p>
        </w:tc>
        <w:tc>
          <w:tcPr>
            <w:tcW w:w="7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22.41</w:t>
            </w: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22.41</w:t>
            </w:r>
          </w:p>
        </w:tc>
        <w:tc>
          <w:tcPr>
            <w:tcW w:w="3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3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3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1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7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综合统计业务费</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磐石市统计局</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22.41</w:t>
            </w: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22.41</w:t>
            </w:r>
          </w:p>
        </w:tc>
        <w:tc>
          <w:tcPr>
            <w:tcW w:w="3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3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3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1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合计</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7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22.41</w:t>
            </w: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22.41</w:t>
            </w:r>
          </w:p>
        </w:tc>
        <w:tc>
          <w:tcPr>
            <w:tcW w:w="3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3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3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c>
          <w:tcPr>
            <w:tcW w:w="41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0"/>
                <w:szCs w:val="20"/>
              </w:rPr>
            </w:pPr>
          </w:p>
        </w:tc>
      </w:tr>
    </w:tbl>
    <w:p>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593"/>
        <w:gridCol w:w="765"/>
        <w:gridCol w:w="1065"/>
        <w:gridCol w:w="795"/>
        <w:gridCol w:w="630"/>
        <w:gridCol w:w="1335"/>
        <w:gridCol w:w="1080"/>
        <w:gridCol w:w="999"/>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磐石市</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统计局</w:t>
            </w:r>
          </w:p>
        </w:tc>
        <w:tc>
          <w:tcPr>
            <w:tcW w:w="593"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综合统计业务</w:t>
            </w:r>
            <w:r>
              <w:rPr>
                <w:rFonts w:hint="eastAsia" w:ascii="华文细黑" w:hAnsi="华文细黑" w:eastAsia="华文细黑" w:cs="华文细黑"/>
                <w:kern w:val="0"/>
                <w:sz w:val="20"/>
                <w:szCs w:val="20"/>
                <w:vertAlign w:val="baseline"/>
              </w:rPr>
              <w:t>费</w:t>
            </w:r>
          </w:p>
        </w:tc>
        <w:tc>
          <w:tcPr>
            <w:tcW w:w="765"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22.41</w:t>
            </w:r>
          </w:p>
        </w:tc>
        <w:tc>
          <w:tcPr>
            <w:tcW w:w="1065"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按照国家、省市统计局工作要求及市委市政府统计数据需求，组织实施农业、规模以上工业、资质建筑业、限额以上贸易业、重点服务业及人口变动情况抽样调查任务。做好各专业统计数据的审核验收及上报工作，形成经济月刊、运行服务表及统计年鉴准确上报各专业统计报表。为市委市政府提供经济运行分析预测所需的统计数据，为社会各界提供行业发展所需的统计服务。</w:t>
            </w:r>
          </w:p>
        </w:tc>
        <w:tc>
          <w:tcPr>
            <w:tcW w:w="795"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630"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1335"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统计年鉴印刷成本费用</w:t>
            </w:r>
          </w:p>
        </w:tc>
        <w:tc>
          <w:tcPr>
            <w:tcW w:w="1080"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编印202</w:t>
            </w:r>
            <w:r>
              <w:rPr>
                <w:rFonts w:hint="eastAsia" w:ascii="华文细黑" w:hAnsi="华文细黑" w:eastAsia="华文细黑" w:cs="华文细黑"/>
                <w:kern w:val="0"/>
                <w:sz w:val="20"/>
                <w:szCs w:val="20"/>
                <w:vertAlign w:val="baseline"/>
                <w:lang w:val="en-US" w:eastAsia="zh-CN"/>
              </w:rPr>
              <w:t>4</w:t>
            </w:r>
            <w:r>
              <w:rPr>
                <w:rFonts w:hint="eastAsia" w:ascii="华文细黑" w:hAnsi="华文细黑" w:eastAsia="华文细黑" w:cs="华文细黑"/>
                <w:kern w:val="0"/>
                <w:sz w:val="20"/>
                <w:szCs w:val="20"/>
                <w:vertAlign w:val="baseline"/>
              </w:rPr>
              <w:t>年度统计年鉴印刷成本费用</w:t>
            </w:r>
          </w:p>
        </w:tc>
        <w:tc>
          <w:tcPr>
            <w:tcW w:w="999"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w:t>
            </w:r>
            <w:r>
              <w:rPr>
                <w:rFonts w:hint="eastAsia" w:ascii="华文细黑" w:hAnsi="华文细黑" w:eastAsia="华文细黑" w:cs="华文细黑"/>
                <w:kern w:val="0"/>
                <w:sz w:val="20"/>
                <w:szCs w:val="20"/>
                <w:vertAlign w:val="baseline"/>
              </w:rPr>
              <w:t>3.5万元</w:t>
            </w:r>
          </w:p>
        </w:tc>
        <w:tc>
          <w:tcPr>
            <w:tcW w:w="641"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9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95"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630"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33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统计信息发布条数</w:t>
            </w:r>
          </w:p>
        </w:tc>
        <w:tc>
          <w:tcPr>
            <w:tcW w:w="108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反映数据发布情况</w:t>
            </w:r>
          </w:p>
        </w:tc>
        <w:tc>
          <w:tcPr>
            <w:tcW w:w="999"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w:t>
            </w:r>
            <w:r>
              <w:rPr>
                <w:rFonts w:hint="eastAsia" w:ascii="华文细黑" w:hAnsi="华文细黑" w:eastAsia="华文细黑" w:cs="华文细黑"/>
                <w:kern w:val="0"/>
                <w:sz w:val="20"/>
                <w:szCs w:val="20"/>
                <w:vertAlign w:val="baseline"/>
              </w:rPr>
              <w:t>5条</w:t>
            </w:r>
          </w:p>
        </w:tc>
        <w:tc>
          <w:tcPr>
            <w:tcW w:w="641"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9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95"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30"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33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统计分析报告篇数</w:t>
            </w:r>
          </w:p>
        </w:tc>
        <w:tc>
          <w:tcPr>
            <w:tcW w:w="108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反映统计分析报告篇数情况</w:t>
            </w:r>
          </w:p>
        </w:tc>
        <w:tc>
          <w:tcPr>
            <w:tcW w:w="999"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w:t>
            </w:r>
            <w:r>
              <w:rPr>
                <w:rFonts w:hint="eastAsia" w:ascii="华文细黑" w:hAnsi="华文细黑" w:eastAsia="华文细黑" w:cs="华文细黑"/>
                <w:kern w:val="0"/>
                <w:sz w:val="20"/>
                <w:szCs w:val="20"/>
                <w:vertAlign w:val="baseline"/>
              </w:rPr>
              <w:t>5篇</w:t>
            </w:r>
          </w:p>
        </w:tc>
        <w:tc>
          <w:tcPr>
            <w:tcW w:w="641"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9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95"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30"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33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统计培训人次</w:t>
            </w:r>
          </w:p>
        </w:tc>
        <w:tc>
          <w:tcPr>
            <w:tcW w:w="108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反映统计培训人次情况</w:t>
            </w:r>
          </w:p>
        </w:tc>
        <w:tc>
          <w:tcPr>
            <w:tcW w:w="999"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w:t>
            </w:r>
            <w:r>
              <w:rPr>
                <w:rFonts w:hint="eastAsia" w:ascii="华文细黑" w:hAnsi="华文细黑" w:eastAsia="华文细黑" w:cs="华文细黑"/>
                <w:kern w:val="0"/>
                <w:sz w:val="20"/>
                <w:szCs w:val="20"/>
                <w:vertAlign w:val="baseline"/>
              </w:rPr>
              <w:t>200人次</w:t>
            </w:r>
          </w:p>
        </w:tc>
        <w:tc>
          <w:tcPr>
            <w:tcW w:w="641"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9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95"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30"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133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统计公报撰写完成时间</w:t>
            </w:r>
          </w:p>
        </w:tc>
        <w:tc>
          <w:tcPr>
            <w:tcW w:w="108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撰写202</w:t>
            </w:r>
            <w:r>
              <w:rPr>
                <w:rFonts w:hint="eastAsia" w:ascii="华文细黑" w:hAnsi="华文细黑" w:eastAsia="华文细黑" w:cs="华文细黑"/>
                <w:kern w:val="0"/>
                <w:sz w:val="20"/>
                <w:szCs w:val="20"/>
                <w:vertAlign w:val="baseline"/>
                <w:lang w:val="en-US" w:eastAsia="zh-CN"/>
              </w:rPr>
              <w:t>4</w:t>
            </w:r>
            <w:r>
              <w:rPr>
                <w:rFonts w:hint="eastAsia" w:ascii="华文细黑" w:hAnsi="华文细黑" w:eastAsia="华文细黑" w:cs="华文细黑"/>
                <w:kern w:val="0"/>
                <w:sz w:val="20"/>
                <w:szCs w:val="20"/>
                <w:vertAlign w:val="baseline"/>
              </w:rPr>
              <w:t>年度统计公报完成时间</w:t>
            </w:r>
          </w:p>
        </w:tc>
        <w:tc>
          <w:tcPr>
            <w:tcW w:w="999"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7月30日前</w:t>
            </w:r>
          </w:p>
        </w:tc>
        <w:tc>
          <w:tcPr>
            <w:tcW w:w="641"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9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6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95"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630"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133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向社会公众提供统计公报</w:t>
            </w:r>
          </w:p>
        </w:tc>
        <w:tc>
          <w:tcPr>
            <w:tcW w:w="108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向社会公众提供统计公报篇数</w:t>
            </w:r>
          </w:p>
        </w:tc>
        <w:tc>
          <w:tcPr>
            <w:tcW w:w="999"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=1篇</w:t>
            </w:r>
          </w:p>
        </w:tc>
        <w:tc>
          <w:tcPr>
            <w:tcW w:w="641"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30</w:t>
            </w:r>
          </w:p>
        </w:tc>
      </w:tr>
    </w:tbl>
    <w:p>
      <w:pPr>
        <w:spacing w:line="700" w:lineRule="exact"/>
        <w:ind w:firstLine="640" w:firstLineChars="200"/>
        <w:rPr>
          <w:rFonts w:hint="eastAsia" w:eastAsia="楷体"/>
          <w:kern w:val="0"/>
          <w:szCs w:val="32"/>
        </w:rPr>
      </w:pPr>
      <w:r>
        <w:rPr>
          <w:rFonts w:hint="eastAsia" w:eastAsia="楷体"/>
          <w:kern w:val="0"/>
          <w:szCs w:val="32"/>
        </w:rPr>
        <w:br w:type="page"/>
      </w: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pPr>
        <w:ind w:firstLine="640" w:firstLineChars="200"/>
        <w:rPr>
          <w:szCs w:val="32"/>
        </w:rPr>
      </w:pPr>
      <w:r>
        <w:rPr>
          <w:szCs w:val="32"/>
        </w:rPr>
        <w:t>按照综合预算的原则，所有收入和支出全部纳入</w:t>
      </w:r>
      <w:r>
        <w:rPr>
          <w:rFonts w:hint="eastAsia"/>
          <w:szCs w:val="32"/>
          <w:lang w:eastAsia="zh-CN"/>
        </w:rPr>
        <w:t>单位</w:t>
      </w:r>
      <w:r>
        <w:rPr>
          <w:szCs w:val="32"/>
        </w:rPr>
        <w:t>预算管理。收入包括：一般公共预算拨款收入；</w:t>
      </w:r>
      <w:r>
        <w:rPr>
          <w:rFonts w:hint="eastAsia" w:ascii="仿宋" w:hAnsi="仿宋" w:eastAsia="仿宋" w:cs="仿宋"/>
          <w:szCs w:val="32"/>
        </w:rPr>
        <w:t>支出包括：一般公共服务支出、社会保障和就业支出、卫生健康支出、住房保障支出</w:t>
      </w:r>
      <w:r>
        <w:rPr>
          <w:rFonts w:hint="eastAsia" w:ascii="仿宋" w:hAnsi="仿宋" w:eastAsia="仿宋" w:cs="仿宋"/>
          <w:szCs w:val="32"/>
          <w:lang w:eastAsia="zh-CN"/>
        </w:rPr>
        <w:t>等</w:t>
      </w:r>
      <w:r>
        <w:rPr>
          <w:rFonts w:hint="eastAsia" w:ascii="仿宋" w:hAnsi="仿宋" w:eastAsia="仿宋" w:cs="仿宋"/>
          <w:szCs w:val="32"/>
        </w:rPr>
        <w:t>。</w:t>
      </w:r>
      <w:r>
        <w:rPr>
          <w:szCs w:val="32"/>
        </w:rPr>
        <w:t>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182.61</w:t>
      </w:r>
      <w:r>
        <w:rPr>
          <w:szCs w:val="32"/>
        </w:rPr>
        <w:t>万元</w:t>
      </w:r>
      <w:r>
        <w:rPr>
          <w:rFonts w:hint="eastAsia"/>
          <w:szCs w:val="32"/>
          <w:lang w:eastAsia="zh-CN"/>
        </w:rPr>
        <w:t>，其中：本年预算</w:t>
      </w:r>
      <w:r>
        <w:rPr>
          <w:rFonts w:hint="eastAsia"/>
          <w:szCs w:val="32"/>
          <w:lang w:val="en-US" w:eastAsia="zh-CN"/>
        </w:rPr>
        <w:t>182.61</w:t>
      </w:r>
      <w:r>
        <w:rPr>
          <w:rFonts w:hint="eastAsia"/>
          <w:szCs w:val="32"/>
          <w:lang w:eastAsia="zh-CN"/>
        </w:rPr>
        <w:t>万元，上年结转</w:t>
      </w:r>
      <w:r>
        <w:rPr>
          <w:rFonts w:hint="eastAsia"/>
          <w:szCs w:val="32"/>
          <w:lang w:val="en-US" w:eastAsia="zh-CN"/>
        </w:rPr>
        <w:t>0万元</w:t>
      </w:r>
      <w:r>
        <w:rPr>
          <w:rFonts w:hint="eastAsia"/>
          <w:szCs w:val="32"/>
          <w:lang w:eastAsia="zh-CN"/>
        </w:rPr>
        <w:t>。</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预算减</w:t>
      </w:r>
      <w:r>
        <w:rPr>
          <w:rFonts w:hint="eastAsia"/>
          <w:szCs w:val="32"/>
          <w:lang w:eastAsia="zh-CN"/>
        </w:rPr>
        <w:t>少</w:t>
      </w:r>
      <w:r>
        <w:rPr>
          <w:rFonts w:hint="eastAsia"/>
          <w:szCs w:val="32"/>
          <w:lang w:val="en-US" w:eastAsia="zh-CN"/>
        </w:rPr>
        <w:t>67.09</w:t>
      </w:r>
      <w:r>
        <w:rPr>
          <w:szCs w:val="32"/>
        </w:rPr>
        <w:t>万元，主要原因</w:t>
      </w:r>
      <w:r>
        <w:rPr>
          <w:rFonts w:hint="eastAsia"/>
          <w:szCs w:val="32"/>
          <w:lang w:eastAsia="zh-CN"/>
        </w:rPr>
        <w:t>一</w:t>
      </w:r>
      <w:r>
        <w:rPr>
          <w:szCs w:val="32"/>
        </w:rPr>
        <w:t>是</w:t>
      </w:r>
      <w:r>
        <w:rPr>
          <w:rFonts w:hint="eastAsia"/>
          <w:szCs w:val="32"/>
          <w:lang w:eastAsia="zh-CN"/>
        </w:rPr>
        <w:t>本年无经济普查项目预算；二是本年减少了人员经费，</w:t>
      </w:r>
      <w:r>
        <w:rPr>
          <w:rFonts w:hint="eastAsia" w:ascii="仿宋" w:hAnsi="仿宋" w:eastAsia="仿宋" w:cs="仿宋"/>
          <w:szCs w:val="32"/>
          <w:lang w:eastAsia="zh-CN"/>
        </w:rPr>
        <w:t>致使</w:t>
      </w:r>
      <w:r>
        <w:rPr>
          <w:rFonts w:hint="eastAsia" w:ascii="仿宋" w:hAnsi="仿宋" w:eastAsia="仿宋" w:cs="仿宋"/>
          <w:szCs w:val="32"/>
          <w:lang w:val="en-US" w:eastAsia="zh-CN"/>
        </w:rPr>
        <w:t>2025年</w:t>
      </w:r>
      <w:r>
        <w:rPr>
          <w:rFonts w:hint="eastAsia" w:ascii="仿宋" w:hAnsi="仿宋" w:eastAsia="仿宋" w:cs="仿宋"/>
          <w:szCs w:val="32"/>
          <w:lang w:eastAsia="zh-CN"/>
        </w:rPr>
        <w:t>预算</w:t>
      </w:r>
      <w:r>
        <w:rPr>
          <w:rFonts w:hint="eastAsia" w:ascii="仿宋" w:hAnsi="仿宋" w:eastAsia="仿宋" w:cs="仿宋"/>
          <w:szCs w:val="32"/>
          <w:lang w:val="en-US" w:eastAsia="zh-CN"/>
        </w:rPr>
        <w:t>大幅减少</w:t>
      </w:r>
      <w:r>
        <w:rPr>
          <w:szCs w:val="32"/>
        </w:rPr>
        <w:t>。</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182.61</w:t>
      </w:r>
      <w:r>
        <w:rPr>
          <w:szCs w:val="32"/>
        </w:rPr>
        <w:t>万元，其中：本年收入</w:t>
      </w:r>
      <w:r>
        <w:rPr>
          <w:rFonts w:hint="eastAsia"/>
          <w:szCs w:val="32"/>
          <w:lang w:val="en-US" w:eastAsia="zh-CN"/>
        </w:rPr>
        <w:t>182.61</w:t>
      </w:r>
      <w:r>
        <w:rPr>
          <w:szCs w:val="32"/>
        </w:rPr>
        <w:t>万元，占</w:t>
      </w:r>
      <w:r>
        <w:rPr>
          <w:rFonts w:hint="eastAsia"/>
          <w:szCs w:val="32"/>
          <w:lang w:val="en-US" w:eastAsia="zh-CN"/>
        </w:rPr>
        <w:t>100</w:t>
      </w:r>
      <w:r>
        <w:rPr>
          <w:szCs w:val="32"/>
        </w:rPr>
        <w:t>%</w:t>
      </w:r>
      <w:r>
        <w:rPr>
          <w:rFonts w:hint="eastAsia"/>
          <w:szCs w:val="32"/>
          <w:lang w:eastAsia="zh-CN"/>
        </w:rPr>
        <w:t>；上年结转结余</w:t>
      </w:r>
      <w:r>
        <w:rPr>
          <w:rFonts w:hint="eastAsia"/>
          <w:szCs w:val="32"/>
          <w:lang w:val="en-US" w:eastAsia="zh-CN"/>
        </w:rPr>
        <w:t>0万元</w:t>
      </w:r>
      <w:r>
        <w:rPr>
          <w:szCs w:val="32"/>
        </w:rPr>
        <w:t>。本年收入中，一般公共预算拨款收入</w:t>
      </w:r>
      <w:r>
        <w:rPr>
          <w:rFonts w:hint="eastAsia"/>
          <w:szCs w:val="32"/>
          <w:lang w:val="en-US" w:eastAsia="zh-CN"/>
        </w:rPr>
        <w:t>182.61</w:t>
      </w:r>
      <w:r>
        <w:rPr>
          <w:szCs w:val="32"/>
        </w:rPr>
        <w:t>万元，占</w:t>
      </w:r>
      <w:r>
        <w:rPr>
          <w:rFonts w:hint="eastAsia"/>
          <w:szCs w:val="32"/>
          <w:lang w:val="en-US" w:eastAsia="zh-CN"/>
        </w:rPr>
        <w:t>100</w:t>
      </w:r>
      <w:r>
        <w:rPr>
          <w:szCs w:val="32"/>
        </w:rPr>
        <w:t>%</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pPr>
        <w:ind w:firstLine="640" w:firstLineChars="200"/>
        <w:rPr>
          <w:rFonts w:eastAsia="楷体"/>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182.61</w:t>
      </w:r>
      <w:r>
        <w:rPr>
          <w:szCs w:val="32"/>
        </w:rPr>
        <w:t>万元，其中：基本支出</w:t>
      </w:r>
      <w:r>
        <w:rPr>
          <w:rFonts w:hint="eastAsia"/>
          <w:szCs w:val="32"/>
          <w:lang w:val="en-US" w:eastAsia="zh-CN"/>
        </w:rPr>
        <w:t>160.20</w:t>
      </w:r>
      <w:r>
        <w:rPr>
          <w:szCs w:val="32"/>
        </w:rPr>
        <w:t>万元，占</w:t>
      </w:r>
      <w:r>
        <w:rPr>
          <w:rFonts w:hint="eastAsia"/>
          <w:szCs w:val="32"/>
          <w:lang w:val="en-US" w:eastAsia="zh-CN"/>
        </w:rPr>
        <w:t>87.7</w:t>
      </w:r>
      <w:r>
        <w:rPr>
          <w:szCs w:val="32"/>
        </w:rPr>
        <w:t>%；项目支出</w:t>
      </w:r>
      <w:r>
        <w:rPr>
          <w:rFonts w:hint="eastAsia"/>
          <w:szCs w:val="32"/>
          <w:lang w:val="en-US" w:eastAsia="zh-CN"/>
        </w:rPr>
        <w:t>22.41</w:t>
      </w:r>
      <w:r>
        <w:rPr>
          <w:szCs w:val="32"/>
        </w:rPr>
        <w:t>万元，占</w:t>
      </w:r>
      <w:r>
        <w:rPr>
          <w:rFonts w:hint="eastAsia"/>
          <w:szCs w:val="32"/>
          <w:lang w:val="en-US" w:eastAsia="zh-CN"/>
        </w:rPr>
        <w:t>12.3</w:t>
      </w:r>
      <w:r>
        <w:rPr>
          <w:szCs w:val="32"/>
        </w:rPr>
        <w:t>%。</w:t>
      </w:r>
    </w:p>
    <w:p>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182.61</w:t>
      </w:r>
      <w:r>
        <w:rPr>
          <w:szCs w:val="32"/>
        </w:rPr>
        <w:t>万元，其中：</w:t>
      </w:r>
      <w:r>
        <w:rPr>
          <w:rFonts w:hint="eastAsia"/>
          <w:szCs w:val="32"/>
        </w:rPr>
        <w:t>本年</w:t>
      </w:r>
      <w:r>
        <w:rPr>
          <w:rFonts w:hint="eastAsia"/>
          <w:szCs w:val="32"/>
          <w:lang w:eastAsia="zh-CN"/>
        </w:rPr>
        <w:t>预算</w:t>
      </w:r>
      <w:r>
        <w:rPr>
          <w:rFonts w:hint="eastAsia"/>
          <w:szCs w:val="32"/>
          <w:lang w:val="en-US" w:eastAsia="zh-CN"/>
        </w:rPr>
        <w:t>182.61</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140.25</w:t>
      </w:r>
      <w:r>
        <w:rPr>
          <w:szCs w:val="32"/>
        </w:rPr>
        <w:t>万元，</w:t>
      </w:r>
      <w:r>
        <w:rPr>
          <w:kern w:val="0"/>
          <w:szCs w:val="32"/>
        </w:rPr>
        <w:t>社会保障和就业支出</w:t>
      </w:r>
      <w:r>
        <w:rPr>
          <w:rFonts w:hint="eastAsia"/>
          <w:szCs w:val="32"/>
          <w:lang w:val="en-US" w:eastAsia="zh-CN"/>
        </w:rPr>
        <w:t>25.37</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5.27</w:t>
      </w:r>
      <w:r>
        <w:rPr>
          <w:szCs w:val="32"/>
        </w:rPr>
        <w:t>万元，</w:t>
      </w:r>
      <w:r>
        <w:rPr>
          <w:kern w:val="0"/>
          <w:szCs w:val="32"/>
        </w:rPr>
        <w:t>住房保障支出</w:t>
      </w:r>
      <w:r>
        <w:rPr>
          <w:rFonts w:hint="eastAsia"/>
          <w:szCs w:val="32"/>
          <w:lang w:val="en-US" w:eastAsia="zh-CN"/>
        </w:rPr>
        <w:t>11.72</w:t>
      </w:r>
      <w:r>
        <w:rPr>
          <w:szCs w:val="32"/>
        </w:rPr>
        <w:t>万元。</w:t>
      </w:r>
    </w:p>
    <w:p>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182.61</w:t>
      </w:r>
      <w:r>
        <w:rPr>
          <w:szCs w:val="32"/>
        </w:rPr>
        <w:t>万元，其中：基本支出</w:t>
      </w:r>
      <w:r>
        <w:rPr>
          <w:rFonts w:hint="eastAsia"/>
          <w:szCs w:val="32"/>
          <w:lang w:val="en-US" w:eastAsia="zh-CN"/>
        </w:rPr>
        <w:t>160.20</w:t>
      </w:r>
      <w:r>
        <w:rPr>
          <w:szCs w:val="32"/>
        </w:rPr>
        <w:t>万元，占</w:t>
      </w:r>
      <w:r>
        <w:rPr>
          <w:rFonts w:hint="eastAsia"/>
          <w:szCs w:val="32"/>
          <w:lang w:val="en-US" w:eastAsia="zh-CN"/>
        </w:rPr>
        <w:t>87.7</w:t>
      </w:r>
      <w:r>
        <w:rPr>
          <w:szCs w:val="32"/>
        </w:rPr>
        <w:t>%；项目支出</w:t>
      </w:r>
      <w:r>
        <w:rPr>
          <w:rFonts w:hint="eastAsia"/>
          <w:szCs w:val="32"/>
          <w:lang w:val="en-US" w:eastAsia="zh-CN"/>
        </w:rPr>
        <w:t>22.41</w:t>
      </w:r>
      <w:r>
        <w:rPr>
          <w:szCs w:val="32"/>
        </w:rPr>
        <w:t>万元，占</w:t>
      </w:r>
      <w:r>
        <w:rPr>
          <w:rFonts w:hint="eastAsia"/>
          <w:szCs w:val="32"/>
          <w:lang w:val="en-US" w:eastAsia="zh-CN"/>
        </w:rPr>
        <w:t>12.3</w:t>
      </w:r>
      <w:r>
        <w:rPr>
          <w:szCs w:val="32"/>
        </w:rPr>
        <w:t>%。基本支出中，人员经费</w:t>
      </w:r>
      <w:r>
        <w:rPr>
          <w:rFonts w:hint="eastAsia"/>
          <w:szCs w:val="32"/>
          <w:lang w:val="en-US" w:eastAsia="zh-CN"/>
        </w:rPr>
        <w:t>136.51</w:t>
      </w:r>
      <w:r>
        <w:rPr>
          <w:szCs w:val="32"/>
        </w:rPr>
        <w:t>万元，占</w:t>
      </w:r>
      <w:r>
        <w:rPr>
          <w:rFonts w:hint="eastAsia"/>
          <w:szCs w:val="32"/>
          <w:lang w:val="en-US" w:eastAsia="zh-CN"/>
        </w:rPr>
        <w:t>85.2</w:t>
      </w:r>
      <w:r>
        <w:rPr>
          <w:szCs w:val="32"/>
        </w:rPr>
        <w:t>%；公用经费</w:t>
      </w:r>
      <w:r>
        <w:rPr>
          <w:rFonts w:hint="eastAsia"/>
          <w:szCs w:val="32"/>
          <w:lang w:val="en-US" w:eastAsia="zh-CN"/>
        </w:rPr>
        <w:t>23.69</w:t>
      </w:r>
      <w:r>
        <w:rPr>
          <w:szCs w:val="32"/>
        </w:rPr>
        <w:t>万元，占</w:t>
      </w:r>
      <w:r>
        <w:rPr>
          <w:rFonts w:hint="eastAsia"/>
          <w:szCs w:val="32"/>
          <w:lang w:val="en-US" w:eastAsia="zh-CN"/>
        </w:rPr>
        <w:t>14.8</w:t>
      </w:r>
      <w:r>
        <w:rPr>
          <w:szCs w:val="32"/>
        </w:rPr>
        <w:t>%。</w:t>
      </w:r>
    </w:p>
    <w:p>
      <w:pPr>
        <w:spacing w:line="520" w:lineRule="exact"/>
        <w:ind w:firstLine="640" w:firstLineChars="200"/>
        <w:rPr>
          <w:rFonts w:hint="eastAsia" w:ascii="仿宋" w:hAnsi="仿宋" w:eastAsia="仿宋" w:cs="仿宋"/>
          <w:szCs w:val="32"/>
        </w:rPr>
      </w:pPr>
      <w:r>
        <w:rPr>
          <w:szCs w:val="32"/>
        </w:rPr>
        <w:t>一般公共服务（类）支出</w:t>
      </w:r>
      <w:r>
        <w:rPr>
          <w:rFonts w:hint="eastAsia"/>
          <w:szCs w:val="32"/>
          <w:lang w:val="en-US" w:eastAsia="zh-CN"/>
        </w:rPr>
        <w:t>140.25</w:t>
      </w:r>
      <w:r>
        <w:rPr>
          <w:szCs w:val="32"/>
        </w:rPr>
        <w:t>万元，占</w:t>
      </w:r>
      <w:r>
        <w:rPr>
          <w:rFonts w:hint="eastAsia"/>
          <w:szCs w:val="32"/>
          <w:lang w:val="en-US" w:eastAsia="zh-CN"/>
        </w:rPr>
        <w:t>76.8</w:t>
      </w:r>
      <w:r>
        <w:rPr>
          <w:szCs w:val="32"/>
        </w:rPr>
        <w:t>%，</w:t>
      </w:r>
      <w:r>
        <w:rPr>
          <w:rFonts w:hint="eastAsia" w:ascii="仿宋" w:hAnsi="仿宋" w:eastAsia="仿宋" w:cs="仿宋"/>
          <w:szCs w:val="32"/>
        </w:rPr>
        <w:t>主要用于保障职工工资，维持机关正常运转，完成年度统计工作任务。</w:t>
      </w:r>
    </w:p>
    <w:p>
      <w:pPr>
        <w:spacing w:line="520" w:lineRule="exact"/>
        <w:ind w:firstLine="640" w:firstLineChars="200"/>
        <w:rPr>
          <w:rFonts w:hint="eastAsia" w:eastAsia="仿宋"/>
          <w:szCs w:val="32"/>
          <w:lang w:eastAsia="zh-CN"/>
        </w:rPr>
      </w:pPr>
      <w:r>
        <w:rPr>
          <w:szCs w:val="32"/>
        </w:rPr>
        <w:t>社会保障和就业（类）支出</w:t>
      </w:r>
      <w:r>
        <w:rPr>
          <w:rFonts w:hint="eastAsia"/>
          <w:szCs w:val="32"/>
          <w:lang w:val="en-US" w:eastAsia="zh-CN"/>
        </w:rPr>
        <w:t>25.37</w:t>
      </w:r>
      <w:r>
        <w:rPr>
          <w:szCs w:val="32"/>
        </w:rPr>
        <w:t>万元，占</w:t>
      </w:r>
      <w:r>
        <w:rPr>
          <w:rFonts w:hint="eastAsia"/>
          <w:szCs w:val="32"/>
          <w:lang w:val="en-US" w:eastAsia="zh-CN"/>
        </w:rPr>
        <w:t>13.9</w:t>
      </w:r>
      <w:r>
        <w:rPr>
          <w:szCs w:val="32"/>
        </w:rPr>
        <w:t>%，主要用于</w:t>
      </w:r>
      <w:r>
        <w:rPr>
          <w:rFonts w:hint="eastAsia" w:ascii="仿宋" w:hAnsi="仿宋" w:eastAsia="仿宋" w:cs="仿宋"/>
          <w:szCs w:val="32"/>
          <w:lang w:eastAsia="zh-CN"/>
        </w:rPr>
        <w:t>保障</w:t>
      </w:r>
      <w:r>
        <w:rPr>
          <w:rFonts w:hint="eastAsia" w:ascii="仿宋" w:hAnsi="仿宋" w:eastAsia="仿宋" w:cs="仿宋"/>
          <w:szCs w:val="32"/>
        </w:rPr>
        <w:t>退休职工补贴</w:t>
      </w:r>
      <w:r>
        <w:rPr>
          <w:rFonts w:hint="eastAsia" w:ascii="仿宋" w:hAnsi="仿宋" w:eastAsia="仿宋" w:cs="仿宋"/>
          <w:szCs w:val="32"/>
          <w:lang w:eastAsia="zh-CN"/>
        </w:rPr>
        <w:t>及机关</w:t>
      </w:r>
      <w:r>
        <w:rPr>
          <w:rFonts w:hint="eastAsia" w:ascii="仿宋" w:hAnsi="仿宋" w:eastAsia="仿宋" w:cs="仿宋"/>
          <w:szCs w:val="32"/>
        </w:rPr>
        <w:t>事业单位基本养老保险缴费支出</w:t>
      </w:r>
      <w:r>
        <w:rPr>
          <w:rFonts w:hint="eastAsia" w:ascii="仿宋" w:hAnsi="仿宋" w:eastAsia="仿宋" w:cs="仿宋"/>
          <w:szCs w:val="32"/>
          <w:lang w:eastAsia="zh-CN"/>
        </w:rPr>
        <w:t>。</w:t>
      </w:r>
    </w:p>
    <w:p>
      <w:pPr>
        <w:spacing w:line="520" w:lineRule="exact"/>
        <w:ind w:firstLine="640" w:firstLineChars="200"/>
        <w:rPr>
          <w:szCs w:val="32"/>
        </w:rPr>
      </w:pPr>
      <w:r>
        <w:rPr>
          <w:rFonts w:hint="eastAsia"/>
          <w:szCs w:val="32"/>
          <w:lang w:eastAsia="zh-CN"/>
        </w:rPr>
        <w:t>卫生健康（类）支出</w:t>
      </w:r>
      <w:r>
        <w:rPr>
          <w:rFonts w:hint="eastAsia"/>
          <w:szCs w:val="32"/>
          <w:lang w:val="en-US" w:eastAsia="zh-CN"/>
        </w:rPr>
        <w:t>5.27</w:t>
      </w:r>
      <w:r>
        <w:rPr>
          <w:szCs w:val="32"/>
        </w:rPr>
        <w:t>万元，占</w:t>
      </w:r>
      <w:r>
        <w:rPr>
          <w:rFonts w:hint="eastAsia"/>
          <w:szCs w:val="32"/>
          <w:lang w:val="en-US" w:eastAsia="zh-CN"/>
        </w:rPr>
        <w:t>2.9</w:t>
      </w:r>
      <w:r>
        <w:rPr>
          <w:szCs w:val="32"/>
        </w:rPr>
        <w:t>%，主要用于</w:t>
      </w:r>
      <w:r>
        <w:rPr>
          <w:rFonts w:hint="eastAsia" w:ascii="仿宋" w:hAnsi="仿宋" w:eastAsia="仿宋" w:cs="仿宋"/>
          <w:szCs w:val="32"/>
        </w:rPr>
        <w:t>缴纳职工医疗保险</w:t>
      </w:r>
      <w:r>
        <w:rPr>
          <w:szCs w:val="32"/>
        </w:rPr>
        <w:t>。</w:t>
      </w:r>
    </w:p>
    <w:p>
      <w:pPr>
        <w:spacing w:line="520" w:lineRule="exact"/>
        <w:ind w:firstLine="640" w:firstLineChars="200"/>
        <w:rPr>
          <w:rFonts w:eastAsia="楷体"/>
          <w:szCs w:val="32"/>
        </w:rPr>
      </w:pPr>
      <w:r>
        <w:rPr>
          <w:szCs w:val="32"/>
        </w:rPr>
        <w:t>住房保障（类）支出</w:t>
      </w:r>
      <w:r>
        <w:rPr>
          <w:rFonts w:hint="eastAsia"/>
          <w:szCs w:val="32"/>
          <w:lang w:val="en-US" w:eastAsia="zh-CN"/>
        </w:rPr>
        <w:t>11.72</w:t>
      </w:r>
      <w:r>
        <w:rPr>
          <w:szCs w:val="32"/>
        </w:rPr>
        <w:t>万元，占</w:t>
      </w:r>
      <w:r>
        <w:rPr>
          <w:rFonts w:hint="eastAsia"/>
          <w:szCs w:val="32"/>
          <w:lang w:val="en-US" w:eastAsia="zh-CN"/>
        </w:rPr>
        <w:t>6.4</w:t>
      </w:r>
      <w:r>
        <w:rPr>
          <w:szCs w:val="32"/>
        </w:rPr>
        <w:t>%，主要用于</w:t>
      </w:r>
      <w:r>
        <w:rPr>
          <w:rFonts w:hint="eastAsia" w:ascii="仿宋" w:hAnsi="仿宋" w:eastAsia="仿宋" w:cs="仿宋"/>
          <w:szCs w:val="32"/>
        </w:rPr>
        <w:t>缴纳职工住房公积金</w:t>
      </w:r>
      <w:r>
        <w:rPr>
          <w:szCs w:val="32"/>
        </w:rPr>
        <w:t>。</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160.20</w:t>
      </w:r>
      <w:r>
        <w:rPr>
          <w:szCs w:val="32"/>
        </w:rPr>
        <w:t>万元，其中：</w:t>
      </w:r>
    </w:p>
    <w:p>
      <w:pPr>
        <w:ind w:firstLine="640" w:firstLineChars="200"/>
        <w:rPr>
          <w:kern w:val="0"/>
          <w:szCs w:val="32"/>
        </w:rPr>
      </w:pPr>
      <w:r>
        <w:rPr>
          <w:szCs w:val="32"/>
        </w:rPr>
        <w:t>人员经费</w:t>
      </w:r>
      <w:r>
        <w:rPr>
          <w:rFonts w:hint="eastAsia"/>
          <w:szCs w:val="32"/>
          <w:lang w:val="en-US" w:eastAsia="zh-CN"/>
        </w:rPr>
        <w:t>136.51</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eastAsia="zh-CN"/>
        </w:rPr>
        <w:t>机关事业单位基本养老保险缴费、职工基本医疗保险缴费、其他</w:t>
      </w:r>
      <w:r>
        <w:rPr>
          <w:kern w:val="0"/>
          <w:szCs w:val="32"/>
        </w:rPr>
        <w:t>社会保障缴费</w:t>
      </w:r>
      <w:r>
        <w:rPr>
          <w:szCs w:val="32"/>
        </w:rPr>
        <w:t>、</w:t>
      </w:r>
      <w:r>
        <w:rPr>
          <w:kern w:val="0"/>
          <w:szCs w:val="32"/>
        </w:rPr>
        <w:t>住房公积金</w:t>
      </w:r>
      <w:r>
        <w:rPr>
          <w:szCs w:val="32"/>
        </w:rPr>
        <w:t>、</w:t>
      </w:r>
      <w:r>
        <w:rPr>
          <w:rFonts w:hint="eastAsia"/>
          <w:szCs w:val="32"/>
          <w:lang w:eastAsia="zh-CN"/>
        </w:rPr>
        <w:t>医疗费、</w:t>
      </w:r>
      <w:r>
        <w:rPr>
          <w:kern w:val="0"/>
          <w:szCs w:val="32"/>
        </w:rPr>
        <w:t>其他工资福利支出</w:t>
      </w:r>
      <w:r>
        <w:rPr>
          <w:rFonts w:hint="eastAsia"/>
          <w:kern w:val="0"/>
          <w:szCs w:val="32"/>
          <w:lang w:eastAsia="zh-CN"/>
        </w:rPr>
        <w:t>；</w:t>
      </w:r>
      <w:r>
        <w:rPr>
          <w:kern w:val="0"/>
          <w:szCs w:val="32"/>
        </w:rPr>
        <w:t>退休费</w:t>
      </w:r>
      <w:r>
        <w:rPr>
          <w:szCs w:val="32"/>
        </w:rPr>
        <w:t>、</w:t>
      </w:r>
      <w:r>
        <w:rPr>
          <w:kern w:val="0"/>
          <w:szCs w:val="32"/>
        </w:rPr>
        <w:t>其他对个人和家庭的补助。</w:t>
      </w:r>
    </w:p>
    <w:p>
      <w:pPr>
        <w:ind w:firstLine="640" w:firstLineChars="200"/>
        <w:rPr>
          <w:szCs w:val="32"/>
        </w:rPr>
      </w:pPr>
      <w:r>
        <w:rPr>
          <w:kern w:val="0"/>
          <w:szCs w:val="32"/>
        </w:rPr>
        <w:t>公用经费</w:t>
      </w:r>
      <w:r>
        <w:rPr>
          <w:rFonts w:hint="eastAsia"/>
          <w:szCs w:val="32"/>
          <w:lang w:val="en-US" w:eastAsia="zh-CN"/>
        </w:rPr>
        <w:t>23.69</w:t>
      </w:r>
      <w:r>
        <w:rPr>
          <w:szCs w:val="32"/>
        </w:rPr>
        <w:t>万元，主要包括：</w:t>
      </w:r>
      <w:r>
        <w:rPr>
          <w:kern w:val="0"/>
          <w:szCs w:val="32"/>
        </w:rPr>
        <w:t>办公费</w:t>
      </w:r>
      <w:r>
        <w:rPr>
          <w:szCs w:val="32"/>
        </w:rPr>
        <w:t>、</w:t>
      </w:r>
      <w:r>
        <w:rPr>
          <w:kern w:val="0"/>
          <w:szCs w:val="32"/>
        </w:rPr>
        <w:t>印刷费</w:t>
      </w:r>
      <w:r>
        <w:rPr>
          <w:szCs w:val="32"/>
        </w:rPr>
        <w:t>、</w:t>
      </w:r>
      <w:r>
        <w:rPr>
          <w:kern w:val="0"/>
          <w:szCs w:val="32"/>
        </w:rPr>
        <w:t>邮电费</w:t>
      </w:r>
      <w:r>
        <w:rPr>
          <w:szCs w:val="32"/>
        </w:rPr>
        <w:t>、</w:t>
      </w:r>
      <w:r>
        <w:rPr>
          <w:kern w:val="0"/>
          <w:szCs w:val="32"/>
        </w:rPr>
        <w:t>差旅费</w:t>
      </w:r>
      <w:r>
        <w:rPr>
          <w:szCs w:val="32"/>
        </w:rPr>
        <w:t>、</w:t>
      </w:r>
      <w:r>
        <w:rPr>
          <w:kern w:val="0"/>
          <w:szCs w:val="32"/>
        </w:rPr>
        <w:t>维修（护）费</w:t>
      </w:r>
      <w:r>
        <w:rPr>
          <w:szCs w:val="32"/>
        </w:rPr>
        <w:t>、</w:t>
      </w:r>
      <w:r>
        <w:rPr>
          <w:kern w:val="0"/>
          <w:szCs w:val="32"/>
        </w:rPr>
        <w:t>培训费</w:t>
      </w:r>
      <w:r>
        <w:rPr>
          <w:szCs w:val="32"/>
        </w:rPr>
        <w:t>、</w:t>
      </w:r>
      <w:r>
        <w:rPr>
          <w:kern w:val="0"/>
          <w:szCs w:val="32"/>
        </w:rPr>
        <w:t>公务接待费</w:t>
      </w:r>
      <w:r>
        <w:rPr>
          <w:szCs w:val="32"/>
        </w:rPr>
        <w:t>、</w:t>
      </w:r>
      <w:r>
        <w:rPr>
          <w:kern w:val="0"/>
          <w:szCs w:val="32"/>
        </w:rPr>
        <w:t>工会经费、福利费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0.18</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年预算数减少</w:t>
      </w:r>
      <w:r>
        <w:rPr>
          <w:rFonts w:hint="eastAsia"/>
          <w:szCs w:val="32"/>
          <w:lang w:val="en-US" w:eastAsia="zh-CN"/>
        </w:rPr>
        <w:t>0.05</w:t>
      </w:r>
      <w:r>
        <w:rPr>
          <w:szCs w:val="32"/>
        </w:rPr>
        <w:t>万元。其中：</w:t>
      </w:r>
    </w:p>
    <w:p>
      <w:pPr>
        <w:ind w:firstLine="640" w:firstLineChars="200"/>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ascii="仿宋" w:hAnsi="仿宋" w:eastAsia="仿宋" w:cs="仿宋"/>
          <w:szCs w:val="22"/>
        </w:rPr>
        <w:t>与</w:t>
      </w:r>
      <w:r>
        <w:rPr>
          <w:rFonts w:hint="eastAsia"/>
          <w:szCs w:val="32"/>
          <w:lang w:eastAsia="zh-CN"/>
        </w:rPr>
        <w:t>202</w:t>
      </w:r>
      <w:r>
        <w:rPr>
          <w:rFonts w:hint="eastAsia"/>
          <w:szCs w:val="32"/>
          <w:lang w:val="en-US" w:eastAsia="zh-CN"/>
        </w:rPr>
        <w:t>4</w:t>
      </w:r>
      <w:r>
        <w:rPr>
          <w:rFonts w:hint="eastAsia" w:ascii="仿宋" w:hAnsi="仿宋" w:eastAsia="仿宋" w:cs="仿宋"/>
          <w:szCs w:val="22"/>
          <w:lang w:eastAsia="zh-CN"/>
        </w:rPr>
        <w:t>年</w:t>
      </w:r>
      <w:r>
        <w:rPr>
          <w:rFonts w:hint="eastAsia" w:ascii="仿宋" w:hAnsi="仿宋" w:eastAsia="仿宋" w:cs="仿宋"/>
          <w:szCs w:val="22"/>
        </w:rPr>
        <w:t>预算</w:t>
      </w:r>
      <w:r>
        <w:rPr>
          <w:rFonts w:hint="eastAsia" w:ascii="仿宋" w:hAnsi="仿宋" w:eastAsia="仿宋" w:cs="仿宋"/>
          <w:szCs w:val="22"/>
          <w:lang w:eastAsia="zh-CN"/>
        </w:rPr>
        <w:t>数</w:t>
      </w:r>
      <w:r>
        <w:rPr>
          <w:rFonts w:hint="eastAsia" w:ascii="仿宋" w:hAnsi="仿宋" w:eastAsia="仿宋" w:cs="仿宋"/>
          <w:szCs w:val="22"/>
        </w:rPr>
        <w:t>持平</w:t>
      </w:r>
      <w:r>
        <w:rPr>
          <w:rFonts w:hint="eastAsia" w:ascii="仿宋" w:hAnsi="仿宋" w:eastAsia="仿宋" w:cs="仿宋"/>
          <w:szCs w:val="32"/>
        </w:rPr>
        <w:t>。</w:t>
      </w:r>
    </w:p>
    <w:p>
      <w:pPr>
        <w:ind w:firstLine="640" w:firstLineChars="200"/>
        <w:rPr>
          <w:rFonts w:hint="eastAsia" w:eastAsia="仿宋_GB2312"/>
          <w:szCs w:val="32"/>
          <w:lang w:eastAsia="zh-CN"/>
        </w:rPr>
      </w:pPr>
      <w:r>
        <w:rPr>
          <w:szCs w:val="32"/>
        </w:rPr>
        <w:t>2.公务接待费</w:t>
      </w:r>
      <w:r>
        <w:rPr>
          <w:rFonts w:hint="eastAsia"/>
          <w:szCs w:val="32"/>
          <w:lang w:val="en-US" w:eastAsia="zh-CN"/>
        </w:rPr>
        <w:t>0.18</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年预算数减少</w:t>
      </w:r>
      <w:r>
        <w:rPr>
          <w:rFonts w:hint="eastAsia"/>
          <w:szCs w:val="32"/>
          <w:lang w:val="en-US" w:eastAsia="zh-CN"/>
        </w:rPr>
        <w:t>0.05</w:t>
      </w:r>
      <w:r>
        <w:rPr>
          <w:szCs w:val="32"/>
        </w:rPr>
        <w:t>万元，主要原因是</w:t>
      </w:r>
      <w:r>
        <w:rPr>
          <w:rFonts w:hint="eastAsia" w:ascii="仿宋" w:hAnsi="仿宋" w:eastAsia="仿宋" w:cs="仿宋"/>
          <w:szCs w:val="22"/>
          <w:lang w:val="en-US" w:eastAsia="zh-CN"/>
        </w:rPr>
        <w:t>人员减少，公用经费随之减少，按规定提取的公务接待费相应减少</w:t>
      </w:r>
      <w:r>
        <w:rPr>
          <w:rFonts w:hint="eastAsia"/>
          <w:szCs w:val="32"/>
          <w:lang w:eastAsia="zh-CN"/>
        </w:rPr>
        <w:t>。</w:t>
      </w:r>
    </w:p>
    <w:p>
      <w:pPr>
        <w:ind w:firstLine="640" w:firstLineChars="200"/>
        <w:jc w:val="both"/>
        <w:rPr>
          <w:rFonts w:eastAsia="楷体"/>
          <w:szCs w:val="32"/>
        </w:rPr>
      </w:pPr>
      <w:r>
        <w:rPr>
          <w:szCs w:val="32"/>
        </w:rPr>
        <w:t>3.公务用车购置及运行</w:t>
      </w:r>
      <w:r>
        <w:rPr>
          <w:rFonts w:hint="eastAsia"/>
          <w:szCs w:val="32"/>
          <w:lang w:eastAsia="zh-CN"/>
        </w:rPr>
        <w:t>维护</w:t>
      </w:r>
      <w:r>
        <w:rPr>
          <w:szCs w:val="32"/>
        </w:rPr>
        <w:t>费</w:t>
      </w:r>
      <w:r>
        <w:rPr>
          <w:rFonts w:hint="eastAsia"/>
          <w:szCs w:val="32"/>
          <w:lang w:val="en-US" w:eastAsia="zh-CN"/>
        </w:rPr>
        <w:t>0</w:t>
      </w:r>
      <w:r>
        <w:rPr>
          <w:szCs w:val="32"/>
        </w:rPr>
        <w:t>万元</w:t>
      </w:r>
      <w:r>
        <w:rPr>
          <w:rFonts w:hint="eastAsia"/>
          <w:szCs w:val="32"/>
          <w:lang w:eastAsia="zh-CN"/>
        </w:rPr>
        <w:t>。</w:t>
      </w:r>
      <w:r>
        <w:rPr>
          <w:rFonts w:hint="eastAsia" w:ascii="仿宋" w:hAnsi="仿宋" w:eastAsia="仿宋" w:cs="仿宋"/>
          <w:szCs w:val="22"/>
        </w:rPr>
        <w:t>与</w:t>
      </w:r>
      <w:r>
        <w:rPr>
          <w:rFonts w:hint="eastAsia"/>
          <w:szCs w:val="32"/>
          <w:lang w:eastAsia="zh-CN"/>
        </w:rPr>
        <w:t>202</w:t>
      </w:r>
      <w:r>
        <w:rPr>
          <w:rFonts w:hint="eastAsia"/>
          <w:szCs w:val="32"/>
          <w:lang w:val="en-US" w:eastAsia="zh-CN"/>
        </w:rPr>
        <w:t>4</w:t>
      </w:r>
      <w:r>
        <w:rPr>
          <w:rFonts w:hint="eastAsia" w:ascii="仿宋" w:hAnsi="仿宋" w:eastAsia="仿宋" w:cs="仿宋"/>
          <w:szCs w:val="22"/>
          <w:lang w:eastAsia="zh-CN"/>
        </w:rPr>
        <w:t>年</w:t>
      </w:r>
      <w:r>
        <w:rPr>
          <w:rFonts w:hint="eastAsia" w:ascii="仿宋" w:hAnsi="仿宋" w:eastAsia="仿宋" w:cs="仿宋"/>
          <w:szCs w:val="22"/>
        </w:rPr>
        <w:t>预算</w:t>
      </w:r>
      <w:r>
        <w:rPr>
          <w:rFonts w:hint="eastAsia" w:ascii="仿宋" w:hAnsi="仿宋" w:eastAsia="仿宋" w:cs="仿宋"/>
          <w:szCs w:val="22"/>
          <w:lang w:eastAsia="zh-CN"/>
        </w:rPr>
        <w:t>数</w:t>
      </w:r>
      <w:r>
        <w:rPr>
          <w:rFonts w:hint="eastAsia" w:ascii="仿宋" w:hAnsi="仿宋" w:eastAsia="仿宋" w:cs="仿宋"/>
          <w:szCs w:val="22"/>
        </w:rPr>
        <w:t>持平</w:t>
      </w:r>
      <w:r>
        <w:rPr>
          <w:rFonts w:hint="eastAsia" w:ascii="仿宋" w:hAnsi="仿宋" w:eastAsia="仿宋" w:cs="仿宋"/>
          <w:szCs w:val="22"/>
          <w:lang w:eastAsia="zh-CN"/>
        </w:rPr>
        <w:t>，</w:t>
      </w:r>
      <w:r>
        <w:rPr>
          <w:szCs w:val="32"/>
        </w:rPr>
        <w:t>公务用车运行维护费</w:t>
      </w:r>
      <w:r>
        <w:rPr>
          <w:rFonts w:hint="eastAsia"/>
          <w:szCs w:val="32"/>
          <w:lang w:val="en-US" w:eastAsia="zh-CN"/>
        </w:rPr>
        <w:t>0</w:t>
      </w:r>
      <w:r>
        <w:rPr>
          <w:szCs w:val="32"/>
        </w:rPr>
        <w:t>万元</w:t>
      </w:r>
      <w:r>
        <w:rPr>
          <w:rFonts w:hint="eastAsia"/>
          <w:szCs w:val="32"/>
          <w:lang w:val="en-US" w:eastAsia="zh-CN"/>
        </w:rPr>
        <w:t>，</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w:t>
      </w:r>
      <w:r>
        <w:rPr>
          <w:szCs w:val="32"/>
        </w:rPr>
        <w:t>；公务用车购置费</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w:t>
      </w:r>
      <w:r>
        <w:rPr>
          <w:szCs w:val="32"/>
        </w:rPr>
        <w:t>。</w:t>
      </w:r>
    </w:p>
    <w:p>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pPr>
        <w:ind w:firstLine="640"/>
        <w:rPr>
          <w:rFonts w:eastAsia="楷体"/>
          <w:szCs w:val="32"/>
        </w:rPr>
      </w:pPr>
      <w:r>
        <w:rPr>
          <w:rFonts w:hint="eastAsia" w:ascii="仿宋" w:hAnsi="仿宋" w:eastAsia="仿宋" w:cs="仿宋"/>
          <w:szCs w:val="32"/>
        </w:rPr>
        <w:t>本单位无政府性基金预算拨款。</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pPr>
        <w:ind w:firstLine="640" w:firstLineChars="200"/>
        <w:rPr>
          <w:rFonts w:eastAsia="楷体"/>
          <w:szCs w:val="32"/>
        </w:rPr>
      </w:pPr>
      <w:r>
        <w:rPr>
          <w:rFonts w:hint="eastAsia" w:ascii="仿宋" w:hAnsi="仿宋" w:eastAsia="仿宋" w:cs="仿宋"/>
          <w:szCs w:val="32"/>
        </w:rPr>
        <w:t>本单位无国有资本经营预算拨款。</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eastAsia="zh-CN"/>
        </w:rPr>
        <w:t>本单位</w:t>
      </w:r>
      <w:r>
        <w:rPr>
          <w:rFonts w:hint="eastAsia"/>
          <w:szCs w:val="32"/>
          <w:lang w:val="en-US" w:eastAsia="zh-CN"/>
        </w:rPr>
        <w:t>1</w:t>
      </w:r>
      <w:r>
        <w:rPr>
          <w:szCs w:val="32"/>
        </w:rPr>
        <w:t>家行政单位的机关运行经费财政拨款预算</w:t>
      </w:r>
      <w:r>
        <w:rPr>
          <w:rFonts w:hint="eastAsia"/>
          <w:szCs w:val="32"/>
          <w:lang w:val="en-US" w:eastAsia="zh-CN"/>
        </w:rPr>
        <w:t>22.95</w:t>
      </w:r>
      <w:r>
        <w:rPr>
          <w:szCs w:val="32"/>
        </w:rPr>
        <w:t>万元，</w:t>
      </w:r>
      <w:bookmarkStart w:id="0" w:name="_GoBack"/>
      <w:bookmarkEnd w:id="0"/>
      <w:r>
        <w:rPr>
          <w:szCs w:val="32"/>
        </w:rPr>
        <w:t>比20</w:t>
      </w:r>
      <w:r>
        <w:rPr>
          <w:rFonts w:hint="eastAsia"/>
          <w:szCs w:val="32"/>
        </w:rPr>
        <w:t>2</w:t>
      </w:r>
      <w:r>
        <w:rPr>
          <w:rFonts w:hint="eastAsia"/>
          <w:szCs w:val="32"/>
          <w:lang w:val="en-US" w:eastAsia="zh-CN"/>
        </w:rPr>
        <w:t>4</w:t>
      </w:r>
      <w:r>
        <w:rPr>
          <w:szCs w:val="32"/>
        </w:rPr>
        <w:t>年预算减少</w:t>
      </w:r>
      <w:r>
        <w:rPr>
          <w:rFonts w:hint="eastAsia"/>
          <w:szCs w:val="32"/>
          <w:lang w:val="en-US" w:eastAsia="zh-CN"/>
        </w:rPr>
        <w:t>7.64</w:t>
      </w:r>
      <w:r>
        <w:rPr>
          <w:szCs w:val="32"/>
        </w:rPr>
        <w:t>万元，下降</w:t>
      </w:r>
      <w:r>
        <w:rPr>
          <w:rFonts w:hint="eastAsia"/>
          <w:szCs w:val="32"/>
          <w:lang w:val="en-US" w:eastAsia="zh-CN"/>
        </w:rPr>
        <w:t>24.9</w:t>
      </w:r>
      <w:r>
        <w:rPr>
          <w:szCs w:val="32"/>
        </w:rPr>
        <w:t>%</w:t>
      </w:r>
      <w:r>
        <w:rPr>
          <w:rFonts w:hint="eastAsia"/>
          <w:szCs w:val="32"/>
        </w:rPr>
        <w:t>，主要原因是</w:t>
      </w:r>
      <w:r>
        <w:rPr>
          <w:rFonts w:hint="eastAsia" w:ascii="仿宋" w:hAnsi="仿宋" w:eastAsia="仿宋" w:cs="仿宋"/>
          <w:color w:val="auto"/>
          <w:szCs w:val="32"/>
          <w:lang w:eastAsia="zh-CN"/>
        </w:rPr>
        <w:t>坚持“过紧日子”思想，本着厉行节约的原则，压减机关运行经费。</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szCs w:val="32"/>
        </w:rPr>
      </w:pPr>
      <w:r>
        <w:rPr>
          <w:rFonts w:hint="eastAsia" w:ascii="仿宋" w:hAnsi="仿宋" w:eastAsia="仿宋" w:cs="仿宋"/>
          <w:szCs w:val="32"/>
          <w:lang w:val="en-US" w:eastAsia="zh-CN"/>
        </w:rPr>
        <w:t>本单位无</w:t>
      </w:r>
      <w:r>
        <w:rPr>
          <w:rFonts w:hint="eastAsia" w:ascii="仿宋" w:hAnsi="仿宋" w:eastAsia="仿宋" w:cs="仿宋"/>
          <w:szCs w:val="32"/>
        </w:rPr>
        <w:t>政府采购预算</w:t>
      </w:r>
      <w:r>
        <w:rPr>
          <w:rFonts w:hint="eastAsia" w:ascii="仿宋" w:hAnsi="仿宋" w:eastAsia="仿宋" w:cs="仿宋"/>
          <w:szCs w:val="32"/>
          <w:lang w:eastAsia="zh-CN"/>
        </w:rPr>
        <w:t>安排</w:t>
      </w:r>
      <w:r>
        <w:rPr>
          <w:rFonts w:hint="eastAsia" w:ascii="仿宋" w:hAnsi="仿宋" w:eastAsia="仿宋" w:cs="仿宋"/>
          <w:szCs w:val="32"/>
        </w:rPr>
        <w:t>。</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w:t>
      </w:r>
      <w:r>
        <w:rPr>
          <w:rFonts w:hint="eastAsia"/>
          <w:szCs w:val="32"/>
          <w:lang w:eastAsia="zh-CN"/>
        </w:rPr>
        <w:t>本</w:t>
      </w:r>
      <w:r>
        <w:rPr>
          <w:rFonts w:hint="eastAsia"/>
          <w:szCs w:val="32"/>
        </w:rPr>
        <w:t>单位共有车辆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pPr>
        <w:spacing w:line="540" w:lineRule="exact"/>
        <w:ind w:firstLine="640" w:firstLineChars="200"/>
        <w:rPr>
          <w:szCs w:val="32"/>
        </w:rPr>
      </w:pPr>
      <w:r>
        <w:rPr>
          <w:rFonts w:hint="eastAsia"/>
          <w:szCs w:val="32"/>
        </w:rPr>
        <w:t>202</w:t>
      </w:r>
      <w:r>
        <w:rPr>
          <w:rFonts w:hint="eastAsia"/>
          <w:szCs w:val="32"/>
          <w:lang w:val="en-US" w:eastAsia="zh-CN"/>
        </w:rPr>
        <w:t>5</w:t>
      </w:r>
      <w:r>
        <w:rPr>
          <w:rFonts w:hint="eastAsia"/>
          <w:szCs w:val="32"/>
        </w:rPr>
        <w:t>年</w:t>
      </w:r>
      <w:r>
        <w:rPr>
          <w:rFonts w:hint="eastAsia"/>
          <w:szCs w:val="32"/>
          <w:lang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pPr>
      <w:r>
        <w:t>202</w:t>
      </w:r>
      <w:r>
        <w:rPr>
          <w:rFonts w:hint="eastAsia"/>
          <w:lang w:val="en-US" w:eastAsia="zh-CN"/>
        </w:rPr>
        <w:t>5</w:t>
      </w:r>
      <w:r>
        <w:t>年</w:t>
      </w:r>
      <w:r>
        <w:rPr>
          <w:rFonts w:hint="eastAsia"/>
          <w:lang w:eastAsia="zh-CN"/>
        </w:rPr>
        <w:t>单位</w:t>
      </w:r>
      <w:r>
        <w:t>项目支出</w:t>
      </w:r>
      <w:r>
        <w:rPr>
          <w:rFonts w:hint="eastAsia"/>
          <w:szCs w:val="32"/>
          <w:lang w:val="en-US" w:eastAsia="zh-CN"/>
        </w:rPr>
        <w:t>22.41</w:t>
      </w:r>
      <w:r>
        <w:rPr>
          <w:szCs w:val="32"/>
        </w:rPr>
        <w:t>万元，其中：一级项目</w:t>
      </w:r>
      <w:r>
        <w:rPr>
          <w:rFonts w:hint="eastAsia"/>
          <w:szCs w:val="32"/>
          <w:lang w:val="en-US" w:eastAsia="zh-CN"/>
        </w:rPr>
        <w:t>1</w:t>
      </w:r>
      <w:r>
        <w:rPr>
          <w:szCs w:val="32"/>
        </w:rPr>
        <w:t>个，二级项目</w:t>
      </w:r>
      <w:r>
        <w:rPr>
          <w:rFonts w:hint="eastAsia"/>
          <w:szCs w:val="32"/>
          <w:lang w:val="en-US" w:eastAsia="zh-CN"/>
        </w:rPr>
        <w:t>1</w:t>
      </w:r>
      <w:r>
        <w:rPr>
          <w:szCs w:val="32"/>
        </w:rPr>
        <w:t>个；使用</w:t>
      </w:r>
      <w:r>
        <w:rPr>
          <w:rFonts w:hint="eastAsia"/>
          <w:szCs w:val="32"/>
        </w:rPr>
        <w:t>本年拨款</w:t>
      </w:r>
      <w:r>
        <w:rPr>
          <w:rFonts w:hint="eastAsia"/>
          <w:szCs w:val="32"/>
          <w:lang w:val="en-US" w:eastAsia="zh-CN"/>
        </w:rPr>
        <w:t>22.41</w:t>
      </w:r>
      <w:r>
        <w:rPr>
          <w:szCs w:val="32"/>
        </w:rPr>
        <w:t>万元，</w:t>
      </w:r>
      <w:r>
        <w:rPr>
          <w:rFonts w:hint="eastAsia"/>
          <w:szCs w:val="32"/>
        </w:rPr>
        <w:t>财政拨款结转</w:t>
      </w:r>
      <w:r>
        <w:rPr>
          <w:rFonts w:hint="eastAsia"/>
          <w:szCs w:val="32"/>
          <w:lang w:val="en-US" w:eastAsia="zh-CN"/>
        </w:rPr>
        <w:t>0</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w:t>
      </w:r>
      <w:r>
        <w:rPr>
          <w:rFonts w:hint="eastAsia"/>
          <w:szCs w:val="22"/>
        </w:rPr>
        <w:t>202</w:t>
      </w:r>
      <w:r>
        <w:rPr>
          <w:rFonts w:hint="eastAsia"/>
          <w:szCs w:val="22"/>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1</w:t>
      </w:r>
      <w:r>
        <w:rPr>
          <w:rFonts w:hint="eastAsia" w:ascii="宋体" w:hAnsi="宋体"/>
        </w:rPr>
        <w:t>个项目支出的绩效目标和指标向社会公开，涉及金额</w:t>
      </w:r>
      <w:r>
        <w:rPr>
          <w:rFonts w:hint="eastAsia"/>
          <w:szCs w:val="32"/>
          <w:lang w:val="en-US" w:eastAsia="zh-CN"/>
        </w:rPr>
        <w:t>22.41</w:t>
      </w:r>
      <w:r>
        <w:rPr>
          <w:rFonts w:hint="eastAsia" w:ascii="宋体" w:hAnsi="宋体"/>
        </w:rPr>
        <w:t>万元。</w:t>
      </w:r>
    </w:p>
    <w:p>
      <w:pPr>
        <w:ind w:firstLine="645"/>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jc w:val="center"/>
        <w:rPr>
          <w:rFonts w:eastAsia="黑体"/>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w:t>
      </w:r>
      <w:r>
        <w:rPr>
          <w:rFonts w:hint="eastAsia"/>
          <w:szCs w:val="32"/>
          <w:lang w:val="en-US" w:eastAsia="zh-CN"/>
        </w:rPr>
        <w:t>单位</w:t>
      </w:r>
      <w:r>
        <w:rPr>
          <w:rFonts w:hint="eastAsia"/>
          <w:szCs w:val="32"/>
        </w:rPr>
        <w:t>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w:t>
      </w:r>
      <w:r>
        <w:rPr>
          <w:rFonts w:hint="eastAsia"/>
          <w:szCs w:val="32"/>
          <w:lang w:val="en-US" w:eastAsia="zh-CN"/>
        </w:rPr>
        <w:t>主</w:t>
      </w:r>
      <w:r>
        <w:rPr>
          <w:rFonts w:hint="eastAsia"/>
          <w:szCs w:val="32"/>
          <w:lang w:eastAsia="zh-CN"/>
        </w:rPr>
        <w:t>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w:t>
      </w:r>
      <w:r>
        <w:rPr>
          <w:rFonts w:hint="eastAsia"/>
          <w:szCs w:val="32"/>
          <w:lang w:val="en-US" w:eastAsia="zh-CN"/>
        </w:rPr>
        <w:t>单位</w:t>
      </w:r>
      <w:r>
        <w:rPr>
          <w:szCs w:val="32"/>
        </w:rPr>
        <w:t>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w:t>
      </w:r>
      <w:r>
        <w:rPr>
          <w:rFonts w:hint="eastAsia"/>
          <w:lang w:val="en-US" w:eastAsia="zh-CN"/>
        </w:rPr>
        <w:t>单位</w:t>
      </w:r>
      <w:r>
        <w:rPr>
          <w:rFonts w:hint="eastAsia"/>
        </w:rPr>
        <w:t>预算安排的项目支出在一定期限内预期达到的产出和效果。</w:t>
      </w:r>
    </w:p>
    <w:p>
      <w:pPr>
        <w:spacing w:line="540" w:lineRule="exact"/>
        <w:ind w:firstLine="640" w:firstLineChars="200"/>
        <w:rPr>
          <w:rFonts w:eastAsia="楷体"/>
          <w:szCs w:val="32"/>
        </w:rPr>
      </w:pPr>
    </w:p>
    <w:p>
      <w:pPr>
        <w:spacing w:line="540" w:lineRule="exact"/>
        <w:rPr>
          <w:rFonts w:eastAsia="楷体"/>
          <w:szCs w:val="32"/>
        </w:rPr>
      </w:pPr>
    </w:p>
    <w:p>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5bwaPwwEAAHEDAAAOAAAAAAAAAAEAIAAAAB4BAABkcnMvZTJvRG9jLnhtbFBL&#10;BQYAAAAABgAGAFkBAABT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4Ci0k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3D57286"/>
    <w:rsid w:val="0486486A"/>
    <w:rsid w:val="04954460"/>
    <w:rsid w:val="04B818D1"/>
    <w:rsid w:val="050D06DA"/>
    <w:rsid w:val="051448F8"/>
    <w:rsid w:val="05310B72"/>
    <w:rsid w:val="05513E94"/>
    <w:rsid w:val="056F5A6D"/>
    <w:rsid w:val="059B3770"/>
    <w:rsid w:val="063949A0"/>
    <w:rsid w:val="06BD5BC7"/>
    <w:rsid w:val="06F008FF"/>
    <w:rsid w:val="077E1262"/>
    <w:rsid w:val="079E5032"/>
    <w:rsid w:val="09015F14"/>
    <w:rsid w:val="091C5C63"/>
    <w:rsid w:val="09421190"/>
    <w:rsid w:val="09A0082A"/>
    <w:rsid w:val="0A00435B"/>
    <w:rsid w:val="0AAA1697"/>
    <w:rsid w:val="0ABA06FE"/>
    <w:rsid w:val="0B49202F"/>
    <w:rsid w:val="0B5F5ADA"/>
    <w:rsid w:val="0B956BE6"/>
    <w:rsid w:val="0C2A5C84"/>
    <w:rsid w:val="0C4F64D9"/>
    <w:rsid w:val="0C583939"/>
    <w:rsid w:val="0C6D1BAE"/>
    <w:rsid w:val="0D2A2435"/>
    <w:rsid w:val="0DA001B0"/>
    <w:rsid w:val="0DEB170B"/>
    <w:rsid w:val="0E4C7841"/>
    <w:rsid w:val="0E97506F"/>
    <w:rsid w:val="0EAF340D"/>
    <w:rsid w:val="0F3E0406"/>
    <w:rsid w:val="0F980230"/>
    <w:rsid w:val="0FD62F63"/>
    <w:rsid w:val="0FDE2A27"/>
    <w:rsid w:val="10AE7F82"/>
    <w:rsid w:val="10C93B35"/>
    <w:rsid w:val="11177619"/>
    <w:rsid w:val="112605C8"/>
    <w:rsid w:val="11A6707B"/>
    <w:rsid w:val="11B35B2F"/>
    <w:rsid w:val="12E711B7"/>
    <w:rsid w:val="13546C8E"/>
    <w:rsid w:val="136D62BD"/>
    <w:rsid w:val="136E4388"/>
    <w:rsid w:val="13F21722"/>
    <w:rsid w:val="1441443C"/>
    <w:rsid w:val="14C12787"/>
    <w:rsid w:val="15593E10"/>
    <w:rsid w:val="1565460F"/>
    <w:rsid w:val="159F7E25"/>
    <w:rsid w:val="15F848D0"/>
    <w:rsid w:val="160E1FA5"/>
    <w:rsid w:val="160F2600"/>
    <w:rsid w:val="16C829AB"/>
    <w:rsid w:val="16DD34F5"/>
    <w:rsid w:val="17765BCA"/>
    <w:rsid w:val="17775522"/>
    <w:rsid w:val="17A027D8"/>
    <w:rsid w:val="17CC2625"/>
    <w:rsid w:val="19132BE0"/>
    <w:rsid w:val="191F4716"/>
    <w:rsid w:val="1954649C"/>
    <w:rsid w:val="19C54F1D"/>
    <w:rsid w:val="1A817DF8"/>
    <w:rsid w:val="1A8A6135"/>
    <w:rsid w:val="1A8F455C"/>
    <w:rsid w:val="1ADC594E"/>
    <w:rsid w:val="1ADD0AA9"/>
    <w:rsid w:val="1AEB5252"/>
    <w:rsid w:val="1AF12837"/>
    <w:rsid w:val="1B8A03E4"/>
    <w:rsid w:val="1B9C1459"/>
    <w:rsid w:val="1C65148C"/>
    <w:rsid w:val="1C852172"/>
    <w:rsid w:val="1CA40C0C"/>
    <w:rsid w:val="1CFF4A32"/>
    <w:rsid w:val="1D003925"/>
    <w:rsid w:val="1D833200"/>
    <w:rsid w:val="1DD66D36"/>
    <w:rsid w:val="1E3A3FD0"/>
    <w:rsid w:val="1EB55C07"/>
    <w:rsid w:val="1EE7607D"/>
    <w:rsid w:val="1F351A10"/>
    <w:rsid w:val="1F857EA5"/>
    <w:rsid w:val="1FED47E9"/>
    <w:rsid w:val="206816AC"/>
    <w:rsid w:val="21134335"/>
    <w:rsid w:val="226E581D"/>
    <w:rsid w:val="22A4003E"/>
    <w:rsid w:val="22AA216C"/>
    <w:rsid w:val="23135C25"/>
    <w:rsid w:val="23EC61F6"/>
    <w:rsid w:val="244C543C"/>
    <w:rsid w:val="24624768"/>
    <w:rsid w:val="24A8271E"/>
    <w:rsid w:val="254029E1"/>
    <w:rsid w:val="259B5BC5"/>
    <w:rsid w:val="25EF7FBC"/>
    <w:rsid w:val="25F62C4E"/>
    <w:rsid w:val="26643D6C"/>
    <w:rsid w:val="26FE109D"/>
    <w:rsid w:val="27073E1E"/>
    <w:rsid w:val="27166B10"/>
    <w:rsid w:val="27B04AB3"/>
    <w:rsid w:val="282C3BA1"/>
    <w:rsid w:val="28A63332"/>
    <w:rsid w:val="28C96E8E"/>
    <w:rsid w:val="29527C78"/>
    <w:rsid w:val="29C45F24"/>
    <w:rsid w:val="2B2A0742"/>
    <w:rsid w:val="2B3211D8"/>
    <w:rsid w:val="2C2426E2"/>
    <w:rsid w:val="2C3341D6"/>
    <w:rsid w:val="2D405AAC"/>
    <w:rsid w:val="2D9038E4"/>
    <w:rsid w:val="2DF8796C"/>
    <w:rsid w:val="2EB22F18"/>
    <w:rsid w:val="2EE12108"/>
    <w:rsid w:val="2EED35E3"/>
    <w:rsid w:val="2F0B5068"/>
    <w:rsid w:val="2F23536C"/>
    <w:rsid w:val="2F250383"/>
    <w:rsid w:val="2F63610B"/>
    <w:rsid w:val="2FBC646B"/>
    <w:rsid w:val="300965A3"/>
    <w:rsid w:val="30730D6E"/>
    <w:rsid w:val="308B20C9"/>
    <w:rsid w:val="30B91A70"/>
    <w:rsid w:val="30F84C22"/>
    <w:rsid w:val="310C6AA2"/>
    <w:rsid w:val="31793674"/>
    <w:rsid w:val="31894469"/>
    <w:rsid w:val="32332703"/>
    <w:rsid w:val="32CF2C5D"/>
    <w:rsid w:val="32E14CC1"/>
    <w:rsid w:val="32EE2C61"/>
    <w:rsid w:val="33391D55"/>
    <w:rsid w:val="335402B5"/>
    <w:rsid w:val="339466B2"/>
    <w:rsid w:val="34430945"/>
    <w:rsid w:val="34555AF5"/>
    <w:rsid w:val="34FF687B"/>
    <w:rsid w:val="354C4987"/>
    <w:rsid w:val="35616772"/>
    <w:rsid w:val="35747FFD"/>
    <w:rsid w:val="35EA1663"/>
    <w:rsid w:val="363C4E84"/>
    <w:rsid w:val="364C598E"/>
    <w:rsid w:val="368A3622"/>
    <w:rsid w:val="36B543E5"/>
    <w:rsid w:val="36CC2B0F"/>
    <w:rsid w:val="36FC762F"/>
    <w:rsid w:val="3838492F"/>
    <w:rsid w:val="383A009B"/>
    <w:rsid w:val="3887374F"/>
    <w:rsid w:val="38CB0ABC"/>
    <w:rsid w:val="39041A07"/>
    <w:rsid w:val="39043B77"/>
    <w:rsid w:val="39670895"/>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C75624"/>
    <w:rsid w:val="3EE8108D"/>
    <w:rsid w:val="3F8201A3"/>
    <w:rsid w:val="3FB427C9"/>
    <w:rsid w:val="402675EA"/>
    <w:rsid w:val="40B80EFF"/>
    <w:rsid w:val="41A35364"/>
    <w:rsid w:val="41C31686"/>
    <w:rsid w:val="41C837BC"/>
    <w:rsid w:val="421643AC"/>
    <w:rsid w:val="42982B4E"/>
    <w:rsid w:val="429F5D0C"/>
    <w:rsid w:val="42D83665"/>
    <w:rsid w:val="434A6B47"/>
    <w:rsid w:val="436B1E42"/>
    <w:rsid w:val="438E58CB"/>
    <w:rsid w:val="456D114B"/>
    <w:rsid w:val="45EB670F"/>
    <w:rsid w:val="46AB7C0D"/>
    <w:rsid w:val="46D44808"/>
    <w:rsid w:val="46DA5E03"/>
    <w:rsid w:val="46ED776B"/>
    <w:rsid w:val="479D2523"/>
    <w:rsid w:val="47CF49E6"/>
    <w:rsid w:val="47F66806"/>
    <w:rsid w:val="4866767E"/>
    <w:rsid w:val="48674ED2"/>
    <w:rsid w:val="487708E6"/>
    <w:rsid w:val="48B540F2"/>
    <w:rsid w:val="493F6F72"/>
    <w:rsid w:val="49645F71"/>
    <w:rsid w:val="499F5C68"/>
    <w:rsid w:val="4A52465C"/>
    <w:rsid w:val="4A5C4AC6"/>
    <w:rsid w:val="4A662FBF"/>
    <w:rsid w:val="4AF16062"/>
    <w:rsid w:val="4AFD5AC1"/>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021CA"/>
    <w:rsid w:val="5136104F"/>
    <w:rsid w:val="51465EDE"/>
    <w:rsid w:val="515B05A9"/>
    <w:rsid w:val="52071113"/>
    <w:rsid w:val="52085509"/>
    <w:rsid w:val="522774C4"/>
    <w:rsid w:val="522A7431"/>
    <w:rsid w:val="525A440D"/>
    <w:rsid w:val="52626449"/>
    <w:rsid w:val="52EF1AF7"/>
    <w:rsid w:val="544E511A"/>
    <w:rsid w:val="54741940"/>
    <w:rsid w:val="54810E66"/>
    <w:rsid w:val="54BD611D"/>
    <w:rsid w:val="54C063E4"/>
    <w:rsid w:val="54C2556E"/>
    <w:rsid w:val="54D70AFE"/>
    <w:rsid w:val="55480EEF"/>
    <w:rsid w:val="555314A7"/>
    <w:rsid w:val="569B7F91"/>
    <w:rsid w:val="56D21BED"/>
    <w:rsid w:val="572651B2"/>
    <w:rsid w:val="57AE5C26"/>
    <w:rsid w:val="57DD75A9"/>
    <w:rsid w:val="5801059F"/>
    <w:rsid w:val="58256ABD"/>
    <w:rsid w:val="58C27FDB"/>
    <w:rsid w:val="59472AC7"/>
    <w:rsid w:val="599B1338"/>
    <w:rsid w:val="59D514A6"/>
    <w:rsid w:val="59EC6E09"/>
    <w:rsid w:val="5A8B6EDE"/>
    <w:rsid w:val="5AB343F7"/>
    <w:rsid w:val="5ABF50F2"/>
    <w:rsid w:val="5AF25D13"/>
    <w:rsid w:val="5AF76904"/>
    <w:rsid w:val="5B052E7A"/>
    <w:rsid w:val="5B3D7F7E"/>
    <w:rsid w:val="5B7C7777"/>
    <w:rsid w:val="5BEC6771"/>
    <w:rsid w:val="5C1378B8"/>
    <w:rsid w:val="5C681D31"/>
    <w:rsid w:val="5CA506B9"/>
    <w:rsid w:val="5CF74CE4"/>
    <w:rsid w:val="5D2A4B88"/>
    <w:rsid w:val="5D35492C"/>
    <w:rsid w:val="5D5A7C63"/>
    <w:rsid w:val="5E256F6F"/>
    <w:rsid w:val="5EBD2BD2"/>
    <w:rsid w:val="5F6235A9"/>
    <w:rsid w:val="5F781C91"/>
    <w:rsid w:val="5F9C3547"/>
    <w:rsid w:val="60DC439E"/>
    <w:rsid w:val="614125C2"/>
    <w:rsid w:val="61AA1D1F"/>
    <w:rsid w:val="624C5C52"/>
    <w:rsid w:val="63DF08E4"/>
    <w:rsid w:val="64C04AFD"/>
    <w:rsid w:val="655B219F"/>
    <w:rsid w:val="661A7B69"/>
    <w:rsid w:val="66455323"/>
    <w:rsid w:val="664909C1"/>
    <w:rsid w:val="66635AE4"/>
    <w:rsid w:val="66AE6FBB"/>
    <w:rsid w:val="66C63EB5"/>
    <w:rsid w:val="67043D98"/>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F493CE8"/>
    <w:rsid w:val="6FF50B81"/>
    <w:rsid w:val="70330B9C"/>
    <w:rsid w:val="705C235A"/>
    <w:rsid w:val="709D17BE"/>
    <w:rsid w:val="714213DD"/>
    <w:rsid w:val="715F4347"/>
    <w:rsid w:val="717F272E"/>
    <w:rsid w:val="71EF3A93"/>
    <w:rsid w:val="72783A23"/>
    <w:rsid w:val="728027C6"/>
    <w:rsid w:val="73D62FA6"/>
    <w:rsid w:val="73FE7ACC"/>
    <w:rsid w:val="74556746"/>
    <w:rsid w:val="74743258"/>
    <w:rsid w:val="761B13C4"/>
    <w:rsid w:val="764B6A8A"/>
    <w:rsid w:val="76C17E06"/>
    <w:rsid w:val="76CA67BD"/>
    <w:rsid w:val="76E6298C"/>
    <w:rsid w:val="770021AC"/>
    <w:rsid w:val="774E6400"/>
    <w:rsid w:val="775B0046"/>
    <w:rsid w:val="79700BEF"/>
    <w:rsid w:val="798D552B"/>
    <w:rsid w:val="7A090695"/>
    <w:rsid w:val="7A1D5951"/>
    <w:rsid w:val="7AE175F4"/>
    <w:rsid w:val="7B417685"/>
    <w:rsid w:val="7B5220F0"/>
    <w:rsid w:val="7BA169C0"/>
    <w:rsid w:val="7BC55243"/>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33</Pages>
  <Words>1513</Words>
  <Characters>8625</Characters>
  <Lines>71</Lines>
  <Paragraphs>20</Paragraphs>
  <TotalTime>79</TotalTime>
  <ScaleCrop>false</ScaleCrop>
  <LinksUpToDate>false</LinksUpToDate>
  <CharactersWithSpaces>10118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Administrator</cp:lastModifiedBy>
  <cp:lastPrinted>2025-02-11T03:07:00Z</cp:lastPrinted>
  <dcterms:modified xsi:type="dcterms:W3CDTF">2025-02-18T06:54:52Z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ICV">
    <vt:lpwstr>DCE2488A59ED425F8330D18FE76F5BBB_13</vt:lpwstr>
  </property>
</Properties>
</file>