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eastAsia="zh-CN"/>
        </w:rPr>
        <w:t>吉林市统计局龙潭区分局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（一）监督检查统计法律、法规的贯彻实施情况。</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二</w:t>
      </w:r>
      <w:r>
        <w:rPr>
          <w:rFonts w:hint="eastAsia"/>
          <w:color w:val="000000"/>
          <w:szCs w:val="32"/>
        </w:rPr>
        <w:t>）</w:t>
      </w:r>
      <w:r>
        <w:rPr>
          <w:rFonts w:hint="eastAsia"/>
          <w:color w:val="000000"/>
          <w:szCs w:val="32"/>
        </w:rPr>
        <w:t>组织、管理、实施统计检查，查处统计违法案件。</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三</w:t>
      </w:r>
      <w:r>
        <w:rPr>
          <w:rFonts w:hint="eastAsia"/>
          <w:color w:val="000000"/>
          <w:szCs w:val="32"/>
        </w:rPr>
        <w:t>）</w:t>
      </w:r>
      <w:r>
        <w:rPr>
          <w:rFonts w:hint="eastAsia"/>
          <w:color w:val="000000"/>
          <w:szCs w:val="32"/>
        </w:rPr>
        <w:t>组织、指导各业务部门和基层统计组织的统计工作。</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四</w:t>
      </w:r>
      <w:r>
        <w:rPr>
          <w:rFonts w:hint="eastAsia"/>
          <w:color w:val="000000"/>
          <w:szCs w:val="32"/>
        </w:rPr>
        <w:t>）</w:t>
      </w:r>
      <w:r>
        <w:rPr>
          <w:rFonts w:hint="eastAsia"/>
          <w:color w:val="000000"/>
          <w:szCs w:val="32"/>
        </w:rPr>
        <w:t>逐步开展建立健全和管理统计信息的自动化系统和统计数据体系，组织实施全区统计系统远程数据传输自动化及远程信函网络建设。</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五</w:t>
      </w:r>
      <w:r>
        <w:rPr>
          <w:rFonts w:hint="eastAsia"/>
          <w:color w:val="000000"/>
          <w:szCs w:val="32"/>
        </w:rPr>
        <w:t>）</w:t>
      </w:r>
      <w:r>
        <w:rPr>
          <w:rFonts w:hint="eastAsia"/>
          <w:color w:val="000000"/>
          <w:szCs w:val="32"/>
        </w:rPr>
        <w:t>组织开展全区统计专业干部和系统管理干部业务培训，积极培育和发展信息咨询及有偿服务市场。</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六</w:t>
      </w:r>
      <w:r>
        <w:rPr>
          <w:rFonts w:hint="eastAsia"/>
          <w:color w:val="000000"/>
          <w:szCs w:val="32"/>
        </w:rPr>
        <w:t>）</w:t>
      </w:r>
      <w:r>
        <w:rPr>
          <w:rFonts w:hint="eastAsia"/>
          <w:color w:val="000000"/>
          <w:szCs w:val="32"/>
        </w:rPr>
        <w:t>统一协调会计核算、业务核算和统计核算。</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七</w:t>
      </w:r>
      <w:r>
        <w:rPr>
          <w:rFonts w:hint="eastAsia"/>
          <w:color w:val="000000"/>
          <w:szCs w:val="32"/>
        </w:rPr>
        <w:t>）</w:t>
      </w:r>
      <w:r>
        <w:rPr>
          <w:rFonts w:hint="eastAsia"/>
          <w:color w:val="000000"/>
          <w:szCs w:val="32"/>
        </w:rPr>
        <w:t>贯彻执行国家、省、市制定的统计调查计划、统计制度方法，具体组织落实国民经济和社会发展各专业的全面调查、抽样调查、重点调查和典型调查任务。</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八</w:t>
      </w:r>
      <w:r>
        <w:rPr>
          <w:rFonts w:hint="eastAsia"/>
          <w:color w:val="000000"/>
          <w:szCs w:val="32"/>
        </w:rPr>
        <w:t>）</w:t>
      </w:r>
      <w:r>
        <w:rPr>
          <w:rFonts w:hint="eastAsia"/>
          <w:color w:val="000000"/>
          <w:szCs w:val="32"/>
        </w:rPr>
        <w:t>管理、提供、公布统计资料。</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九</w:t>
      </w:r>
      <w:r>
        <w:rPr>
          <w:rFonts w:hint="eastAsia"/>
          <w:color w:val="000000"/>
          <w:szCs w:val="32"/>
        </w:rPr>
        <w:t>）</w:t>
      </w:r>
      <w:r>
        <w:rPr>
          <w:rFonts w:hint="eastAsia"/>
          <w:color w:val="000000"/>
          <w:szCs w:val="32"/>
        </w:rPr>
        <w:t>统一管理制定全区的统计报表制度，研制建立适应发展市场经济需要的统计报表制度和实施办法。</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十</w:t>
      </w:r>
      <w:r>
        <w:rPr>
          <w:rFonts w:hint="eastAsia"/>
          <w:color w:val="000000"/>
          <w:szCs w:val="32"/>
        </w:rPr>
        <w:t>）</w:t>
      </w:r>
      <w:r>
        <w:rPr>
          <w:rFonts w:hint="eastAsia"/>
          <w:color w:val="000000"/>
          <w:szCs w:val="32"/>
        </w:rPr>
        <w:t>在政府领导下，会同有关部门组织全国性普查工作，统一组织协调全区各乡、街、各部门的社会经济调查，审查指导全区业务部门的统计调查计划。</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十一</w:t>
      </w:r>
      <w:r>
        <w:rPr>
          <w:rFonts w:hint="eastAsia"/>
          <w:color w:val="000000"/>
          <w:szCs w:val="32"/>
        </w:rPr>
        <w:t>）</w:t>
      </w:r>
      <w:r>
        <w:rPr>
          <w:rFonts w:hint="eastAsia"/>
          <w:color w:val="000000"/>
          <w:szCs w:val="32"/>
        </w:rPr>
        <w:t>积极组织开展统计科学理论研究，改革完善统计调查方法，执行国民经济核算体系开展对外统计业务交流。</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十二</w:t>
      </w:r>
      <w:r>
        <w:rPr>
          <w:rFonts w:hint="eastAsia"/>
          <w:color w:val="000000"/>
          <w:szCs w:val="32"/>
        </w:rPr>
        <w:t>）</w:t>
      </w:r>
      <w:r>
        <w:rPr>
          <w:rFonts w:hint="eastAsia"/>
          <w:color w:val="000000"/>
          <w:szCs w:val="32"/>
        </w:rPr>
        <w:t>规划、管理、协调本行政区域内的社会经济统计咨询服务业，进行经营资格审核。</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十三</w:t>
      </w:r>
      <w:r>
        <w:rPr>
          <w:rFonts w:hint="eastAsia"/>
          <w:color w:val="000000"/>
          <w:szCs w:val="32"/>
        </w:rPr>
        <w:t>）</w:t>
      </w:r>
      <w:r>
        <w:rPr>
          <w:rFonts w:hint="eastAsia"/>
          <w:color w:val="000000"/>
          <w:szCs w:val="32"/>
        </w:rPr>
        <w:t>建立健全和管理统计信息自动化系统和统计数据库体系。</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十四</w:t>
      </w:r>
      <w:r>
        <w:rPr>
          <w:rFonts w:hint="eastAsia"/>
          <w:color w:val="000000"/>
          <w:szCs w:val="32"/>
        </w:rPr>
        <w:t>）</w:t>
      </w:r>
      <w:r>
        <w:rPr>
          <w:rFonts w:hint="eastAsia"/>
          <w:color w:val="000000"/>
          <w:szCs w:val="32"/>
        </w:rPr>
        <w:t>组织完成省、市、区党政领导交办的各项临时统计任务。</w:t>
      </w:r>
    </w:p>
    <w:p>
      <w:pPr>
        <w:ind w:firstLine="640" w:firstLineChars="200"/>
        <w:rPr>
          <w:color w:val="000000"/>
          <w:szCs w:val="32"/>
        </w:rPr>
      </w:pPr>
      <w:r>
        <w:rPr>
          <w:rFonts w:hint="eastAsia"/>
          <w:color w:val="000000"/>
          <w:szCs w:val="32"/>
        </w:rPr>
        <w:t>（</w:t>
      </w:r>
      <w:r>
        <w:rPr>
          <w:rFonts w:hint="eastAsia"/>
          <w:color w:val="000000"/>
          <w:szCs w:val="32"/>
          <w:lang w:eastAsia="zh-CN"/>
        </w:rPr>
        <w:t>十五</w:t>
      </w:r>
      <w:r>
        <w:rPr>
          <w:rFonts w:hint="eastAsia"/>
          <w:color w:val="000000"/>
          <w:szCs w:val="32"/>
        </w:rPr>
        <w:t>）积极配合组织管理全区统计专业职务评聘及资格考核工作。</w:t>
      </w:r>
    </w:p>
    <w:p>
      <w:pPr>
        <w:ind w:firstLine="640" w:firstLineChars="200"/>
      </w:pPr>
      <w:r>
        <w:rPr>
          <w:rFonts w:eastAsia="楷体_GB2312"/>
        </w:rPr>
        <w:t>二、机构设置</w:t>
      </w:r>
    </w:p>
    <w:p>
      <w:pPr>
        <w:pStyle w:val="23"/>
        <w:ind w:firstLine="640" w:firstLineChars="200"/>
        <w:rPr>
          <w:rFonts w:hint="eastAsia" w:eastAsia="仿宋_GB2312"/>
        </w:rPr>
      </w:pPr>
      <w:r>
        <w:rPr>
          <w:rFonts w:hint="eastAsia" w:eastAsia="仿宋_GB2312"/>
        </w:rPr>
        <w:t>根据上述职责，吉林市统计局龙潭区分局内设1个机构：综合科。</w:t>
      </w:r>
    </w:p>
    <w:p>
      <w:pPr>
        <w:pStyle w:val="23"/>
        <w:ind w:firstLine="640" w:firstLineChars="200"/>
        <w:rPr>
          <w:rFonts w:eastAsia="仿宋_GB2312"/>
        </w:rPr>
      </w:pPr>
      <w:r>
        <w:rPr>
          <w:rFonts w:hint="eastAsia" w:eastAsia="仿宋_GB2312"/>
        </w:rPr>
        <w:t>无下设预算单位。</w:t>
      </w:r>
    </w:p>
    <w:p>
      <w:pPr>
        <w:pStyle w:val="23"/>
        <w:ind w:firstLine="640" w:firstLineChars="200"/>
        <w:rPr>
          <w:rFonts w:eastAsia="楷体"/>
        </w:rPr>
      </w:pPr>
    </w:p>
    <w:p>
      <w:pPr>
        <w:pStyle w:val="23"/>
        <w:ind w:firstLine="640" w:firstLineChars="200"/>
        <w:rPr>
          <w:rFonts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1182"/>
        <w:gridCol w:w="1158"/>
      </w:tblGrid>
      <w:tr>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2"/>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5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8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149.22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149.22</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115.68</w:t>
            </w:r>
          </w:p>
        </w:tc>
        <w:tc>
          <w:tcPr>
            <w:tcW w:w="118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115.68</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149.22</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149.22</w:t>
            </w: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ascii="Times New Roman" w:hAnsi="Times New Roman" w:eastAsia="宋体" w:cs="Times New Roman"/>
                <w:color w:val="000000"/>
                <w:kern w:val="0"/>
                <w:sz w:val="20"/>
                <w:lang w:val="en-US" w:eastAsia="zh-CN"/>
              </w:rPr>
              <w:t>二、社会保障和就业支出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20.35</w:t>
            </w:r>
          </w:p>
        </w:tc>
        <w:tc>
          <w:tcPr>
            <w:tcW w:w="1182"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20.35</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ascii="Times New Roman" w:hAnsi="Times New Roman" w:eastAsia="宋体" w:cs="Times New Roman"/>
                <w:color w:val="000000"/>
                <w:kern w:val="0"/>
                <w:sz w:val="20"/>
                <w:lang w:val="en-US" w:eastAsia="zh-CN"/>
              </w:rPr>
              <w:t>三、卫生健康支出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5.49</w:t>
            </w:r>
          </w:p>
        </w:tc>
        <w:tc>
          <w:tcPr>
            <w:tcW w:w="1182"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5.49</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ascii="Times New Roman" w:hAnsi="Times New Roman" w:eastAsia="宋体" w:cs="Times New Roman"/>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7.70</w:t>
            </w:r>
          </w:p>
        </w:tc>
        <w:tc>
          <w:tcPr>
            <w:tcW w:w="1182"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7.70</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149.22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149.22</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b/>
                <w:bCs/>
                <w:kern w:val="0"/>
                <w:sz w:val="20"/>
                <w:lang w:val="en-US" w:eastAsia="zh-CN"/>
              </w:rPr>
            </w:pPr>
            <w:r>
              <w:rPr>
                <w:rFonts w:hint="eastAsia" w:eastAsia="宋体"/>
                <w:b w:val="0"/>
                <w:bCs w:val="0"/>
                <w:kern w:val="0"/>
                <w:sz w:val="20"/>
                <w:lang w:val="en-US" w:eastAsia="zh-CN"/>
              </w:rPr>
              <w:t>149.22</w:t>
            </w:r>
          </w:p>
        </w:tc>
        <w:tc>
          <w:tcPr>
            <w:tcW w:w="118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149.22</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149.22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149.22</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149.22</w:t>
            </w:r>
          </w:p>
        </w:tc>
        <w:tc>
          <w:tcPr>
            <w:tcW w:w="1182"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149.22</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808"/>
        <w:gridCol w:w="885"/>
        <w:gridCol w:w="780"/>
        <w:gridCol w:w="480"/>
        <w:gridCol w:w="510"/>
        <w:gridCol w:w="510"/>
        <w:gridCol w:w="495"/>
        <w:gridCol w:w="555"/>
        <w:gridCol w:w="495"/>
        <w:gridCol w:w="525"/>
        <w:gridCol w:w="450"/>
        <w:gridCol w:w="420"/>
        <w:gridCol w:w="450"/>
        <w:gridCol w:w="451"/>
        <w:gridCol w:w="509"/>
        <w:gridCol w:w="387"/>
        <w:gridCol w:w="520"/>
      </w:tblGrid>
      <w:tr>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pPr>
              <w:autoSpaceDN w:val="0"/>
              <w:jc w:val="left"/>
              <w:textAlignment w:val="center"/>
              <w:rPr>
                <w:rFonts w:eastAsia="华文细黑"/>
                <w:color w:val="000000"/>
                <w:sz w:val="20"/>
              </w:rPr>
            </w:pPr>
          </w:p>
        </w:tc>
        <w:tc>
          <w:tcPr>
            <w:tcW w:w="5023"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470" w:type="dxa"/>
            <w:gridSpan w:val="3"/>
            <w:noWrap w:val="0"/>
            <w:vAlign w:val="center"/>
          </w:tcPr>
          <w:p>
            <w:pPr>
              <w:autoSpaceDN w:val="0"/>
              <w:jc w:val="left"/>
              <w:textAlignment w:val="center"/>
              <w:rPr>
                <w:rFonts w:eastAsia="华文细黑"/>
                <w:color w:val="000000"/>
                <w:sz w:val="20"/>
              </w:rPr>
            </w:pPr>
          </w:p>
        </w:tc>
        <w:tc>
          <w:tcPr>
            <w:tcW w:w="420" w:type="dxa"/>
            <w:noWrap w:val="0"/>
            <w:vAlign w:val="center"/>
          </w:tcPr>
          <w:p>
            <w:pPr>
              <w:autoSpaceDN w:val="0"/>
              <w:jc w:val="left"/>
              <w:textAlignment w:val="center"/>
              <w:rPr>
                <w:rFonts w:eastAsia="华文细黑"/>
                <w:color w:val="000000"/>
                <w:sz w:val="20"/>
              </w:rPr>
            </w:pPr>
          </w:p>
        </w:tc>
        <w:tc>
          <w:tcPr>
            <w:tcW w:w="450" w:type="dxa"/>
            <w:noWrap w:val="0"/>
            <w:vAlign w:val="center"/>
          </w:tcPr>
          <w:p>
            <w:pPr>
              <w:autoSpaceDN w:val="0"/>
              <w:jc w:val="left"/>
              <w:textAlignment w:val="center"/>
              <w:rPr>
                <w:rFonts w:eastAsia="华文细黑"/>
                <w:color w:val="000000"/>
                <w:sz w:val="20"/>
              </w:rPr>
            </w:pPr>
          </w:p>
        </w:tc>
        <w:tc>
          <w:tcPr>
            <w:tcW w:w="451" w:type="dxa"/>
            <w:noWrap w:val="0"/>
            <w:vAlign w:val="bottom"/>
          </w:tcPr>
          <w:p>
            <w:pPr>
              <w:autoSpaceDN w:val="0"/>
              <w:jc w:val="right"/>
              <w:textAlignment w:val="bottom"/>
              <w:rPr>
                <w:rFonts w:eastAsia="宋体"/>
                <w:color w:val="000000"/>
                <w:sz w:val="20"/>
              </w:rPr>
            </w:pPr>
          </w:p>
        </w:tc>
        <w:tc>
          <w:tcPr>
            <w:tcW w:w="1416" w:type="dxa"/>
            <w:gridSpan w:val="3"/>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08"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685" w:type="dxa"/>
            <w:gridSpan w:val="10"/>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2737" w:type="dxa"/>
            <w:gridSpan w:val="6"/>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p>
        </w:tc>
        <w:tc>
          <w:tcPr>
            <w:tcW w:w="808" w:type="dxa"/>
            <w:vMerge w:val="continue"/>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p>
        </w:tc>
        <w:tc>
          <w:tcPr>
            <w:tcW w:w="885"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70" w:type="dxa"/>
            <w:gridSpan w:val="3"/>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10" w:type="dxa"/>
            <w:vMerge w:val="restart"/>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20" w:type="dxa"/>
            <w:gridSpan w:val="5"/>
            <w:tcBorders>
              <w:top w:val="single" w:color="000000" w:sz="4" w:space="0"/>
              <w:left w:val="single" w:color="auto" w:sz="4" w:space="0"/>
              <w:right w:val="single" w:color="000000"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20"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10" w:type="dxa"/>
            <w:gridSpan w:val="3"/>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907" w:type="dxa"/>
            <w:gridSpan w:val="2"/>
            <w:tcBorders>
              <w:top w:val="single" w:color="000000" w:sz="4" w:space="0"/>
              <w:left w:val="single" w:color="auto" w:sz="4" w:space="0"/>
              <w:right w:val="single" w:color="000000" w:sz="4" w:space="0"/>
            </w:tcBorders>
            <w:noWrap w:val="0"/>
            <w:vAlign w:val="center"/>
          </w:tcPr>
          <w:p>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hd w:val="clear" w:color="auto" w:fill="FFFFFF"/>
              </w:rPr>
            </w:pPr>
          </w:p>
        </w:tc>
        <w:tc>
          <w:tcPr>
            <w:tcW w:w="80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hd w:val="clear" w:color="auto" w:fill="FFFFFF"/>
                <w:lang w:eastAsia="zh-CN"/>
              </w:rPr>
            </w:pPr>
          </w:p>
        </w:tc>
        <w:tc>
          <w:tcPr>
            <w:tcW w:w="88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1"/>
                <w:szCs w:val="21"/>
                <w:shd w:val="clear" w:color="auto" w:fill="FFFFFF"/>
                <w:lang w:eastAsia="zh-CN"/>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80" w:type="dxa"/>
            <w:tcBorders>
              <w:top w:val="single" w:color="000000" w:sz="4" w:space="0"/>
              <w:left w:val="single" w:color="000000" w:sz="4" w:space="0"/>
              <w:bottom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1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2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5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left"/>
              <w:rPr>
                <w:rFonts w:hint="eastAsia" w:eastAsia="宋体"/>
                <w:color w:val="000000"/>
                <w:sz w:val="20"/>
                <w:szCs w:val="20"/>
                <w:shd w:val="clear" w:color="auto" w:fill="FFFFFF"/>
                <w:lang w:eastAsia="zh-CN"/>
              </w:rPr>
            </w:pPr>
          </w:p>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pPr>
              <w:widowControl/>
              <w:ind w:left="113" w:right="113"/>
              <w:jc w:val="center"/>
              <w:rPr>
                <w:rFonts w:hint="eastAsia" w:eastAsia="宋体"/>
                <w:color w:val="000000"/>
                <w:sz w:val="20"/>
                <w:szCs w:val="20"/>
                <w:shd w:val="clear" w:color="auto" w:fill="FFFFFF"/>
                <w:lang w:eastAsia="zh-CN"/>
              </w:rPr>
            </w:pPr>
          </w:p>
        </w:tc>
        <w:tc>
          <w:tcPr>
            <w:tcW w:w="509"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3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rPr>
              <w:t>吉林市统计局龙潭区分局</w:t>
            </w:r>
          </w:p>
        </w:tc>
        <w:tc>
          <w:tcPr>
            <w:tcW w:w="8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149.22</w:t>
            </w: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149.22</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149.22</w:t>
            </w:r>
          </w:p>
        </w:tc>
        <w:tc>
          <w:tcPr>
            <w:tcW w:w="48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149.22</w:t>
            </w: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149.22</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149.22</w:t>
            </w:r>
          </w:p>
        </w:tc>
        <w:tc>
          <w:tcPr>
            <w:tcW w:w="48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1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10558" w:type="dxa"/>
        <w:jc w:val="center"/>
        <w:tblLayout w:type="fixed"/>
        <w:tblCellMar>
          <w:top w:w="0" w:type="dxa"/>
          <w:left w:w="108" w:type="dxa"/>
          <w:bottom w:w="0" w:type="dxa"/>
          <w:right w:w="108" w:type="dxa"/>
        </w:tblCellMar>
      </w:tblPr>
      <w:tblGrid>
        <w:gridCol w:w="10558"/>
      </w:tblGrid>
      <w:tr>
        <w:trPr>
          <w:trHeight w:val="615" w:hRule="atLeast"/>
          <w:jc w:val="center"/>
        </w:trPr>
        <w:tc>
          <w:tcPr>
            <w:tcW w:w="10558"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960" w:type="dxa"/>
              <w:tblInd w:w="442" w:type="dxa"/>
              <w:tblLayout w:type="fixed"/>
              <w:tblCellMar>
                <w:top w:w="15" w:type="dxa"/>
                <w:left w:w="15" w:type="dxa"/>
                <w:bottom w:w="15" w:type="dxa"/>
                <w:right w:w="15" w:type="dxa"/>
              </w:tblCellMar>
            </w:tblPr>
            <w:tblGrid>
              <w:gridCol w:w="2195"/>
              <w:gridCol w:w="1530"/>
              <w:gridCol w:w="1247"/>
              <w:gridCol w:w="896"/>
              <w:gridCol w:w="351"/>
              <w:gridCol w:w="890"/>
              <w:gridCol w:w="357"/>
              <w:gridCol w:w="939"/>
              <w:gridCol w:w="308"/>
              <w:gridCol w:w="1142"/>
              <w:gridCol w:w="105"/>
            </w:tblGrid>
            <w:tr>
              <w:tblPrEx>
                <w:tblCellMar>
                  <w:top w:w="15" w:type="dxa"/>
                  <w:left w:w="15" w:type="dxa"/>
                  <w:bottom w:w="15" w:type="dxa"/>
                  <w:right w:w="15" w:type="dxa"/>
                </w:tblCellMar>
              </w:tblPrEx>
              <w:trPr>
                <w:gridAfter w:val="1"/>
                <w:wAfter w:w="105" w:type="dxa"/>
                <w:trHeight w:val="636" w:hRule="atLeast"/>
              </w:trPr>
              <w:tc>
                <w:tcPr>
                  <w:tcW w:w="5868" w:type="dxa"/>
                  <w:gridSpan w:val="4"/>
                  <w:tcBorders>
                    <w:bottom w:val="single" w:color="000000" w:sz="4" w:space="0"/>
                  </w:tcBorders>
                  <w:noWrap w:val="0"/>
                  <w:vAlign w:val="center"/>
                </w:tcPr>
                <w:p>
                  <w:pPr>
                    <w:widowControl/>
                    <w:jc w:val="left"/>
                    <w:rPr>
                      <w:rFonts w:eastAsia="华文细黑"/>
                      <w:color w:val="000000"/>
                      <w:kern w:val="0"/>
                      <w:sz w:val="20"/>
                    </w:rPr>
                  </w:pPr>
                </w:p>
              </w:tc>
              <w:tc>
                <w:tcPr>
                  <w:tcW w:w="1241"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450"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195"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530"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FF0000"/>
                      <w:kern w:val="0"/>
                      <w:sz w:val="20"/>
                      <w:lang w:eastAsia="zh-CN"/>
                    </w:rPr>
                  </w:pPr>
                  <w:r>
                    <w:rPr>
                      <w:rFonts w:hint="eastAsia" w:eastAsia="华文细黑"/>
                      <w:color w:val="auto"/>
                      <w:kern w:val="0"/>
                      <w:sz w:val="20"/>
                      <w:lang w:eastAsia="zh-CN"/>
                    </w:rPr>
                    <w:t>合计</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115.68</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79.46</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36.22</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eastAsia="zh-CN"/>
                    </w:rPr>
                    <w:t>统计信息事务</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115.68</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79.46</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36.22</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79.46</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79.46</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eastAsia="zh-CN"/>
                    </w:rPr>
                    <w:t>一般行政管理事务</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36.22</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36.22</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lang w:eastAsia="zh-CN"/>
                    </w:rPr>
                    <w:t>社会保障和就业支出</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20.35</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20.35</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行政事业单位养老支出</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20.35</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20.35</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行政单位离退休</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11.18</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11.18</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机关事业单位基本养老保险缴费支出</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9.17</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9.17</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三、卫生健康支出</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5.49</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5.49</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行政事业单位医疗</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5.49</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5.49</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行政单位医疗</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5.49</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5.49</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四、住房保障支出</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7.70</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7.70</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住房改革支出</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7.70</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7.70</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住房公积金</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7.70</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7.70</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195"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149.22</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113.00</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36.22</w:t>
                  </w: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4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pPr>
    </w:p>
    <w:p/>
    <w:tbl>
      <w:tblPr>
        <w:tblStyle w:val="9"/>
        <w:tblW w:w="0" w:type="auto"/>
        <w:jc w:val="center"/>
        <w:tblLayout w:type="fixed"/>
        <w:tblCellMar>
          <w:top w:w="0" w:type="dxa"/>
          <w:left w:w="108" w:type="dxa"/>
          <w:bottom w:w="0" w:type="dxa"/>
          <w:right w:w="108" w:type="dxa"/>
        </w:tblCellMar>
      </w:tblPr>
      <w:tblGrid>
        <w:gridCol w:w="9960"/>
      </w:tblGrid>
      <w:tr>
        <w:trPr>
          <w:trHeight w:val="11083" w:hRule="atLeast"/>
          <w:jc w:val="center"/>
        </w:trPr>
        <w:tc>
          <w:tcPr>
            <w:tcW w:w="9960" w:type="dxa"/>
            <w:tcBorders>
              <w:top w:val="nil"/>
              <w:left w:val="nil"/>
              <w:bottom w:val="nil"/>
              <w:right w:val="nil"/>
            </w:tcBorders>
            <w:noWrap w:val="0"/>
            <w:vAlign w:val="bottom"/>
          </w:tcPr>
          <w:tbl>
            <w:tblPr>
              <w:tblStyle w:val="9"/>
              <w:tblW w:w="0" w:type="auto"/>
              <w:jc w:val="center"/>
              <w:tblLayout w:type="fixed"/>
              <w:tblCellMar>
                <w:top w:w="0" w:type="dxa"/>
                <w:left w:w="108" w:type="dxa"/>
                <w:bottom w:w="0" w:type="dxa"/>
                <w:right w:w="108" w:type="dxa"/>
              </w:tblCellMar>
            </w:tblPr>
            <w:tblGrid>
              <w:gridCol w:w="9960"/>
            </w:tblGrid>
            <w:tr>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53"/>
                    <w:gridCol w:w="969"/>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553"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69"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149.22</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149.22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149.22</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149.22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2"/>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149.22</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149.22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115.68</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115.68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）社会保障和就业支出</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20.35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20.35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）卫生健康支出</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5.49</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5.49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（四）住房保障支出</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7.70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7.70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969"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right"/>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149.22</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149.22</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149.22</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149.22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p>
                    </w:tc>
                  </w:tr>
                </w:tbl>
                <w:p>
                  <w:pPr>
                    <w:widowControl/>
                    <w:rPr>
                      <w:rFonts w:eastAsia="方正小标宋简体"/>
                      <w:kern w:val="0"/>
                      <w:sz w:val="44"/>
                      <w:szCs w:val="44"/>
                    </w:rPr>
                  </w:pP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115.68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16.73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36.22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115.68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62.73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16.73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36.22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62.73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16.73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36.22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二、</w:t>
                  </w:r>
                  <w:r>
                    <w:rPr>
                      <w:rFonts w:hint="eastAsia" w:eastAsia="宋体"/>
                      <w:color w:val="000000"/>
                      <w:kern w:val="0"/>
                      <w:sz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149.22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113.00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96.27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16.73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rPr>
                  </w:pPr>
                  <w:r>
                    <w:rPr>
                      <w:rFonts w:hint="eastAsia" w:eastAsia="宋体"/>
                      <w:color w:val="000000"/>
                      <w:kern w:val="0"/>
                      <w:sz w:val="20"/>
                      <w:lang w:val="en-US" w:eastAsia="zh-CN"/>
                    </w:rPr>
                    <w:t>36.22</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p>
    <w:p>
      <w:pPr>
        <w:ind w:firstLine="640" w:firstLineChars="200"/>
        <w:rPr>
          <w:rFonts w:eastAsia="楷体"/>
        </w:rPr>
      </w:pPr>
    </w:p>
    <w:p>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417"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宋体"/>
                <w:color w:val="000000"/>
                <w:kern w:val="0"/>
                <w:sz w:val="20"/>
              </w:rPr>
            </w:pPr>
            <w:r>
              <w:rPr>
                <w:rFonts w:hint="eastAsia" w:ascii="Times New Roman" w:hAnsi="Times New Roman" w:eastAsia="宋体" w:cs="Times New Roman"/>
                <w:kern w:val="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84.82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84.82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28.98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28.98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16.31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16.31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kern w:val="0"/>
                <w:sz w:val="20"/>
              </w:rPr>
            </w:pPr>
            <w:r>
              <w:rPr>
                <w:rFonts w:hint="eastAsia" w:ascii="Times New Roman" w:hAnsi="Times New Roman" w:eastAsia="宋体" w:cs="Times New Roman"/>
                <w:kern w:val="0"/>
                <w:sz w:val="20"/>
                <w:lang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9.17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9.17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kern w:val="0"/>
                <w:sz w:val="20"/>
              </w:rPr>
            </w:pPr>
            <w:r>
              <w:rPr>
                <w:rFonts w:hint="eastAsia" w:ascii="Times New Roman" w:hAnsi="Times New Roman" w:eastAsia="宋体" w:cs="Times New Roman"/>
                <w:kern w:val="0"/>
                <w:sz w:val="20"/>
                <w:lang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3.27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kern w:val="0"/>
                <w:sz w:val="20"/>
              </w:rPr>
            </w:pPr>
            <w:r>
              <w:rPr>
                <w:rFonts w:hint="eastAsia" w:ascii="Times New Roman" w:hAnsi="Times New Roman" w:eastAsia="宋体" w:cs="Times New Roman"/>
                <w:kern w:val="0"/>
                <w:sz w:val="20"/>
                <w:lang w:eastAsia="zh-CN"/>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400" w:firstLineChars="200"/>
              <w:jc w:val="left"/>
              <w:rPr>
                <w:rFonts w:eastAsia="宋体"/>
                <w:kern w:val="0"/>
                <w:sz w:val="20"/>
              </w:rPr>
            </w:pPr>
            <w:r>
              <w:rPr>
                <w:rFonts w:hint="eastAsia" w:ascii="Times New Roman" w:hAnsi="Times New Roman" w:eastAsia="宋体" w:cs="Times New Roman"/>
                <w:kern w:val="0"/>
                <w:sz w:val="20"/>
                <w:lang w:eastAsia="zh-CN"/>
              </w:rPr>
              <w:t>其他社会保险缴费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eastAsia="zh-CN"/>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7.70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7.70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eastAsia="zh-CN"/>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ascii="Times New Roman" w:hAnsi="Times New Roman" w:eastAsia="宋体" w:cs="Times New Roman"/>
                <w:kern w:val="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16.23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16.23</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eastAsia="zh-CN"/>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2.28</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0.72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0.72</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0.31</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0.88</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3.41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3.41</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4.08</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2.25</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ascii="Times New Roman" w:hAnsi="Times New Roman" w:eastAsia="宋体" w:cs="Times New Roman"/>
                <w:kern w:val="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11.45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11.18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11.18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kern w:val="0"/>
                <w:sz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pP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ascii="Times New Roman" w:hAnsi="Times New Roman" w:eastAsia="宋体" w:cs="Times New Roman"/>
                <w:kern w:val="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0.50</w:t>
            </w:r>
          </w:p>
        </w:tc>
      </w:tr>
      <w:tr>
        <w:tblPrEx>
          <w:tblCellMar>
            <w:top w:w="0" w:type="dxa"/>
            <w:left w:w="108" w:type="dxa"/>
            <w:bottom w:w="0" w:type="dxa"/>
            <w:right w:w="108" w:type="dxa"/>
          </w:tblCellMar>
        </w:tblPrEx>
        <w:trPr>
          <w:trHeight w:val="28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kern w:val="0"/>
                <w:sz w:val="20"/>
              </w:rPr>
            </w:pPr>
            <w:r>
              <w:rPr>
                <w:rFonts w:hint="eastAsia" w:ascii="Times New Roman" w:hAnsi="Times New Roman" w:eastAsia="宋体" w:cs="Times New Roman"/>
                <w:kern w:val="0"/>
                <w:sz w:val="20"/>
                <w:lang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仿宋_GB2312" w:cs="Times New Roman"/>
                <w:kern w:val="2"/>
                <w:sz w:val="32"/>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0.50</w:t>
            </w:r>
          </w:p>
        </w:tc>
      </w:tr>
    </w:tbl>
    <w:p>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000"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sz w:val="28"/>
                <w:szCs w:val="28"/>
                <w:lang w:val="en-US" w:eastAsia="zh-CN"/>
              </w:rPr>
            </w:pPr>
            <w:r>
              <w:rPr>
                <w:rFonts w:hint="eastAsia"/>
                <w:sz w:val="28"/>
                <w:szCs w:val="28"/>
                <w:lang w:val="en-US" w:eastAsia="zh-CN"/>
              </w:rPr>
              <w:t>说明：本单位2025年度无一般公共预算“三公”经费预算</w:t>
            </w:r>
            <w:bookmarkStart w:id="0" w:name="_GoBack"/>
            <w:bookmarkEnd w:id="0"/>
            <w:r>
              <w:rPr>
                <w:rFonts w:hint="eastAsia"/>
                <w:sz w:val="28"/>
                <w:szCs w:val="28"/>
                <w:lang w:val="en-US" w:eastAsia="zh-CN"/>
              </w:rPr>
              <w:t>，故本表无数据。</w:t>
            </w:r>
          </w:p>
          <w:p>
            <w:pPr>
              <w:widowControl/>
              <w:numPr>
                <w:ilvl w:val="0"/>
                <w:numId w:val="0"/>
              </w:numPr>
              <w:jc w:val="left"/>
              <w:rPr>
                <w:rFonts w:hint="default"/>
                <w:sz w:val="28"/>
                <w:szCs w:val="28"/>
                <w:lang w:val="en-US" w:eastAsia="zh-CN"/>
              </w:rPr>
            </w:pPr>
            <w:r>
              <w:rPr>
                <w:rFonts w:hint="eastAsia"/>
                <w:sz w:val="28"/>
                <w:szCs w:val="28"/>
                <w:lang w:val="en-US" w:eastAsia="zh-CN"/>
              </w:rPr>
              <w:t xml:space="preserve">    </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int="eastAsia" w:hAnsi="楷体" w:eastAsia="楷体"/>
          <w:lang w:val="en-US" w:eastAsia="zh-CN"/>
        </w:rPr>
      </w:pPr>
      <w:r>
        <w:rPr>
          <w:rFonts w:hint="eastAsia" w:hAnsi="楷体" w:eastAsia="楷体"/>
          <w:lang w:val="en-US" w:eastAsia="zh-CN"/>
        </w:rPr>
        <w:t xml:space="preserve">                         </w:t>
      </w:r>
    </w:p>
    <w:p>
      <w:pPr>
        <w:ind w:firstLine="640" w:firstLineChars="200"/>
        <w:rPr>
          <w:rFonts w:hint="eastAsia" w:hAnsi="楷体" w:eastAsia="楷体"/>
          <w:lang w:val="en-US" w:eastAsia="zh-CN"/>
        </w:rPr>
      </w:pPr>
      <w:r>
        <w:rPr>
          <w:rFonts w:hint="eastAsia" w:hAnsi="楷体" w:eastAsia="楷体"/>
          <w:lang w:val="en-US" w:eastAsia="zh-CN"/>
        </w:rPr>
        <w:t xml:space="preserve"> </w:t>
      </w:r>
    </w:p>
    <w:p>
      <w:pPr>
        <w:ind w:firstLine="640" w:firstLineChars="200"/>
        <w:rPr>
          <w:rFonts w:hint="default" w:hAnsi="楷体" w:eastAsia="楷体"/>
          <w:lang w:val="en-US" w:eastAsia="zh-CN"/>
        </w:rPr>
      </w:pPr>
      <w:r>
        <w:rPr>
          <w:rFonts w:hint="eastAsia" w:hAnsi="楷体" w:eastAsia="楷体"/>
          <w:lang w:val="en-US" w:eastAsia="zh-CN"/>
        </w:rPr>
        <w:t xml:space="preserve"> </w:t>
      </w: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hint="eastAsia"/>
          <w:sz w:val="28"/>
          <w:szCs w:val="28"/>
          <w:lang w:val="en-US" w:eastAsia="zh-CN"/>
        </w:rPr>
      </w:pPr>
      <w:r>
        <w:rPr>
          <w:rFonts w:hint="eastAsia"/>
          <w:sz w:val="28"/>
          <w:szCs w:val="28"/>
          <w:lang w:val="en-US" w:eastAsia="zh-CN"/>
        </w:rPr>
        <w:t>说明：本单位2025年度无政府性基金拨款预算，故本表无数据。</w:t>
      </w:r>
    </w:p>
    <w:p>
      <w:pPr>
        <w:spacing w:line="700" w:lineRule="exact"/>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Spec="center" w:tblpY="2081"/>
        <w:tblW w:w="0" w:type="auto"/>
        <w:jc w:val="center"/>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jc w:val="center"/>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jc w:val="center"/>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widowControl/>
        <w:jc w:val="left"/>
        <w:rPr>
          <w:rFonts w:hint="eastAsia"/>
          <w:sz w:val="28"/>
          <w:szCs w:val="28"/>
          <w:lang w:val="en-US" w:eastAsia="zh-CN"/>
        </w:rPr>
      </w:pPr>
      <w:r>
        <w:rPr>
          <w:rFonts w:hint="eastAsia"/>
          <w:sz w:val="28"/>
          <w:szCs w:val="28"/>
          <w:lang w:val="en-US" w:eastAsia="zh-CN"/>
        </w:rPr>
        <w:t>说明：本单位2025年度无国有资本经营预算，故本表无数据。</w:t>
      </w:r>
    </w:p>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pPr w:leftFromText="180" w:rightFromText="180" w:vertAnchor="text" w:horzAnchor="page" w:tblpXSpec="center" w:tblpY="-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35"/>
        <w:gridCol w:w="405"/>
        <w:gridCol w:w="279"/>
        <w:gridCol w:w="636"/>
        <w:gridCol w:w="930"/>
        <w:gridCol w:w="885"/>
        <w:gridCol w:w="450"/>
        <w:gridCol w:w="480"/>
        <w:gridCol w:w="465"/>
        <w:gridCol w:w="450"/>
        <w:gridCol w:w="480"/>
        <w:gridCol w:w="450"/>
        <w:gridCol w:w="465"/>
        <w:gridCol w:w="450"/>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715"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140"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3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3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3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01"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99"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419"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636"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93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730" w:type="dxa"/>
            <w:gridSpan w:val="5"/>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301" w:type="dxa"/>
            <w:gridSpan w:val="5"/>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99"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35"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684" w:type="dxa"/>
            <w:gridSpan w:val="2"/>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636"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93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815"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65" w:type="dxa"/>
            <w:vMerge w:val="restart"/>
            <w:noWrap w:val="0"/>
            <w:vAlign w:val="center"/>
          </w:tcPr>
          <w:p>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5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395"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06"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99"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3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684" w:type="dxa"/>
            <w:gridSpan w:val="2"/>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63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93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8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5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80"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65"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450"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rPr>
            </w:pPr>
          </w:p>
        </w:tc>
        <w:tc>
          <w:tcPr>
            <w:tcW w:w="48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6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56"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9" w:type="dxa"/>
            <w:noWrap w:val="0"/>
            <w:vAlign w:val="center"/>
          </w:tcPr>
          <w:p>
            <w:pPr>
              <w:widowControl/>
              <w:jc w:val="lef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31部门特定目标类项目</w:t>
            </w:r>
          </w:p>
        </w:tc>
        <w:tc>
          <w:tcPr>
            <w:tcW w:w="735" w:type="dxa"/>
            <w:noWrap w:val="0"/>
            <w:vAlign w:val="center"/>
          </w:tcPr>
          <w:p>
            <w:pPr>
              <w:spacing w:line="700" w:lineRule="exact"/>
              <w:jc w:val="center"/>
              <w:rPr>
                <w:rFonts w:ascii="Calibri" w:hAnsi="Calibri" w:eastAsia="楷体"/>
                <w:kern w:val="0"/>
                <w:sz w:val="20"/>
                <w:szCs w:val="20"/>
              </w:rPr>
            </w:pPr>
          </w:p>
        </w:tc>
        <w:tc>
          <w:tcPr>
            <w:tcW w:w="684" w:type="dxa"/>
            <w:gridSpan w:val="2"/>
            <w:noWrap w:val="0"/>
            <w:vAlign w:val="center"/>
          </w:tcPr>
          <w:p>
            <w:pPr>
              <w:spacing w:line="700" w:lineRule="exact"/>
              <w:jc w:val="center"/>
              <w:rPr>
                <w:rFonts w:ascii="Calibri" w:hAnsi="Calibri" w:eastAsia="楷体"/>
                <w:kern w:val="0"/>
                <w:sz w:val="20"/>
                <w:szCs w:val="20"/>
              </w:rPr>
            </w:pPr>
          </w:p>
        </w:tc>
        <w:tc>
          <w:tcPr>
            <w:tcW w:w="636" w:type="dxa"/>
            <w:noWrap w:val="0"/>
            <w:vAlign w:val="center"/>
          </w:tcPr>
          <w:p>
            <w:pPr>
              <w:spacing w:line="700" w:lineRule="exact"/>
              <w:jc w:val="center"/>
              <w:rPr>
                <w:rFonts w:ascii="Calibri" w:hAnsi="Calibri" w:eastAsia="楷体"/>
                <w:kern w:val="0"/>
                <w:sz w:val="20"/>
                <w:szCs w:val="20"/>
              </w:rPr>
            </w:pPr>
          </w:p>
        </w:tc>
        <w:tc>
          <w:tcPr>
            <w:tcW w:w="930"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36.22</w:t>
            </w:r>
          </w:p>
        </w:tc>
        <w:tc>
          <w:tcPr>
            <w:tcW w:w="885"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36.22</w:t>
            </w:r>
          </w:p>
        </w:tc>
        <w:tc>
          <w:tcPr>
            <w:tcW w:w="450" w:type="dxa"/>
            <w:noWrap w:val="0"/>
            <w:vAlign w:val="center"/>
          </w:tcPr>
          <w:p>
            <w:pPr>
              <w:spacing w:line="700" w:lineRule="exact"/>
              <w:jc w:val="center"/>
              <w:rPr>
                <w:rFonts w:ascii="Calibri" w:hAnsi="Calibri" w:eastAsia="楷体"/>
                <w:kern w:val="0"/>
                <w:sz w:val="20"/>
                <w:szCs w:val="20"/>
              </w:rPr>
            </w:pPr>
          </w:p>
        </w:tc>
        <w:tc>
          <w:tcPr>
            <w:tcW w:w="480" w:type="dxa"/>
            <w:noWrap w:val="0"/>
            <w:vAlign w:val="center"/>
          </w:tcPr>
          <w:p>
            <w:pPr>
              <w:spacing w:line="700" w:lineRule="exact"/>
              <w:jc w:val="center"/>
              <w:rPr>
                <w:rFonts w:ascii="Calibri" w:hAnsi="Calibri" w:eastAsia="楷体"/>
                <w:kern w:val="0"/>
                <w:sz w:val="20"/>
                <w:szCs w:val="20"/>
              </w:rPr>
            </w:pPr>
          </w:p>
        </w:tc>
        <w:tc>
          <w:tcPr>
            <w:tcW w:w="465" w:type="dxa"/>
            <w:noWrap w:val="0"/>
            <w:vAlign w:val="center"/>
          </w:tcPr>
          <w:p>
            <w:pPr>
              <w:spacing w:line="700" w:lineRule="exact"/>
              <w:jc w:val="center"/>
              <w:rPr>
                <w:rFonts w:ascii="Calibri" w:hAnsi="Calibri" w:eastAsia="楷体"/>
                <w:kern w:val="0"/>
                <w:sz w:val="20"/>
                <w:szCs w:val="20"/>
              </w:rPr>
            </w:pPr>
          </w:p>
        </w:tc>
        <w:tc>
          <w:tcPr>
            <w:tcW w:w="450" w:type="dxa"/>
            <w:noWrap w:val="0"/>
            <w:vAlign w:val="center"/>
          </w:tcPr>
          <w:p>
            <w:pPr>
              <w:spacing w:line="700" w:lineRule="exact"/>
              <w:jc w:val="center"/>
              <w:rPr>
                <w:rFonts w:ascii="Calibri" w:hAnsi="Calibri" w:eastAsia="楷体"/>
                <w:kern w:val="0"/>
                <w:sz w:val="20"/>
                <w:szCs w:val="20"/>
              </w:rPr>
            </w:pPr>
          </w:p>
        </w:tc>
        <w:tc>
          <w:tcPr>
            <w:tcW w:w="480" w:type="dxa"/>
            <w:noWrap w:val="0"/>
            <w:vAlign w:val="center"/>
          </w:tcPr>
          <w:p>
            <w:pPr>
              <w:spacing w:line="700" w:lineRule="exact"/>
              <w:jc w:val="center"/>
              <w:rPr>
                <w:rFonts w:ascii="Calibri" w:hAnsi="Calibri" w:eastAsia="楷体"/>
                <w:kern w:val="0"/>
                <w:sz w:val="20"/>
                <w:szCs w:val="20"/>
              </w:rPr>
            </w:pPr>
          </w:p>
        </w:tc>
        <w:tc>
          <w:tcPr>
            <w:tcW w:w="450" w:type="dxa"/>
            <w:noWrap w:val="0"/>
            <w:vAlign w:val="center"/>
          </w:tcPr>
          <w:p>
            <w:pPr>
              <w:spacing w:line="700" w:lineRule="exact"/>
              <w:jc w:val="center"/>
              <w:rPr>
                <w:rFonts w:ascii="Calibri" w:hAnsi="Calibri" w:eastAsia="楷体"/>
                <w:kern w:val="0"/>
                <w:sz w:val="20"/>
                <w:szCs w:val="20"/>
              </w:rPr>
            </w:pPr>
          </w:p>
        </w:tc>
        <w:tc>
          <w:tcPr>
            <w:tcW w:w="465" w:type="dxa"/>
            <w:noWrap w:val="0"/>
            <w:vAlign w:val="center"/>
          </w:tcPr>
          <w:p>
            <w:pPr>
              <w:spacing w:line="700" w:lineRule="exact"/>
              <w:jc w:val="center"/>
              <w:rPr>
                <w:rFonts w:ascii="Calibri" w:hAnsi="Calibri" w:eastAsia="楷体"/>
                <w:kern w:val="0"/>
                <w:sz w:val="20"/>
                <w:szCs w:val="20"/>
              </w:rPr>
            </w:pPr>
          </w:p>
        </w:tc>
        <w:tc>
          <w:tcPr>
            <w:tcW w:w="450" w:type="dxa"/>
            <w:noWrap w:val="0"/>
            <w:vAlign w:val="center"/>
          </w:tcPr>
          <w:p>
            <w:pPr>
              <w:spacing w:line="700" w:lineRule="exact"/>
              <w:jc w:val="center"/>
              <w:rPr>
                <w:rFonts w:ascii="Calibri" w:hAnsi="Calibri" w:eastAsia="楷体"/>
                <w:kern w:val="0"/>
                <w:sz w:val="20"/>
                <w:szCs w:val="20"/>
              </w:rPr>
            </w:pPr>
          </w:p>
        </w:tc>
        <w:tc>
          <w:tcPr>
            <w:tcW w:w="456" w:type="dxa"/>
            <w:noWrap w:val="0"/>
            <w:vAlign w:val="center"/>
          </w:tcPr>
          <w:p>
            <w:pPr>
              <w:spacing w:line="700" w:lineRule="exact"/>
              <w:jc w:val="center"/>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9" w:type="dxa"/>
            <w:noWrap w:val="0"/>
            <w:vAlign w:val="center"/>
          </w:tcPr>
          <w:p>
            <w:pPr>
              <w:spacing w:line="700" w:lineRule="exact"/>
              <w:jc w:val="center"/>
              <w:rPr>
                <w:rFonts w:ascii="Calibri" w:hAnsi="Calibri" w:eastAsia="楷体"/>
                <w:kern w:val="0"/>
                <w:sz w:val="20"/>
                <w:szCs w:val="20"/>
              </w:rPr>
            </w:pPr>
          </w:p>
        </w:tc>
        <w:tc>
          <w:tcPr>
            <w:tcW w:w="735" w:type="dxa"/>
            <w:noWrap w:val="0"/>
            <w:vAlign w:val="center"/>
          </w:tcPr>
          <w:p>
            <w:pPr>
              <w:widowControl/>
              <w:jc w:val="left"/>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专项统计业务</w:t>
            </w:r>
          </w:p>
        </w:tc>
        <w:tc>
          <w:tcPr>
            <w:tcW w:w="684" w:type="dxa"/>
            <w:gridSpan w:val="2"/>
            <w:noWrap w:val="0"/>
            <w:vAlign w:val="center"/>
          </w:tcPr>
          <w:p>
            <w:pPr>
              <w:widowControl/>
              <w:jc w:val="left"/>
              <w:rPr>
                <w:rFonts w:hint="eastAsia" w:ascii="Times New Roman" w:hAnsi="Times New Roman" w:eastAsia="宋体" w:cs="Times New Roman"/>
                <w:kern w:val="0"/>
                <w:sz w:val="20"/>
                <w:lang w:val="en-US" w:eastAsia="zh-CN"/>
              </w:rPr>
            </w:pPr>
          </w:p>
        </w:tc>
        <w:tc>
          <w:tcPr>
            <w:tcW w:w="636" w:type="dxa"/>
            <w:noWrap w:val="0"/>
            <w:vAlign w:val="center"/>
          </w:tcPr>
          <w:p>
            <w:pPr>
              <w:spacing w:line="700" w:lineRule="exact"/>
              <w:jc w:val="center"/>
              <w:rPr>
                <w:rFonts w:ascii="Calibri" w:hAnsi="Calibri" w:eastAsia="楷体"/>
                <w:kern w:val="0"/>
                <w:sz w:val="20"/>
                <w:szCs w:val="20"/>
              </w:rPr>
            </w:pPr>
          </w:p>
        </w:tc>
        <w:tc>
          <w:tcPr>
            <w:tcW w:w="930"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36.22</w:t>
            </w:r>
          </w:p>
        </w:tc>
        <w:tc>
          <w:tcPr>
            <w:tcW w:w="885"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36.22</w:t>
            </w:r>
          </w:p>
        </w:tc>
        <w:tc>
          <w:tcPr>
            <w:tcW w:w="450" w:type="dxa"/>
            <w:noWrap w:val="0"/>
            <w:vAlign w:val="center"/>
          </w:tcPr>
          <w:p>
            <w:pPr>
              <w:spacing w:line="700" w:lineRule="exact"/>
              <w:jc w:val="center"/>
              <w:rPr>
                <w:rFonts w:ascii="Calibri" w:hAnsi="Calibri" w:eastAsia="楷体"/>
                <w:kern w:val="0"/>
                <w:sz w:val="20"/>
                <w:szCs w:val="20"/>
              </w:rPr>
            </w:pPr>
          </w:p>
        </w:tc>
        <w:tc>
          <w:tcPr>
            <w:tcW w:w="480" w:type="dxa"/>
            <w:noWrap w:val="0"/>
            <w:vAlign w:val="center"/>
          </w:tcPr>
          <w:p>
            <w:pPr>
              <w:spacing w:line="700" w:lineRule="exact"/>
              <w:jc w:val="center"/>
              <w:rPr>
                <w:rFonts w:ascii="Calibri" w:hAnsi="Calibri" w:eastAsia="楷体"/>
                <w:kern w:val="0"/>
                <w:sz w:val="20"/>
                <w:szCs w:val="20"/>
              </w:rPr>
            </w:pPr>
          </w:p>
        </w:tc>
        <w:tc>
          <w:tcPr>
            <w:tcW w:w="465" w:type="dxa"/>
            <w:noWrap w:val="0"/>
            <w:vAlign w:val="center"/>
          </w:tcPr>
          <w:p>
            <w:pPr>
              <w:spacing w:line="700" w:lineRule="exact"/>
              <w:jc w:val="center"/>
              <w:rPr>
                <w:rFonts w:ascii="Calibri" w:hAnsi="Calibri" w:eastAsia="楷体"/>
                <w:kern w:val="0"/>
                <w:sz w:val="20"/>
                <w:szCs w:val="20"/>
              </w:rPr>
            </w:pPr>
          </w:p>
        </w:tc>
        <w:tc>
          <w:tcPr>
            <w:tcW w:w="450" w:type="dxa"/>
            <w:noWrap w:val="0"/>
            <w:vAlign w:val="center"/>
          </w:tcPr>
          <w:p>
            <w:pPr>
              <w:spacing w:line="700" w:lineRule="exact"/>
              <w:jc w:val="center"/>
              <w:rPr>
                <w:rFonts w:ascii="Calibri" w:hAnsi="Calibri" w:eastAsia="楷体"/>
                <w:kern w:val="0"/>
                <w:sz w:val="20"/>
                <w:szCs w:val="20"/>
              </w:rPr>
            </w:pPr>
          </w:p>
        </w:tc>
        <w:tc>
          <w:tcPr>
            <w:tcW w:w="480" w:type="dxa"/>
            <w:noWrap w:val="0"/>
            <w:vAlign w:val="center"/>
          </w:tcPr>
          <w:p>
            <w:pPr>
              <w:spacing w:line="700" w:lineRule="exact"/>
              <w:jc w:val="center"/>
              <w:rPr>
                <w:rFonts w:ascii="Calibri" w:hAnsi="Calibri" w:eastAsia="楷体"/>
                <w:kern w:val="0"/>
                <w:sz w:val="20"/>
                <w:szCs w:val="20"/>
              </w:rPr>
            </w:pPr>
          </w:p>
        </w:tc>
        <w:tc>
          <w:tcPr>
            <w:tcW w:w="450" w:type="dxa"/>
            <w:noWrap w:val="0"/>
            <w:vAlign w:val="center"/>
          </w:tcPr>
          <w:p>
            <w:pPr>
              <w:spacing w:line="700" w:lineRule="exact"/>
              <w:jc w:val="center"/>
              <w:rPr>
                <w:rFonts w:ascii="Calibri" w:hAnsi="Calibri" w:eastAsia="楷体"/>
                <w:kern w:val="0"/>
                <w:sz w:val="20"/>
                <w:szCs w:val="20"/>
              </w:rPr>
            </w:pPr>
          </w:p>
        </w:tc>
        <w:tc>
          <w:tcPr>
            <w:tcW w:w="465" w:type="dxa"/>
            <w:noWrap w:val="0"/>
            <w:vAlign w:val="center"/>
          </w:tcPr>
          <w:p>
            <w:pPr>
              <w:spacing w:line="700" w:lineRule="exact"/>
              <w:jc w:val="center"/>
              <w:rPr>
                <w:rFonts w:ascii="Calibri" w:hAnsi="Calibri" w:eastAsia="楷体"/>
                <w:kern w:val="0"/>
                <w:sz w:val="20"/>
                <w:szCs w:val="20"/>
              </w:rPr>
            </w:pPr>
          </w:p>
        </w:tc>
        <w:tc>
          <w:tcPr>
            <w:tcW w:w="450" w:type="dxa"/>
            <w:noWrap w:val="0"/>
            <w:vAlign w:val="center"/>
          </w:tcPr>
          <w:p>
            <w:pPr>
              <w:spacing w:line="700" w:lineRule="exact"/>
              <w:jc w:val="center"/>
              <w:rPr>
                <w:rFonts w:ascii="Calibri" w:hAnsi="Calibri" w:eastAsia="楷体"/>
                <w:kern w:val="0"/>
                <w:sz w:val="20"/>
                <w:szCs w:val="20"/>
              </w:rPr>
            </w:pPr>
          </w:p>
        </w:tc>
        <w:tc>
          <w:tcPr>
            <w:tcW w:w="456" w:type="dxa"/>
            <w:noWrap w:val="0"/>
            <w:vAlign w:val="center"/>
          </w:tcPr>
          <w:p>
            <w:pPr>
              <w:spacing w:line="700" w:lineRule="exact"/>
              <w:jc w:val="center"/>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9" w:type="dxa"/>
            <w:noWrap w:val="0"/>
            <w:vAlign w:val="center"/>
          </w:tcPr>
          <w:p>
            <w:pPr>
              <w:spacing w:line="700" w:lineRule="exact"/>
              <w:jc w:val="center"/>
              <w:rPr>
                <w:rFonts w:ascii="Calibri" w:hAnsi="Calibri" w:eastAsia="楷体"/>
                <w:kern w:val="0"/>
                <w:sz w:val="20"/>
                <w:szCs w:val="20"/>
              </w:rPr>
            </w:pPr>
          </w:p>
        </w:tc>
        <w:tc>
          <w:tcPr>
            <w:tcW w:w="735" w:type="dxa"/>
            <w:noWrap w:val="0"/>
            <w:vAlign w:val="center"/>
          </w:tcPr>
          <w:p>
            <w:pPr>
              <w:widowControl/>
              <w:jc w:val="left"/>
              <w:rPr>
                <w:rFonts w:hint="eastAsia" w:ascii="Times New Roman" w:hAnsi="Times New Roman" w:eastAsia="宋体" w:cs="Times New Roman"/>
                <w:kern w:val="0"/>
                <w:sz w:val="20"/>
                <w:lang w:val="en-US" w:eastAsia="zh-CN"/>
              </w:rPr>
            </w:pPr>
          </w:p>
        </w:tc>
        <w:tc>
          <w:tcPr>
            <w:tcW w:w="684" w:type="dxa"/>
            <w:gridSpan w:val="2"/>
            <w:noWrap w:val="0"/>
            <w:vAlign w:val="center"/>
          </w:tcPr>
          <w:p>
            <w:pPr>
              <w:widowControl/>
              <w:jc w:val="left"/>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综合统计业务</w:t>
            </w:r>
          </w:p>
        </w:tc>
        <w:tc>
          <w:tcPr>
            <w:tcW w:w="636" w:type="dxa"/>
            <w:noWrap w:val="0"/>
            <w:vAlign w:val="center"/>
          </w:tcPr>
          <w:p>
            <w:pPr>
              <w:widowControl/>
              <w:jc w:val="left"/>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吉林市统计局龙潭区分局</w:t>
            </w:r>
          </w:p>
        </w:tc>
        <w:tc>
          <w:tcPr>
            <w:tcW w:w="930"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36.22</w:t>
            </w:r>
          </w:p>
        </w:tc>
        <w:tc>
          <w:tcPr>
            <w:tcW w:w="885"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36.22</w:t>
            </w:r>
          </w:p>
        </w:tc>
        <w:tc>
          <w:tcPr>
            <w:tcW w:w="450" w:type="dxa"/>
            <w:noWrap w:val="0"/>
            <w:vAlign w:val="center"/>
          </w:tcPr>
          <w:p>
            <w:pPr>
              <w:spacing w:line="700" w:lineRule="exact"/>
              <w:jc w:val="center"/>
              <w:rPr>
                <w:rFonts w:ascii="Calibri" w:hAnsi="Calibri" w:eastAsia="楷体"/>
                <w:kern w:val="0"/>
                <w:sz w:val="20"/>
                <w:szCs w:val="20"/>
              </w:rPr>
            </w:pPr>
          </w:p>
        </w:tc>
        <w:tc>
          <w:tcPr>
            <w:tcW w:w="480" w:type="dxa"/>
            <w:noWrap w:val="0"/>
            <w:vAlign w:val="center"/>
          </w:tcPr>
          <w:p>
            <w:pPr>
              <w:spacing w:line="700" w:lineRule="exact"/>
              <w:jc w:val="center"/>
              <w:rPr>
                <w:rFonts w:ascii="Calibri" w:hAnsi="Calibri" w:eastAsia="楷体"/>
                <w:kern w:val="0"/>
                <w:sz w:val="20"/>
                <w:szCs w:val="20"/>
              </w:rPr>
            </w:pPr>
          </w:p>
        </w:tc>
        <w:tc>
          <w:tcPr>
            <w:tcW w:w="465" w:type="dxa"/>
            <w:noWrap w:val="0"/>
            <w:vAlign w:val="center"/>
          </w:tcPr>
          <w:p>
            <w:pPr>
              <w:spacing w:line="700" w:lineRule="exact"/>
              <w:jc w:val="center"/>
              <w:rPr>
                <w:rFonts w:ascii="Calibri" w:hAnsi="Calibri" w:eastAsia="楷体"/>
                <w:kern w:val="0"/>
                <w:sz w:val="20"/>
                <w:szCs w:val="20"/>
              </w:rPr>
            </w:pPr>
          </w:p>
        </w:tc>
        <w:tc>
          <w:tcPr>
            <w:tcW w:w="450" w:type="dxa"/>
            <w:noWrap w:val="0"/>
            <w:vAlign w:val="center"/>
          </w:tcPr>
          <w:p>
            <w:pPr>
              <w:spacing w:line="700" w:lineRule="exact"/>
              <w:jc w:val="center"/>
              <w:rPr>
                <w:rFonts w:ascii="Calibri" w:hAnsi="Calibri" w:eastAsia="楷体"/>
                <w:kern w:val="0"/>
                <w:sz w:val="20"/>
                <w:szCs w:val="20"/>
              </w:rPr>
            </w:pPr>
          </w:p>
        </w:tc>
        <w:tc>
          <w:tcPr>
            <w:tcW w:w="480" w:type="dxa"/>
            <w:noWrap w:val="0"/>
            <w:vAlign w:val="center"/>
          </w:tcPr>
          <w:p>
            <w:pPr>
              <w:spacing w:line="700" w:lineRule="exact"/>
              <w:jc w:val="center"/>
              <w:rPr>
                <w:rFonts w:ascii="Calibri" w:hAnsi="Calibri" w:eastAsia="楷体"/>
                <w:kern w:val="0"/>
                <w:sz w:val="20"/>
                <w:szCs w:val="20"/>
              </w:rPr>
            </w:pPr>
          </w:p>
        </w:tc>
        <w:tc>
          <w:tcPr>
            <w:tcW w:w="450" w:type="dxa"/>
            <w:noWrap w:val="0"/>
            <w:vAlign w:val="center"/>
          </w:tcPr>
          <w:p>
            <w:pPr>
              <w:spacing w:line="700" w:lineRule="exact"/>
              <w:jc w:val="center"/>
              <w:rPr>
                <w:rFonts w:ascii="Calibri" w:hAnsi="Calibri" w:eastAsia="楷体"/>
                <w:kern w:val="0"/>
                <w:sz w:val="20"/>
                <w:szCs w:val="20"/>
              </w:rPr>
            </w:pPr>
          </w:p>
        </w:tc>
        <w:tc>
          <w:tcPr>
            <w:tcW w:w="465" w:type="dxa"/>
            <w:noWrap w:val="0"/>
            <w:vAlign w:val="center"/>
          </w:tcPr>
          <w:p>
            <w:pPr>
              <w:spacing w:line="700" w:lineRule="exact"/>
              <w:jc w:val="center"/>
              <w:rPr>
                <w:rFonts w:ascii="Calibri" w:hAnsi="Calibri" w:eastAsia="楷体"/>
                <w:kern w:val="0"/>
                <w:sz w:val="20"/>
                <w:szCs w:val="20"/>
              </w:rPr>
            </w:pPr>
          </w:p>
        </w:tc>
        <w:tc>
          <w:tcPr>
            <w:tcW w:w="450" w:type="dxa"/>
            <w:noWrap w:val="0"/>
            <w:vAlign w:val="center"/>
          </w:tcPr>
          <w:p>
            <w:pPr>
              <w:spacing w:line="700" w:lineRule="exact"/>
              <w:jc w:val="center"/>
              <w:rPr>
                <w:rFonts w:ascii="Calibri" w:hAnsi="Calibri" w:eastAsia="楷体"/>
                <w:kern w:val="0"/>
                <w:sz w:val="20"/>
                <w:szCs w:val="20"/>
              </w:rPr>
            </w:pPr>
          </w:p>
        </w:tc>
        <w:tc>
          <w:tcPr>
            <w:tcW w:w="456" w:type="dxa"/>
            <w:noWrap w:val="0"/>
            <w:vAlign w:val="center"/>
          </w:tcPr>
          <w:p>
            <w:pPr>
              <w:spacing w:line="700" w:lineRule="exact"/>
              <w:jc w:val="center"/>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9" w:type="dxa"/>
            <w:noWrap w:val="0"/>
            <w:vAlign w:val="center"/>
          </w:tcPr>
          <w:p>
            <w:pPr>
              <w:widowControl/>
              <w:jc w:val="center"/>
              <w:rPr>
                <w:rFonts w:hint="eastAsia" w:ascii="Times New Roman" w:hAnsi="Times New Roman" w:eastAsia="宋体" w:cs="Times New Roman"/>
                <w:kern w:val="0"/>
                <w:sz w:val="20"/>
                <w:lang w:eastAsia="zh-CN"/>
              </w:rPr>
            </w:pPr>
            <w:r>
              <w:rPr>
                <w:rFonts w:hint="eastAsia" w:ascii="Times New Roman" w:hAnsi="Times New Roman" w:eastAsia="宋体" w:cs="Times New Roman"/>
                <w:kern w:val="0"/>
                <w:sz w:val="20"/>
                <w:lang w:eastAsia="zh-CN"/>
              </w:rPr>
              <w:t>合计</w:t>
            </w:r>
          </w:p>
        </w:tc>
        <w:tc>
          <w:tcPr>
            <w:tcW w:w="735" w:type="dxa"/>
            <w:noWrap w:val="0"/>
            <w:vAlign w:val="center"/>
          </w:tcPr>
          <w:p>
            <w:pPr>
              <w:widowControl/>
              <w:jc w:val="left"/>
              <w:rPr>
                <w:rFonts w:hint="eastAsia" w:ascii="Times New Roman" w:hAnsi="Times New Roman" w:eastAsia="宋体" w:cs="Times New Roman"/>
                <w:kern w:val="0"/>
                <w:sz w:val="20"/>
                <w:lang w:val="en-US" w:eastAsia="zh-CN"/>
              </w:rPr>
            </w:pPr>
          </w:p>
        </w:tc>
        <w:tc>
          <w:tcPr>
            <w:tcW w:w="684" w:type="dxa"/>
            <w:gridSpan w:val="2"/>
            <w:noWrap w:val="0"/>
            <w:vAlign w:val="center"/>
          </w:tcPr>
          <w:p>
            <w:pPr>
              <w:widowControl/>
              <w:jc w:val="left"/>
              <w:rPr>
                <w:rFonts w:hint="eastAsia" w:ascii="Times New Roman" w:hAnsi="Times New Roman" w:eastAsia="宋体" w:cs="Times New Roman"/>
                <w:kern w:val="0"/>
                <w:sz w:val="20"/>
                <w:lang w:val="en-US" w:eastAsia="zh-CN"/>
              </w:rPr>
            </w:pPr>
          </w:p>
        </w:tc>
        <w:tc>
          <w:tcPr>
            <w:tcW w:w="636" w:type="dxa"/>
            <w:noWrap w:val="0"/>
            <w:vAlign w:val="center"/>
          </w:tcPr>
          <w:p>
            <w:pPr>
              <w:spacing w:line="700" w:lineRule="exact"/>
              <w:jc w:val="center"/>
              <w:rPr>
                <w:rFonts w:ascii="Calibri" w:hAnsi="Calibri" w:eastAsia="楷体"/>
                <w:kern w:val="0"/>
                <w:sz w:val="20"/>
                <w:szCs w:val="20"/>
              </w:rPr>
            </w:pPr>
          </w:p>
        </w:tc>
        <w:tc>
          <w:tcPr>
            <w:tcW w:w="930" w:type="dxa"/>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36.22</w:t>
            </w:r>
          </w:p>
        </w:tc>
        <w:tc>
          <w:tcPr>
            <w:tcW w:w="885" w:type="dxa"/>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ascii="Times New Roman" w:hAnsi="Times New Roman" w:eastAsia="宋体" w:cs="Times New Roman"/>
                <w:kern w:val="0"/>
                <w:sz w:val="20"/>
                <w:lang w:val="en-US" w:eastAsia="zh-CN"/>
              </w:rPr>
              <w:t>36.22</w:t>
            </w:r>
          </w:p>
        </w:tc>
        <w:tc>
          <w:tcPr>
            <w:tcW w:w="450" w:type="dxa"/>
            <w:noWrap w:val="0"/>
            <w:vAlign w:val="center"/>
          </w:tcPr>
          <w:p>
            <w:pPr>
              <w:spacing w:line="700" w:lineRule="exact"/>
              <w:jc w:val="center"/>
              <w:rPr>
                <w:rFonts w:ascii="Calibri" w:hAnsi="Calibri" w:eastAsia="楷体"/>
                <w:kern w:val="0"/>
                <w:sz w:val="20"/>
                <w:szCs w:val="20"/>
              </w:rPr>
            </w:pPr>
          </w:p>
        </w:tc>
        <w:tc>
          <w:tcPr>
            <w:tcW w:w="480" w:type="dxa"/>
            <w:noWrap w:val="0"/>
            <w:vAlign w:val="center"/>
          </w:tcPr>
          <w:p>
            <w:pPr>
              <w:spacing w:line="700" w:lineRule="exact"/>
              <w:jc w:val="center"/>
              <w:rPr>
                <w:rFonts w:ascii="Calibri" w:hAnsi="Calibri" w:eastAsia="楷体"/>
                <w:kern w:val="0"/>
                <w:sz w:val="20"/>
                <w:szCs w:val="20"/>
              </w:rPr>
            </w:pPr>
          </w:p>
        </w:tc>
        <w:tc>
          <w:tcPr>
            <w:tcW w:w="465" w:type="dxa"/>
            <w:noWrap w:val="0"/>
            <w:vAlign w:val="center"/>
          </w:tcPr>
          <w:p>
            <w:pPr>
              <w:spacing w:line="700" w:lineRule="exact"/>
              <w:jc w:val="center"/>
              <w:rPr>
                <w:rFonts w:ascii="Calibri" w:hAnsi="Calibri" w:eastAsia="楷体"/>
                <w:kern w:val="0"/>
                <w:sz w:val="20"/>
                <w:szCs w:val="20"/>
              </w:rPr>
            </w:pPr>
          </w:p>
        </w:tc>
        <w:tc>
          <w:tcPr>
            <w:tcW w:w="450" w:type="dxa"/>
            <w:noWrap w:val="0"/>
            <w:vAlign w:val="center"/>
          </w:tcPr>
          <w:p>
            <w:pPr>
              <w:spacing w:line="700" w:lineRule="exact"/>
              <w:jc w:val="center"/>
              <w:rPr>
                <w:rFonts w:ascii="Calibri" w:hAnsi="Calibri" w:eastAsia="楷体"/>
                <w:kern w:val="0"/>
                <w:sz w:val="20"/>
                <w:szCs w:val="20"/>
              </w:rPr>
            </w:pPr>
          </w:p>
        </w:tc>
        <w:tc>
          <w:tcPr>
            <w:tcW w:w="480" w:type="dxa"/>
            <w:noWrap w:val="0"/>
            <w:vAlign w:val="center"/>
          </w:tcPr>
          <w:p>
            <w:pPr>
              <w:spacing w:line="700" w:lineRule="exact"/>
              <w:jc w:val="center"/>
              <w:rPr>
                <w:rFonts w:ascii="Calibri" w:hAnsi="Calibri" w:eastAsia="楷体"/>
                <w:kern w:val="0"/>
                <w:sz w:val="20"/>
                <w:szCs w:val="20"/>
              </w:rPr>
            </w:pPr>
          </w:p>
        </w:tc>
        <w:tc>
          <w:tcPr>
            <w:tcW w:w="450" w:type="dxa"/>
            <w:noWrap w:val="0"/>
            <w:vAlign w:val="center"/>
          </w:tcPr>
          <w:p>
            <w:pPr>
              <w:spacing w:line="700" w:lineRule="exact"/>
              <w:jc w:val="center"/>
              <w:rPr>
                <w:rFonts w:ascii="Calibri" w:hAnsi="Calibri" w:eastAsia="楷体"/>
                <w:kern w:val="0"/>
                <w:sz w:val="20"/>
                <w:szCs w:val="20"/>
              </w:rPr>
            </w:pPr>
          </w:p>
        </w:tc>
        <w:tc>
          <w:tcPr>
            <w:tcW w:w="465" w:type="dxa"/>
            <w:noWrap w:val="0"/>
            <w:vAlign w:val="center"/>
          </w:tcPr>
          <w:p>
            <w:pPr>
              <w:spacing w:line="700" w:lineRule="exact"/>
              <w:jc w:val="center"/>
              <w:rPr>
                <w:rFonts w:ascii="Calibri" w:hAnsi="Calibri" w:eastAsia="楷体"/>
                <w:kern w:val="0"/>
                <w:sz w:val="20"/>
                <w:szCs w:val="20"/>
              </w:rPr>
            </w:pPr>
          </w:p>
        </w:tc>
        <w:tc>
          <w:tcPr>
            <w:tcW w:w="450" w:type="dxa"/>
            <w:noWrap w:val="0"/>
            <w:vAlign w:val="center"/>
          </w:tcPr>
          <w:p>
            <w:pPr>
              <w:spacing w:line="700" w:lineRule="exact"/>
              <w:jc w:val="center"/>
              <w:rPr>
                <w:rFonts w:ascii="Calibri" w:hAnsi="Calibri" w:eastAsia="楷体"/>
                <w:kern w:val="0"/>
                <w:sz w:val="20"/>
                <w:szCs w:val="20"/>
              </w:rPr>
            </w:pPr>
          </w:p>
        </w:tc>
        <w:tc>
          <w:tcPr>
            <w:tcW w:w="456" w:type="dxa"/>
            <w:noWrap w:val="0"/>
            <w:vAlign w:val="center"/>
          </w:tcPr>
          <w:p>
            <w:pPr>
              <w:spacing w:line="700" w:lineRule="exact"/>
              <w:jc w:val="center"/>
              <w:rPr>
                <w:rFonts w:ascii="Calibri" w:hAnsi="Calibri" w:eastAsia="楷体"/>
                <w:kern w:val="0"/>
                <w:sz w:val="20"/>
                <w:szCs w:val="20"/>
              </w:rPr>
            </w:pPr>
          </w:p>
        </w:tc>
      </w:tr>
    </w:tbl>
    <w:p>
      <w:pPr>
        <w:spacing w:line="700" w:lineRule="exact"/>
        <w:jc w:val="center"/>
        <w:rPr>
          <w:rFonts w:eastAsia="楷体"/>
          <w:kern w:val="0"/>
          <w:szCs w:val="32"/>
        </w:rPr>
      </w:pPr>
    </w:p>
    <w:p>
      <w:pPr>
        <w:rPr>
          <w:rFonts w:eastAsia="楷体"/>
          <w:kern w:val="0"/>
          <w:szCs w:val="32"/>
        </w:rPr>
      </w:pPr>
    </w:p>
    <w:tbl>
      <w:tblPr>
        <w:tblStyle w:val="10"/>
        <w:tblpPr w:leftFromText="180" w:rightFromText="180" w:vertAnchor="text" w:tblpXSpec="center" w:tblpY="33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horzAnchor="page" w:tblpXSpec="center" w:tblpY="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82"/>
        <w:gridCol w:w="840"/>
        <w:gridCol w:w="1497"/>
        <w:gridCol w:w="480"/>
        <w:gridCol w:w="675"/>
        <w:gridCol w:w="810"/>
        <w:gridCol w:w="1237"/>
        <w:gridCol w:w="743"/>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143022003</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吉林市统计局龙潭区分局</w:t>
            </w:r>
          </w:p>
        </w:tc>
        <w:tc>
          <w:tcPr>
            <w:tcW w:w="1082"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综合统计业务费</w:t>
            </w:r>
          </w:p>
        </w:tc>
        <w:tc>
          <w:tcPr>
            <w:tcW w:w="84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36.22</w:t>
            </w:r>
          </w:p>
        </w:tc>
        <w:tc>
          <w:tcPr>
            <w:tcW w:w="149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国家、省市统计局工作要求及县委县政府统计数据需求，组织实施全年规模上工业、资质建筑业、限额以上贸易业、重点服务业及人口变动情况抽样调查任务，做好各专业统计数据的审核验收及上报工作，形成经济月刊、运行服务表及统计年鉴，为县委县政府提供经济运行分析预测所需的统计数据，为社会各界提供行业发展所需的统计服务。</w:t>
            </w:r>
          </w:p>
        </w:tc>
        <w:tc>
          <w:tcPr>
            <w:tcW w:w="48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发布统计数据</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反映发布各类统计数据情况</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rPr>
              <w:t>≥</w:t>
            </w:r>
            <w:r>
              <w:rPr>
                <w:rFonts w:hint="eastAsia" w:ascii="华文细黑" w:hAnsi="华文细黑" w:eastAsia="华文细黑" w:cs="华文细黑"/>
                <w:kern w:val="0"/>
                <w:sz w:val="20"/>
                <w:szCs w:val="20"/>
                <w:vertAlign w:val="baseline"/>
                <w:lang w:val="en-US" w:eastAsia="zh-CN"/>
              </w:rPr>
              <w:t>4次</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9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75"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10"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统计专报篇数</w:t>
            </w:r>
          </w:p>
        </w:tc>
        <w:tc>
          <w:tcPr>
            <w:tcW w:w="123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反映统计专报篇数情况</w:t>
            </w:r>
          </w:p>
        </w:tc>
        <w:tc>
          <w:tcPr>
            <w:tcW w:w="743" w:type="dxa"/>
            <w:tcBorders>
              <w:top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rPr>
              <w:t>≥</w:t>
            </w:r>
            <w:r>
              <w:rPr>
                <w:rFonts w:hint="eastAsia" w:ascii="华文细黑" w:hAnsi="华文细黑" w:eastAsia="华文细黑" w:cs="华文细黑"/>
                <w:kern w:val="0"/>
                <w:sz w:val="20"/>
                <w:szCs w:val="20"/>
                <w:vertAlign w:val="baseline"/>
                <w:lang w:val="en-US" w:eastAsia="zh-CN"/>
              </w:rPr>
              <w:t>36篇</w:t>
            </w:r>
          </w:p>
        </w:tc>
        <w:tc>
          <w:tcPr>
            <w:tcW w:w="539" w:type="dxa"/>
            <w:tcBorders>
              <w:top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9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7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1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123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反映统计分析报告篇数情况</w:t>
            </w:r>
          </w:p>
        </w:tc>
        <w:tc>
          <w:tcPr>
            <w:tcW w:w="743"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rPr>
              <w:t>≥</w:t>
            </w:r>
            <w:r>
              <w:rPr>
                <w:rFonts w:hint="eastAsia" w:ascii="华文细黑" w:hAnsi="华文细黑" w:eastAsia="华文细黑" w:cs="华文细黑"/>
                <w:kern w:val="0"/>
                <w:sz w:val="20"/>
                <w:szCs w:val="20"/>
                <w:vertAlign w:val="baseline"/>
                <w:lang w:val="en-US" w:eastAsia="zh-CN"/>
              </w:rPr>
              <w:t>6篇</w:t>
            </w:r>
          </w:p>
        </w:tc>
        <w:tc>
          <w:tcPr>
            <w:tcW w:w="539"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9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67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1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统计培训人次</w:t>
            </w:r>
          </w:p>
        </w:tc>
        <w:tc>
          <w:tcPr>
            <w:tcW w:w="123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反映统计培训人次情况</w:t>
            </w:r>
          </w:p>
        </w:tc>
        <w:tc>
          <w:tcPr>
            <w:tcW w:w="743"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rPr>
              <w:t>≥</w:t>
            </w:r>
            <w:r>
              <w:rPr>
                <w:rFonts w:hint="eastAsia" w:ascii="华文细黑" w:hAnsi="华文细黑" w:eastAsia="华文细黑" w:cs="华文细黑"/>
                <w:kern w:val="0"/>
                <w:sz w:val="20"/>
                <w:szCs w:val="20"/>
                <w:vertAlign w:val="baseline"/>
                <w:lang w:val="en-US" w:eastAsia="zh-CN"/>
              </w:rPr>
              <w:t>600人次</w:t>
            </w:r>
          </w:p>
        </w:tc>
        <w:tc>
          <w:tcPr>
            <w:tcW w:w="539"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9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8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67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81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统计年鉴印刷成本费用</w:t>
            </w:r>
          </w:p>
        </w:tc>
        <w:tc>
          <w:tcPr>
            <w:tcW w:w="123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编印统计年鉴印刷成本费用</w:t>
            </w:r>
          </w:p>
        </w:tc>
        <w:tc>
          <w:tcPr>
            <w:tcW w:w="743"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rPr>
              <w:t>≤</w:t>
            </w:r>
            <w:r>
              <w:rPr>
                <w:rFonts w:hint="eastAsia" w:ascii="华文细黑" w:hAnsi="华文细黑" w:eastAsia="华文细黑" w:cs="华文细黑"/>
                <w:kern w:val="0"/>
                <w:sz w:val="20"/>
                <w:szCs w:val="20"/>
                <w:vertAlign w:val="baseline"/>
                <w:lang w:val="en-US" w:eastAsia="zh-CN"/>
              </w:rPr>
              <w:t>3.5万元</w:t>
            </w:r>
          </w:p>
        </w:tc>
        <w:tc>
          <w:tcPr>
            <w:tcW w:w="539"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9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8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7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81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w:t>
            </w:r>
          </w:p>
        </w:tc>
        <w:tc>
          <w:tcPr>
            <w:tcW w:w="123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向社会公众提供统计公报篇数</w:t>
            </w:r>
          </w:p>
        </w:tc>
        <w:tc>
          <w:tcPr>
            <w:tcW w:w="743"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rPr>
              <w:t>≥</w:t>
            </w:r>
            <w:r>
              <w:rPr>
                <w:rFonts w:hint="eastAsia" w:ascii="华文细黑" w:hAnsi="华文细黑" w:eastAsia="华文细黑" w:cs="华文细黑"/>
                <w:kern w:val="0"/>
                <w:sz w:val="20"/>
                <w:szCs w:val="20"/>
                <w:vertAlign w:val="baseline"/>
                <w:lang w:val="en-US" w:eastAsia="zh-CN"/>
              </w:rPr>
              <w:t>1次</w:t>
            </w:r>
          </w:p>
        </w:tc>
        <w:tc>
          <w:tcPr>
            <w:tcW w:w="539"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pPr>
        <w:ind w:firstLine="640" w:firstLineChars="200"/>
        <w:jc w:val="cente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预算管理。收入包括：一般公共预算拨款收入等；支出包括：一般公共服务支出、社会保障和就业支出、</w:t>
      </w:r>
      <w:r>
        <w:rPr>
          <w:rFonts w:hint="eastAsia"/>
          <w:szCs w:val="32"/>
          <w:lang w:eastAsia="zh-CN"/>
        </w:rPr>
        <w:t>卫生健康支出</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149.22</w:t>
      </w:r>
      <w:r>
        <w:rPr>
          <w:szCs w:val="32"/>
        </w:rPr>
        <w:t>万元</w:t>
      </w:r>
      <w:r>
        <w:rPr>
          <w:rFonts w:hint="eastAsia"/>
          <w:szCs w:val="32"/>
          <w:lang w:eastAsia="zh-CN"/>
        </w:rPr>
        <w:t>，其中：本年预算</w:t>
      </w:r>
      <w:r>
        <w:rPr>
          <w:rFonts w:hint="eastAsia"/>
          <w:szCs w:val="32"/>
          <w:lang w:val="en-US" w:eastAsia="zh-CN"/>
        </w:rPr>
        <w:t>149.22</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30.50</w:t>
      </w:r>
      <w:r>
        <w:rPr>
          <w:szCs w:val="32"/>
        </w:rPr>
        <w:t>万元，主要原因</w:t>
      </w:r>
      <w:r>
        <w:rPr>
          <w:rFonts w:hint="eastAsia"/>
          <w:szCs w:val="32"/>
          <w:lang w:eastAsia="zh-CN"/>
        </w:rPr>
        <w:t>一</w:t>
      </w:r>
      <w:r>
        <w:rPr>
          <w:szCs w:val="32"/>
        </w:rPr>
        <w:t>是</w:t>
      </w:r>
      <w:r>
        <w:rPr>
          <w:rFonts w:hint="eastAsia"/>
          <w:szCs w:val="32"/>
          <w:lang w:eastAsia="zh-CN"/>
        </w:rPr>
        <w:t>上年度为普查年份，含普查项目预算，本年度无该项目预算；二是本年度压减了综合统计业务费项目预算，致使本年预算较</w:t>
      </w:r>
      <w:r>
        <w:rPr>
          <w:rFonts w:hint="eastAsia"/>
          <w:szCs w:val="32"/>
          <w:lang w:val="en-US" w:eastAsia="zh-CN"/>
        </w:rPr>
        <w:t>2024年减少</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149.22</w:t>
      </w:r>
      <w:r>
        <w:rPr>
          <w:szCs w:val="32"/>
        </w:rPr>
        <w:t>万元，其中：本年收入</w:t>
      </w:r>
      <w:r>
        <w:rPr>
          <w:rFonts w:hint="eastAsia"/>
          <w:szCs w:val="32"/>
          <w:lang w:val="en-US" w:eastAsia="zh-CN"/>
        </w:rPr>
        <w:t>149.22</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149.22</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149.22</w:t>
      </w:r>
      <w:r>
        <w:rPr>
          <w:szCs w:val="32"/>
        </w:rPr>
        <w:t>万元，其中：基本支出</w:t>
      </w:r>
      <w:r>
        <w:rPr>
          <w:rFonts w:hint="eastAsia"/>
          <w:szCs w:val="32"/>
          <w:lang w:val="en-US" w:eastAsia="zh-CN"/>
        </w:rPr>
        <w:t>113</w:t>
      </w:r>
      <w:r>
        <w:rPr>
          <w:szCs w:val="32"/>
        </w:rPr>
        <w:t>万元，占</w:t>
      </w:r>
      <w:r>
        <w:rPr>
          <w:rFonts w:hint="eastAsia"/>
          <w:szCs w:val="32"/>
          <w:lang w:val="en-US" w:eastAsia="zh-CN"/>
        </w:rPr>
        <w:t>75.7</w:t>
      </w:r>
      <w:r>
        <w:rPr>
          <w:szCs w:val="32"/>
        </w:rPr>
        <w:t>%；项目支出</w:t>
      </w:r>
      <w:r>
        <w:rPr>
          <w:rFonts w:hint="eastAsia"/>
          <w:szCs w:val="32"/>
          <w:lang w:val="en-US" w:eastAsia="zh-CN"/>
        </w:rPr>
        <w:t>36.22</w:t>
      </w:r>
      <w:r>
        <w:rPr>
          <w:szCs w:val="32"/>
        </w:rPr>
        <w:t>万元，占</w:t>
      </w:r>
      <w:r>
        <w:rPr>
          <w:rFonts w:hint="eastAsia"/>
          <w:szCs w:val="32"/>
          <w:lang w:val="en-US" w:eastAsia="zh-CN"/>
        </w:rPr>
        <w:t>24.3</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149.22</w:t>
      </w:r>
      <w:r>
        <w:rPr>
          <w:szCs w:val="32"/>
        </w:rPr>
        <w:t>万元，其中：</w:t>
      </w:r>
      <w:r>
        <w:rPr>
          <w:rFonts w:hint="eastAsia"/>
          <w:szCs w:val="32"/>
        </w:rPr>
        <w:t>本年</w:t>
      </w:r>
      <w:r>
        <w:rPr>
          <w:rFonts w:hint="eastAsia"/>
          <w:szCs w:val="32"/>
          <w:lang w:eastAsia="zh-CN"/>
        </w:rPr>
        <w:t>预算</w:t>
      </w:r>
      <w:r>
        <w:rPr>
          <w:rFonts w:hint="eastAsia"/>
          <w:szCs w:val="32"/>
          <w:lang w:val="en-US" w:eastAsia="zh-CN"/>
        </w:rPr>
        <w:t>149.22</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115.68</w:t>
      </w:r>
      <w:r>
        <w:rPr>
          <w:szCs w:val="32"/>
        </w:rPr>
        <w:t>万元，</w:t>
      </w:r>
      <w:r>
        <w:rPr>
          <w:kern w:val="0"/>
          <w:szCs w:val="32"/>
        </w:rPr>
        <w:t>社会保障和就业支出</w:t>
      </w:r>
      <w:r>
        <w:rPr>
          <w:rFonts w:hint="eastAsia"/>
          <w:szCs w:val="32"/>
          <w:lang w:val="en-US" w:eastAsia="zh-CN"/>
        </w:rPr>
        <w:t>20.35</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5.49</w:t>
      </w:r>
      <w:r>
        <w:rPr>
          <w:szCs w:val="32"/>
        </w:rPr>
        <w:t>万元，</w:t>
      </w:r>
      <w:r>
        <w:rPr>
          <w:kern w:val="0"/>
          <w:szCs w:val="32"/>
        </w:rPr>
        <w:t>住房保障支出</w:t>
      </w:r>
      <w:r>
        <w:rPr>
          <w:rFonts w:hint="eastAsia"/>
          <w:szCs w:val="32"/>
          <w:lang w:val="en-US" w:eastAsia="zh-CN"/>
        </w:rPr>
        <w:t>7.70</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149.22</w:t>
      </w:r>
      <w:r>
        <w:rPr>
          <w:szCs w:val="32"/>
        </w:rPr>
        <w:t>万元，其中：基本支出</w:t>
      </w:r>
      <w:r>
        <w:rPr>
          <w:rFonts w:hint="eastAsia"/>
          <w:szCs w:val="32"/>
          <w:lang w:val="en-US" w:eastAsia="zh-CN"/>
        </w:rPr>
        <w:t>113</w:t>
      </w:r>
      <w:r>
        <w:rPr>
          <w:szCs w:val="32"/>
        </w:rPr>
        <w:t>万元，占</w:t>
      </w:r>
      <w:r>
        <w:rPr>
          <w:rFonts w:hint="eastAsia"/>
          <w:szCs w:val="32"/>
          <w:lang w:val="en-US" w:eastAsia="zh-CN"/>
        </w:rPr>
        <w:t>75.7</w:t>
      </w:r>
      <w:r>
        <w:rPr>
          <w:szCs w:val="32"/>
        </w:rPr>
        <w:t>%；项目支出</w:t>
      </w:r>
      <w:r>
        <w:rPr>
          <w:rFonts w:hint="eastAsia"/>
          <w:szCs w:val="32"/>
          <w:lang w:val="en-US" w:eastAsia="zh-CN"/>
        </w:rPr>
        <w:t>36.22</w:t>
      </w:r>
      <w:r>
        <w:rPr>
          <w:szCs w:val="32"/>
        </w:rPr>
        <w:t>万元，占</w:t>
      </w:r>
      <w:r>
        <w:rPr>
          <w:rFonts w:hint="eastAsia"/>
          <w:szCs w:val="32"/>
          <w:lang w:val="en-US" w:eastAsia="zh-CN"/>
        </w:rPr>
        <w:t>24.3</w:t>
      </w:r>
      <w:r>
        <w:rPr>
          <w:szCs w:val="32"/>
        </w:rPr>
        <w:t>%。基本支出中，人员经费</w:t>
      </w:r>
      <w:r>
        <w:rPr>
          <w:rFonts w:hint="eastAsia"/>
          <w:szCs w:val="32"/>
          <w:lang w:val="en-US" w:eastAsia="zh-CN"/>
        </w:rPr>
        <w:t>96.27</w:t>
      </w:r>
      <w:r>
        <w:rPr>
          <w:szCs w:val="32"/>
        </w:rPr>
        <w:t>万元，占</w:t>
      </w:r>
      <w:r>
        <w:rPr>
          <w:rFonts w:hint="eastAsia"/>
          <w:szCs w:val="32"/>
          <w:lang w:val="en-US" w:eastAsia="zh-CN"/>
        </w:rPr>
        <w:t>85.2</w:t>
      </w:r>
      <w:r>
        <w:rPr>
          <w:szCs w:val="32"/>
        </w:rPr>
        <w:t>%；公用经费</w:t>
      </w:r>
      <w:r>
        <w:rPr>
          <w:rFonts w:hint="eastAsia"/>
          <w:szCs w:val="32"/>
          <w:lang w:val="en-US" w:eastAsia="zh-CN"/>
        </w:rPr>
        <w:t>16.73</w:t>
      </w:r>
      <w:r>
        <w:rPr>
          <w:szCs w:val="32"/>
        </w:rPr>
        <w:t>万元，占</w:t>
      </w:r>
      <w:r>
        <w:rPr>
          <w:rFonts w:hint="eastAsia"/>
          <w:szCs w:val="32"/>
          <w:lang w:val="en-US" w:eastAsia="zh-CN"/>
        </w:rPr>
        <w:t>14.8</w:t>
      </w:r>
      <w:r>
        <w:rPr>
          <w:szCs w:val="32"/>
        </w:rPr>
        <w:t>%。</w:t>
      </w:r>
    </w:p>
    <w:p>
      <w:pPr>
        <w:spacing w:line="520" w:lineRule="exact"/>
        <w:ind w:firstLine="640" w:firstLineChars="200"/>
        <w:rPr>
          <w:szCs w:val="32"/>
        </w:rPr>
      </w:pPr>
      <w:r>
        <w:rPr>
          <w:szCs w:val="32"/>
        </w:rPr>
        <w:t>一般公共服务（类）</w:t>
      </w:r>
      <w:r>
        <w:rPr>
          <w:rFonts w:hint="eastAsia"/>
          <w:szCs w:val="32"/>
          <w:lang w:eastAsia="zh-CN"/>
        </w:rPr>
        <w:t>支出</w:t>
      </w:r>
      <w:r>
        <w:rPr>
          <w:rFonts w:hint="eastAsia"/>
          <w:szCs w:val="32"/>
          <w:lang w:val="en-US" w:eastAsia="zh-CN"/>
        </w:rPr>
        <w:t>115.68</w:t>
      </w:r>
      <w:r>
        <w:rPr>
          <w:szCs w:val="32"/>
        </w:rPr>
        <w:t>万元，占</w:t>
      </w:r>
      <w:r>
        <w:rPr>
          <w:rFonts w:hint="eastAsia"/>
          <w:szCs w:val="32"/>
          <w:lang w:val="en-US" w:eastAsia="zh-CN"/>
        </w:rPr>
        <w:t>77.5</w:t>
      </w:r>
      <w:r>
        <w:rPr>
          <w:szCs w:val="32"/>
        </w:rPr>
        <w:t>%，主要用于</w:t>
      </w:r>
      <w:r>
        <w:rPr>
          <w:rFonts w:hint="eastAsia"/>
          <w:szCs w:val="32"/>
        </w:rPr>
        <w:t>保障本单位人员工资发放和机关运行正常开展</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20.35</w:t>
      </w:r>
      <w:r>
        <w:rPr>
          <w:szCs w:val="32"/>
        </w:rPr>
        <w:t>万元，占</w:t>
      </w:r>
      <w:r>
        <w:rPr>
          <w:rFonts w:hint="eastAsia"/>
          <w:szCs w:val="32"/>
          <w:lang w:val="en-US" w:eastAsia="zh-CN"/>
        </w:rPr>
        <w:t>13.6</w:t>
      </w:r>
      <w:r>
        <w:rPr>
          <w:szCs w:val="32"/>
        </w:rPr>
        <w:t>%，主要用于</w:t>
      </w:r>
      <w:r>
        <w:rPr>
          <w:rFonts w:hint="eastAsia"/>
          <w:szCs w:val="32"/>
        </w:rPr>
        <w:t>保障退休职工生活补贴、取暖补贴及机关事业单位基本养老保险缴费。</w:t>
      </w:r>
    </w:p>
    <w:p>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5.49</w:t>
      </w:r>
      <w:r>
        <w:rPr>
          <w:szCs w:val="32"/>
        </w:rPr>
        <w:t>万元，占</w:t>
      </w:r>
      <w:r>
        <w:rPr>
          <w:rFonts w:hint="eastAsia"/>
          <w:szCs w:val="32"/>
          <w:lang w:val="en-US" w:eastAsia="zh-CN"/>
        </w:rPr>
        <w:t>3.7</w:t>
      </w:r>
      <w:r>
        <w:rPr>
          <w:szCs w:val="32"/>
        </w:rPr>
        <w:t>%，主要用于</w:t>
      </w:r>
      <w:r>
        <w:rPr>
          <w:rFonts w:hint="eastAsia"/>
          <w:szCs w:val="32"/>
        </w:rPr>
        <w:t>缴纳在职及退休人员基本医疗保险。</w:t>
      </w:r>
    </w:p>
    <w:p>
      <w:pPr>
        <w:spacing w:line="520" w:lineRule="exact"/>
        <w:ind w:firstLine="640" w:firstLineChars="200"/>
        <w:rPr>
          <w:rFonts w:hint="eastAsia"/>
          <w:szCs w:val="32"/>
        </w:rPr>
      </w:pPr>
      <w:r>
        <w:rPr>
          <w:szCs w:val="32"/>
        </w:rPr>
        <w:t>住房保障（类）支出</w:t>
      </w:r>
      <w:r>
        <w:rPr>
          <w:rFonts w:hint="eastAsia"/>
          <w:szCs w:val="32"/>
          <w:lang w:val="en-US" w:eastAsia="zh-CN"/>
        </w:rPr>
        <w:t>7.70</w:t>
      </w:r>
      <w:r>
        <w:rPr>
          <w:szCs w:val="32"/>
        </w:rPr>
        <w:t>万元，占</w:t>
      </w:r>
      <w:r>
        <w:rPr>
          <w:rFonts w:hint="eastAsia"/>
          <w:szCs w:val="32"/>
          <w:lang w:val="en-US" w:eastAsia="zh-CN"/>
        </w:rPr>
        <w:t>5.2</w:t>
      </w:r>
      <w:r>
        <w:rPr>
          <w:szCs w:val="32"/>
        </w:rPr>
        <w:t>%，主要用于</w:t>
      </w:r>
      <w:r>
        <w:rPr>
          <w:rFonts w:hint="eastAsia"/>
          <w:szCs w:val="32"/>
          <w:lang w:eastAsia="zh-CN"/>
        </w:rPr>
        <w:t>缴纳在职人员住房公积金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113</w:t>
      </w:r>
      <w:r>
        <w:rPr>
          <w:szCs w:val="32"/>
        </w:rPr>
        <w:t>万元，其中：</w:t>
      </w:r>
    </w:p>
    <w:p>
      <w:pPr>
        <w:ind w:firstLine="640" w:firstLineChars="200"/>
        <w:rPr>
          <w:kern w:val="0"/>
          <w:szCs w:val="32"/>
        </w:rPr>
      </w:pPr>
      <w:r>
        <w:rPr>
          <w:szCs w:val="32"/>
        </w:rPr>
        <w:t>人员经费</w:t>
      </w:r>
      <w:r>
        <w:rPr>
          <w:rFonts w:hint="eastAsia"/>
          <w:szCs w:val="32"/>
          <w:lang w:val="en-US" w:eastAsia="zh-CN"/>
        </w:rPr>
        <w:t>96.27</w:t>
      </w:r>
      <w:r>
        <w:rPr>
          <w:szCs w:val="32"/>
        </w:rPr>
        <w:t>万元，主要包括：</w:t>
      </w:r>
      <w:r>
        <w:rPr>
          <w:kern w:val="0"/>
          <w:szCs w:val="32"/>
        </w:rPr>
        <w:t>基本工资、津贴补贴</w:t>
      </w:r>
      <w:r>
        <w:rPr>
          <w:szCs w:val="32"/>
        </w:rPr>
        <w:t>、</w:t>
      </w:r>
      <w:r>
        <w:rPr>
          <w:kern w:val="0"/>
          <w:szCs w:val="32"/>
        </w:rPr>
        <w:t>奖金</w:t>
      </w:r>
      <w:r>
        <w:rPr>
          <w:rFonts w:hint="eastAsia"/>
          <w:szCs w:val="32"/>
          <w:lang w:eastAsia="zh-CN"/>
        </w:rPr>
        <w:t>、机关事业单位基本养老保险缴费、职工基本医疗保险缴费、公务员医疗补助缴费、其他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rFonts w:hint="eastAsia"/>
          <w:kern w:val="0"/>
          <w:szCs w:val="32"/>
        </w:rPr>
        <w:t>其他工资福利支出</w:t>
      </w:r>
      <w:r>
        <w:rPr>
          <w:rFonts w:hint="eastAsia"/>
          <w:kern w:val="0"/>
          <w:szCs w:val="32"/>
          <w:lang w:eastAsia="zh-CN"/>
        </w:rPr>
        <w:t>；</w:t>
      </w:r>
      <w:r>
        <w:rPr>
          <w:rFonts w:hint="eastAsia"/>
          <w:kern w:val="0"/>
          <w:szCs w:val="32"/>
        </w:rPr>
        <w:t>退休费、其他对个人和家庭的补助</w:t>
      </w:r>
      <w:r>
        <w:rPr>
          <w:kern w:val="0"/>
          <w:szCs w:val="32"/>
        </w:rPr>
        <w:t>。</w:t>
      </w:r>
    </w:p>
    <w:p>
      <w:pPr>
        <w:ind w:firstLine="640" w:firstLineChars="200"/>
        <w:rPr>
          <w:szCs w:val="32"/>
        </w:rPr>
      </w:pPr>
      <w:r>
        <w:rPr>
          <w:kern w:val="0"/>
          <w:szCs w:val="32"/>
        </w:rPr>
        <w:t>公用经费</w:t>
      </w:r>
      <w:r>
        <w:rPr>
          <w:rFonts w:hint="eastAsia"/>
          <w:kern w:val="0"/>
          <w:szCs w:val="32"/>
          <w:lang w:val="en-US" w:eastAsia="zh-CN"/>
        </w:rPr>
        <w:t>16.73</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rFonts w:hint="eastAsia"/>
          <w:szCs w:val="32"/>
          <w:lang w:eastAsia="zh-CN"/>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p>
    <w:p>
      <w:pPr>
        <w:ind w:firstLine="640" w:firstLineChars="200"/>
        <w:rPr>
          <w:color w:val="0000FF"/>
          <w:szCs w:val="32"/>
        </w:rPr>
      </w:pPr>
      <w:r>
        <w:rPr>
          <w:szCs w:val="32"/>
        </w:rPr>
        <w:t>3.公务用车购置及运行费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pPr>
        <w:ind w:firstLine="640"/>
        <w:rPr>
          <w:rFonts w:hint="eastAsia"/>
          <w:szCs w:val="32"/>
          <w:lang w:eastAsia="zh-CN"/>
        </w:rPr>
      </w:pPr>
      <w:r>
        <w:rPr>
          <w:rFonts w:hint="eastAsia"/>
          <w:szCs w:val="32"/>
        </w:rPr>
        <w:t>本</w:t>
      </w:r>
      <w:r>
        <w:rPr>
          <w:rFonts w:hint="eastAsia"/>
          <w:szCs w:val="32"/>
          <w:lang w:eastAsia="zh-CN"/>
        </w:rPr>
        <w:t>单位</w:t>
      </w:r>
      <w:r>
        <w:rPr>
          <w:rFonts w:hint="eastAsia"/>
          <w:szCs w:val="32"/>
        </w:rPr>
        <w:t>无政府性基金预算拨款</w:t>
      </w:r>
      <w:r>
        <w:rPr>
          <w:rFonts w:hint="eastAsia"/>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rFonts w:hint="eastAsia"/>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rPr>
        <w:t>本单位1家行政单位</w:t>
      </w:r>
      <w:r>
        <w:rPr>
          <w:szCs w:val="32"/>
        </w:rPr>
        <w:t>的机关运行经费财政拨款预算</w:t>
      </w:r>
      <w:r>
        <w:rPr>
          <w:rFonts w:hint="eastAsia"/>
          <w:szCs w:val="32"/>
          <w:lang w:val="en-US" w:eastAsia="zh-CN"/>
        </w:rPr>
        <w:t>16.73</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0.43</w:t>
      </w:r>
      <w:r>
        <w:rPr>
          <w:szCs w:val="32"/>
        </w:rPr>
        <w:t>万元，下降</w:t>
      </w:r>
      <w:r>
        <w:rPr>
          <w:rFonts w:hint="eastAsia"/>
          <w:szCs w:val="32"/>
          <w:lang w:val="en-US" w:eastAsia="zh-CN"/>
        </w:rPr>
        <w:t>2.5</w:t>
      </w:r>
      <w:r>
        <w:rPr>
          <w:szCs w:val="32"/>
        </w:rPr>
        <w:t>%</w:t>
      </w:r>
      <w:r>
        <w:rPr>
          <w:rFonts w:hint="eastAsia"/>
          <w:szCs w:val="32"/>
        </w:rPr>
        <w:t>，主要原因是按照</w:t>
      </w:r>
      <w:r>
        <w:rPr>
          <w:rFonts w:hint="eastAsia"/>
          <w:szCs w:val="32"/>
          <w:lang w:eastAsia="zh-CN"/>
        </w:rPr>
        <w:t>“过紧日子”</w:t>
      </w:r>
      <w:r>
        <w:rPr>
          <w:rFonts w:hint="eastAsia"/>
          <w:szCs w:val="32"/>
        </w:rPr>
        <w:t>要求压减本年公用经费，致使本年机关运行经费较202</w:t>
      </w:r>
      <w:r>
        <w:rPr>
          <w:rFonts w:hint="eastAsia"/>
          <w:szCs w:val="32"/>
          <w:lang w:val="en-US" w:eastAsia="zh-CN"/>
        </w:rPr>
        <w:t>4</w:t>
      </w:r>
      <w:r>
        <w:rPr>
          <w:rFonts w:hint="eastAsia"/>
          <w:szCs w:val="32"/>
        </w:rPr>
        <w:t>年减少</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szCs w:val="32"/>
        </w:rPr>
      </w:pPr>
      <w:r>
        <w:rPr>
          <w:rFonts w:hint="eastAsia"/>
          <w:szCs w:val="32"/>
        </w:rPr>
        <w:t>本单位无政府采购预算安排。</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36.22</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36.22</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w:t>
      </w:r>
      <w:r>
        <w:rPr>
          <w:rFonts w:hint="eastAsia"/>
        </w:rPr>
        <w:t>202</w:t>
      </w:r>
      <w:r>
        <w:rPr>
          <w:rFonts w:hint="eastAsia"/>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36.22</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8Gj8MBAABxAwAADgAAAGRycy9lMm9Eb2MueG1srVPBjtMwEL0j8Q+W&#10;7zRpDqiK6q6A1aKVVoC08AGuYzeWbI9lu03KB8AfcOLCne/qdzB2mu6y3FZcnPHMeOa9mZf11WgN&#10;OcgQNThGl4uaEukEdNrtGP3y+ebVipKYuOu4AScZPcpIrzYvX6wH38oGejCdDASLuNgOntE+Jd9W&#10;VRS9tDwuwEuHQQXB8oTXsKu6wAesbk3V1PXraoDQ+QBCxoje6ylIN6W+UlKkj0pFmYhhFLGlcoZy&#10;bvNZbda83QXuey3OMPgzUFiuHTa9lLrmiZN90P+UsloEiKDSQoCtQCktZOGAbJb1Ezb3PfeycMHh&#10;RH8ZU/x/ZcWHw6dAdMdoQ4njFld0+vH99PP36dc30izzfAYfW0y795iYxrcw4p5nf0Rnpj2qYPMX&#10;CRGM46SPl+nKMRGRH62a1arGkMDYfMH61cNzH2J6L8GSbDAacH1lqvxwF9OUOqfkbg5utDFlhcb9&#10;5cCa2VNl7BPGbKVxO54JbaE7Ih9ULvbpIXylZEAVMOpQppSYW4dDzoKZjTAb29ngTuBDRhMlk/ku&#10;TcLa+6B3fZFaBhX9m31CpIVAhjH1PqPDvZYRnDWYhfP4XrIe/pT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5bwaPwwEAAHEDAAAOAAAAAAAAAAEAIAAAAB4BAABkcnMvZTJvRG9jLnhtbFBL&#10;BQYAAAAABgAGAFkBAABT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2505075</wp:posOffset>
              </wp:positionH>
              <wp:positionV relativeFrom="paragraph">
                <wp:posOffset>-142875</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- 0 -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left:197.25pt;margin-top:-11.25pt;height:144pt;width:144pt;mso-position-horizontal-relative:margin;mso-wrap-style:none;z-index:251659264;mso-width-relative:page;mso-height-relative:page;" filled="f" stroked="f" coordsize="21600,21600" o:gfxdata="UEsDBAoAAAAAAIdO4kAAAAAAAAAAAAAAAAAEAAAAZHJzL1BLAwQUAAAACACHTuJAqaKR1tcAAAAL&#10;AQAADwAAAGRycy9kb3ducmV2LnhtbE2PPU/DMBCGdyT+g3VIbK3TQEKa5tKhEgsbBSGxufE1jvBH&#10;ZLtp8u9xJ9je0z1677lmPxvNJvJhcBZhs86Ake2cHGyP8PnxuqqAhSisFNpZQlgowL69v2tELd3V&#10;vtN0jD1LJTbUAkHFONach06REWHtRrJpd3beiJhG33PpxTWVG83zLCu5EYNNF5QY6aCo+zleDMLL&#10;/OVoDHSg7/PUeTUslX5bEB8fNtkOWKQ5/sFw00/q0Cank7tYGZhGeNo+FwlFWOV5Cokoq1s4IeRl&#10;UQBvG/7/h/YXUEsDBBQAAAAIAIdO4kD4Ci0krgEAAEsDAAAOAAAAZHJzL2Uyb0RvYy54bWytU0tu&#10;2zAQ3QfoHQjuaypeFIJgOWgRpChQNAHSHICmSIsAf+DQlnyB5gZZZZN9z+VzdEhLTtruim6o4czw&#10;zXszo9XVaA3Zywjau5ZeLipKpBO+027b0ofvN+9rSiBx13HjnWzpQQK9Wr+7WA2hkUvfe9PJSBDE&#10;QTOElvYphYYxEL20HBY+SIdB5aPlCa9xy7rIB0S3hi2r6gMbfOxC9EICoPf6FKTrgq+UFOlWKZCJ&#10;mJYit1TOWM5NPtl6xZtt5KHXYqLB/4GF5dph0TPUNU+c7KL+C8pqET14lRbCW+aV0kIWDajmsvpD&#10;zX3PgyxasDkQzm2C/wcrvu3vItEdzo4Sxy2O6Pj0eHz+eXz5QercniFAg1n3AfPS+MmPOXXyAzqz&#10;6lFFm7+oh2AcG304N1eOiYj8qF7WdYUhgbH5gjjs9XmIkD5Lb0k2WhpxeqWpfP8V0il1TsnVnL/R&#10;xqCfN8b95kDM7GGZ+4ljttK4GSfiG98dUM+Ag2+pw82kxHxx2Ne8I7MRZ2MzG7sQ9bYvS5TrQfi4&#10;S0iicMsVTrBTYZxYUTdtV16Jt/eS9foP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aKR1tcA&#10;AAALAQAADwAAAAAAAAABACAAAAAiAAAAZHJzL2Rvd25yZXYueG1sUEsBAhQAFAAAAAgAh07iQPgK&#10;LSSuAQAASwMAAA4AAAAAAAAAAQAgAAAAJgEAAGRycy9lMm9Eb2MueG1sUEsFBgAAAAAGAAYAWQEA&#10;AEY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- 0 -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250E60"/>
    <w:rsid w:val="0486486A"/>
    <w:rsid w:val="04954460"/>
    <w:rsid w:val="04B818D1"/>
    <w:rsid w:val="050D06DA"/>
    <w:rsid w:val="051448F8"/>
    <w:rsid w:val="05310B72"/>
    <w:rsid w:val="05513E94"/>
    <w:rsid w:val="056F5A6D"/>
    <w:rsid w:val="059B3770"/>
    <w:rsid w:val="063949A0"/>
    <w:rsid w:val="06BD5BC7"/>
    <w:rsid w:val="06BE6FA4"/>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BC6FAA"/>
    <w:rsid w:val="10C93B35"/>
    <w:rsid w:val="11177619"/>
    <w:rsid w:val="112605C8"/>
    <w:rsid w:val="11A6707B"/>
    <w:rsid w:val="11B35B2F"/>
    <w:rsid w:val="12CA625A"/>
    <w:rsid w:val="12E711B7"/>
    <w:rsid w:val="136D62BD"/>
    <w:rsid w:val="136E4388"/>
    <w:rsid w:val="13F21722"/>
    <w:rsid w:val="1441443C"/>
    <w:rsid w:val="14C12787"/>
    <w:rsid w:val="150E7602"/>
    <w:rsid w:val="152F0AB3"/>
    <w:rsid w:val="15593E10"/>
    <w:rsid w:val="159F7E25"/>
    <w:rsid w:val="15DC70D7"/>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19559A"/>
    <w:rsid w:val="1D833200"/>
    <w:rsid w:val="1E3A3FD0"/>
    <w:rsid w:val="1EB55C07"/>
    <w:rsid w:val="1F351A10"/>
    <w:rsid w:val="1F857EA5"/>
    <w:rsid w:val="1FED47E9"/>
    <w:rsid w:val="20315C79"/>
    <w:rsid w:val="206816AC"/>
    <w:rsid w:val="21134335"/>
    <w:rsid w:val="226E581D"/>
    <w:rsid w:val="22A4003E"/>
    <w:rsid w:val="23135C25"/>
    <w:rsid w:val="23EC61F6"/>
    <w:rsid w:val="241C50E4"/>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6541EC"/>
    <w:rsid w:val="29C45F24"/>
    <w:rsid w:val="2D405AAC"/>
    <w:rsid w:val="2D9038E4"/>
    <w:rsid w:val="2DF66FFF"/>
    <w:rsid w:val="2DF8796C"/>
    <w:rsid w:val="2E8B0395"/>
    <w:rsid w:val="2EB22F18"/>
    <w:rsid w:val="2EE12108"/>
    <w:rsid w:val="2EED35E3"/>
    <w:rsid w:val="2F0B5068"/>
    <w:rsid w:val="2F250383"/>
    <w:rsid w:val="2F63610B"/>
    <w:rsid w:val="2FBC646B"/>
    <w:rsid w:val="300965A3"/>
    <w:rsid w:val="30730D6E"/>
    <w:rsid w:val="308B20C9"/>
    <w:rsid w:val="30B91A70"/>
    <w:rsid w:val="30F84C22"/>
    <w:rsid w:val="310C6AA2"/>
    <w:rsid w:val="3168146B"/>
    <w:rsid w:val="31793674"/>
    <w:rsid w:val="31894469"/>
    <w:rsid w:val="32332703"/>
    <w:rsid w:val="3294668D"/>
    <w:rsid w:val="32CF2C5D"/>
    <w:rsid w:val="32EE2C61"/>
    <w:rsid w:val="33303CCE"/>
    <w:rsid w:val="33391D55"/>
    <w:rsid w:val="335402B5"/>
    <w:rsid w:val="339466B2"/>
    <w:rsid w:val="34555AF5"/>
    <w:rsid w:val="34FF687B"/>
    <w:rsid w:val="354C4987"/>
    <w:rsid w:val="35616772"/>
    <w:rsid w:val="35EA1663"/>
    <w:rsid w:val="363C4E84"/>
    <w:rsid w:val="364C598E"/>
    <w:rsid w:val="366177CC"/>
    <w:rsid w:val="368A3622"/>
    <w:rsid w:val="36B543E5"/>
    <w:rsid w:val="36CC2B0F"/>
    <w:rsid w:val="36FC762F"/>
    <w:rsid w:val="37E9461B"/>
    <w:rsid w:val="37FC7F48"/>
    <w:rsid w:val="3838492F"/>
    <w:rsid w:val="383A009B"/>
    <w:rsid w:val="3887374F"/>
    <w:rsid w:val="388C4ED4"/>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3FE22988"/>
    <w:rsid w:val="3FEF4CF6"/>
    <w:rsid w:val="402675EA"/>
    <w:rsid w:val="40B80EFF"/>
    <w:rsid w:val="40D84A7B"/>
    <w:rsid w:val="417E64AF"/>
    <w:rsid w:val="41A35364"/>
    <w:rsid w:val="41C31686"/>
    <w:rsid w:val="41C837BC"/>
    <w:rsid w:val="421643AC"/>
    <w:rsid w:val="42982B4E"/>
    <w:rsid w:val="429F5D0C"/>
    <w:rsid w:val="42D83665"/>
    <w:rsid w:val="434A6B47"/>
    <w:rsid w:val="436B1E42"/>
    <w:rsid w:val="456D114B"/>
    <w:rsid w:val="45EB670F"/>
    <w:rsid w:val="46AB48AE"/>
    <w:rsid w:val="46AB7C0D"/>
    <w:rsid w:val="46D44808"/>
    <w:rsid w:val="46DA5E03"/>
    <w:rsid w:val="46DC6867"/>
    <w:rsid w:val="46ED776B"/>
    <w:rsid w:val="47460D9C"/>
    <w:rsid w:val="479D2523"/>
    <w:rsid w:val="47CF49E6"/>
    <w:rsid w:val="4866767E"/>
    <w:rsid w:val="48674ED2"/>
    <w:rsid w:val="487708E6"/>
    <w:rsid w:val="48B540F2"/>
    <w:rsid w:val="493F6F72"/>
    <w:rsid w:val="49645F71"/>
    <w:rsid w:val="499F5C68"/>
    <w:rsid w:val="4A4C021F"/>
    <w:rsid w:val="4A52465C"/>
    <w:rsid w:val="4A5C4AC6"/>
    <w:rsid w:val="4A662FBF"/>
    <w:rsid w:val="4AF16062"/>
    <w:rsid w:val="4B0A57E5"/>
    <w:rsid w:val="4B646DDD"/>
    <w:rsid w:val="4B7F44F8"/>
    <w:rsid w:val="4BAC24C5"/>
    <w:rsid w:val="4BFA0656"/>
    <w:rsid w:val="4D3439E8"/>
    <w:rsid w:val="4D3706BC"/>
    <w:rsid w:val="4D4E2809"/>
    <w:rsid w:val="4D730507"/>
    <w:rsid w:val="4D741DD3"/>
    <w:rsid w:val="4DA37C0C"/>
    <w:rsid w:val="4DC93207"/>
    <w:rsid w:val="4E010C4C"/>
    <w:rsid w:val="4E214B2B"/>
    <w:rsid w:val="4E8D5761"/>
    <w:rsid w:val="4EF54A85"/>
    <w:rsid w:val="4EF972C6"/>
    <w:rsid w:val="501B3C66"/>
    <w:rsid w:val="502B3D6C"/>
    <w:rsid w:val="504B40C5"/>
    <w:rsid w:val="50987DC2"/>
    <w:rsid w:val="50A4703E"/>
    <w:rsid w:val="51282B99"/>
    <w:rsid w:val="5136104F"/>
    <w:rsid w:val="51465EDE"/>
    <w:rsid w:val="515B05A9"/>
    <w:rsid w:val="515D559E"/>
    <w:rsid w:val="52071113"/>
    <w:rsid w:val="52085509"/>
    <w:rsid w:val="522774C4"/>
    <w:rsid w:val="522A7431"/>
    <w:rsid w:val="525A440D"/>
    <w:rsid w:val="52606E49"/>
    <w:rsid w:val="52626449"/>
    <w:rsid w:val="544E511A"/>
    <w:rsid w:val="54741940"/>
    <w:rsid w:val="54810E66"/>
    <w:rsid w:val="54C063E4"/>
    <w:rsid w:val="54C2556E"/>
    <w:rsid w:val="54D70AFE"/>
    <w:rsid w:val="55480EEF"/>
    <w:rsid w:val="555314A7"/>
    <w:rsid w:val="569B7F91"/>
    <w:rsid w:val="56D21BED"/>
    <w:rsid w:val="57022B18"/>
    <w:rsid w:val="572651B2"/>
    <w:rsid w:val="572F522D"/>
    <w:rsid w:val="57AE5C26"/>
    <w:rsid w:val="57DD75A9"/>
    <w:rsid w:val="5801059F"/>
    <w:rsid w:val="58256ABD"/>
    <w:rsid w:val="58C27FDB"/>
    <w:rsid w:val="59472AC7"/>
    <w:rsid w:val="59D514A6"/>
    <w:rsid w:val="59EA1AEB"/>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EE12D2B"/>
    <w:rsid w:val="5F6235A9"/>
    <w:rsid w:val="5F781C91"/>
    <w:rsid w:val="60400A6E"/>
    <w:rsid w:val="60DC439E"/>
    <w:rsid w:val="614125C2"/>
    <w:rsid w:val="61AA1D1F"/>
    <w:rsid w:val="624C5C52"/>
    <w:rsid w:val="63DF08E4"/>
    <w:rsid w:val="64C04AFD"/>
    <w:rsid w:val="655B219F"/>
    <w:rsid w:val="661A7B69"/>
    <w:rsid w:val="66455323"/>
    <w:rsid w:val="664909C1"/>
    <w:rsid w:val="664D7161"/>
    <w:rsid w:val="666048AE"/>
    <w:rsid w:val="66635AE4"/>
    <w:rsid w:val="66C63EB5"/>
    <w:rsid w:val="673C6922"/>
    <w:rsid w:val="67592674"/>
    <w:rsid w:val="679461D3"/>
    <w:rsid w:val="6858287E"/>
    <w:rsid w:val="68593A1E"/>
    <w:rsid w:val="68C04D52"/>
    <w:rsid w:val="68D33DE9"/>
    <w:rsid w:val="69157114"/>
    <w:rsid w:val="691A443E"/>
    <w:rsid w:val="69DE2BEB"/>
    <w:rsid w:val="69E203A0"/>
    <w:rsid w:val="6A5B6D7D"/>
    <w:rsid w:val="6A765FBC"/>
    <w:rsid w:val="6A80735F"/>
    <w:rsid w:val="6AC17181"/>
    <w:rsid w:val="6ACC5E47"/>
    <w:rsid w:val="6AD43ED1"/>
    <w:rsid w:val="6B11024D"/>
    <w:rsid w:val="6B7D5B36"/>
    <w:rsid w:val="6C834DAA"/>
    <w:rsid w:val="6C99227E"/>
    <w:rsid w:val="6C993CCE"/>
    <w:rsid w:val="6CF120A8"/>
    <w:rsid w:val="6D72413D"/>
    <w:rsid w:val="6E9F3409"/>
    <w:rsid w:val="6FF50B81"/>
    <w:rsid w:val="6FFC0377"/>
    <w:rsid w:val="70330B9C"/>
    <w:rsid w:val="709D17BE"/>
    <w:rsid w:val="7140343D"/>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55F5D"/>
    <w:rsid w:val="775B0046"/>
    <w:rsid w:val="79700BEF"/>
    <w:rsid w:val="798D552B"/>
    <w:rsid w:val="7A090695"/>
    <w:rsid w:val="7A1D5951"/>
    <w:rsid w:val="7A584A79"/>
    <w:rsid w:val="7AE175F4"/>
    <w:rsid w:val="7B417685"/>
    <w:rsid w:val="7B5220F0"/>
    <w:rsid w:val="7BA169C0"/>
    <w:rsid w:val="7BC55243"/>
    <w:rsid w:val="7C2F4A9A"/>
    <w:rsid w:val="7CAD595B"/>
    <w:rsid w:val="7CF65D07"/>
    <w:rsid w:val="7D2975D1"/>
    <w:rsid w:val="7D2F3083"/>
    <w:rsid w:val="7D906046"/>
    <w:rsid w:val="7DCC0CD6"/>
    <w:rsid w:val="7E2B2940"/>
    <w:rsid w:val="7E4B4723"/>
    <w:rsid w:val="7F424B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China</cp:lastModifiedBy>
  <cp:lastPrinted>2025-02-11T03:07:00Z</cp:lastPrinted>
  <dcterms:modified xsi:type="dcterms:W3CDTF">2025-02-19T05:54:43Z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DCE2488A59ED425F8330D18FE76F5BBB_13</vt:lpwstr>
  </property>
</Properties>
</file>