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长春市统计局九台区分局</w:t>
      </w:r>
    </w:p>
    <w:p>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color w:val="000000"/>
          <w:szCs w:val="32"/>
        </w:rPr>
      </w:pPr>
      <w:r>
        <w:rPr>
          <w:rFonts w:hint="eastAsia"/>
          <w:color w:val="000000"/>
          <w:szCs w:val="32"/>
        </w:rPr>
        <w:t>（一）贯彻执行国家统计方针、政策以及法律、法规，制定全区统计规划及统计调查计划；监督检查统计法律、法规的实施。组织领导全区统计工作，承担确保统计数据真实、准确、及时的责任。</w:t>
      </w:r>
    </w:p>
    <w:p>
      <w:pPr>
        <w:ind w:firstLine="640" w:firstLineChars="200"/>
        <w:rPr>
          <w:rFonts w:hint="eastAsia"/>
          <w:color w:val="000000"/>
          <w:szCs w:val="32"/>
        </w:rPr>
      </w:pPr>
      <w:r>
        <w:rPr>
          <w:rFonts w:hint="eastAsia"/>
          <w:color w:val="000000"/>
          <w:szCs w:val="32"/>
        </w:rPr>
        <w:t>（二）根据国家统一的基本统计制度，建立健全全区国民经济核算体系和统计指标体系，贯彻执行全省统一的基本统计报表制度和统计标准；汇编提供全区国民经济核算资料。</w:t>
      </w:r>
    </w:p>
    <w:p>
      <w:pPr>
        <w:ind w:firstLine="640" w:firstLineChars="200"/>
        <w:rPr>
          <w:rFonts w:hint="eastAsia"/>
          <w:color w:val="000000"/>
          <w:szCs w:val="32"/>
        </w:rPr>
      </w:pPr>
      <w:r>
        <w:rPr>
          <w:rFonts w:hint="eastAsia"/>
          <w:color w:val="000000"/>
          <w:szCs w:val="32"/>
        </w:rPr>
        <w:t>（三）组织实施重大区情区力普查计划；统一组织协调全区社会经济统计调查；汇总、整理全区基本统计资料；对国民经济科技进步和社会发展等情况进行统计分析、统计预测预警和统计监督，向区委、区政府及有关部门提供统计信息和咨询建议。</w:t>
      </w:r>
    </w:p>
    <w:p>
      <w:pPr>
        <w:ind w:firstLine="640" w:firstLineChars="200"/>
        <w:rPr>
          <w:rFonts w:hint="eastAsia"/>
          <w:color w:val="000000"/>
          <w:szCs w:val="32"/>
        </w:rPr>
      </w:pPr>
      <w:r>
        <w:rPr>
          <w:rFonts w:hint="eastAsia"/>
          <w:color w:val="000000"/>
          <w:szCs w:val="32"/>
        </w:rPr>
        <w:t>（四）统一核定、管理、公布全区基本统计资料，定期向社会公众发布全区国民经济和社会发展情况的统计信息。</w:t>
      </w:r>
    </w:p>
    <w:p>
      <w:pPr>
        <w:ind w:firstLine="640" w:firstLineChars="200"/>
        <w:rPr>
          <w:rFonts w:hint="eastAsia"/>
          <w:color w:val="000000"/>
          <w:szCs w:val="32"/>
        </w:rPr>
      </w:pPr>
      <w:r>
        <w:rPr>
          <w:rFonts w:hint="eastAsia"/>
          <w:color w:val="000000"/>
          <w:szCs w:val="32"/>
        </w:rPr>
        <w:t>（五）建立、完善和管理全区统计信息自动化系统和全区统计数据库体系。</w:t>
      </w:r>
    </w:p>
    <w:p>
      <w:pPr>
        <w:ind w:firstLine="640" w:firstLineChars="200"/>
        <w:rPr>
          <w:rFonts w:hint="eastAsia"/>
          <w:color w:val="000000"/>
          <w:szCs w:val="32"/>
        </w:rPr>
      </w:pPr>
      <w:r>
        <w:rPr>
          <w:rFonts w:hint="eastAsia"/>
          <w:color w:val="000000"/>
          <w:szCs w:val="32"/>
        </w:rPr>
        <w:t>（六）负责全区统计系统的干部人事、劳动工资、机构编制和财务经费、审计监督及资产管理。</w:t>
      </w:r>
    </w:p>
    <w:p>
      <w:pPr>
        <w:ind w:firstLine="640" w:firstLineChars="200"/>
        <w:rPr>
          <w:rFonts w:hint="eastAsia"/>
          <w:color w:val="000000"/>
          <w:szCs w:val="32"/>
          <w:lang w:eastAsia="zh-CN"/>
        </w:rPr>
      </w:pPr>
      <w:r>
        <w:rPr>
          <w:rFonts w:hint="eastAsia"/>
          <w:color w:val="000000"/>
          <w:szCs w:val="32"/>
        </w:rPr>
        <w:t>（七）领导局属事业单位</w:t>
      </w:r>
      <w:r>
        <w:rPr>
          <w:rFonts w:hint="eastAsia"/>
          <w:color w:val="000000"/>
          <w:szCs w:val="32"/>
          <w:lang w:eastAsia="zh-CN"/>
        </w:rPr>
        <w:t>。</w:t>
      </w:r>
    </w:p>
    <w:p>
      <w:pPr>
        <w:ind w:firstLine="640" w:firstLineChars="200"/>
        <w:rPr>
          <w:color w:val="000000"/>
          <w:sz w:val="21"/>
          <w:szCs w:val="21"/>
        </w:rPr>
      </w:pPr>
      <w:r>
        <w:rPr>
          <w:rFonts w:hint="eastAsia"/>
          <w:color w:val="000000"/>
          <w:szCs w:val="32"/>
        </w:rPr>
        <w:t>（八）承办长春市统计局和九台区政府交办的其他</w:t>
      </w:r>
      <w:r>
        <w:rPr>
          <w:rFonts w:hint="eastAsia"/>
          <w:color w:val="000000"/>
          <w:szCs w:val="32"/>
          <w:lang w:val="en-US" w:eastAsia="zh-CN"/>
        </w:rPr>
        <w:t>事</w:t>
      </w:r>
      <w:r>
        <w:rPr>
          <w:rFonts w:hint="eastAsia"/>
          <w:color w:val="000000"/>
          <w:szCs w:val="32"/>
        </w:rPr>
        <w:t>项。</w:t>
      </w:r>
    </w:p>
    <w:p>
      <w:pPr>
        <w:ind w:firstLine="640" w:firstLineChars="200"/>
      </w:pPr>
      <w:r>
        <w:rPr>
          <w:rFonts w:eastAsia="楷体_GB2312"/>
        </w:rPr>
        <w:t>二、机构设置</w:t>
      </w:r>
    </w:p>
    <w:p>
      <w:pPr>
        <w:pStyle w:val="23"/>
        <w:ind w:firstLine="640" w:firstLineChars="200"/>
        <w:rPr>
          <w:rFonts w:eastAsia="仿宋_GB2312"/>
          <w:u w:val="none"/>
        </w:rPr>
      </w:pPr>
      <w:r>
        <w:rPr>
          <w:rFonts w:eastAsia="仿宋_GB2312"/>
        </w:rPr>
        <w:t>根据上述职责，</w:t>
      </w:r>
      <w:r>
        <w:rPr>
          <w:rFonts w:hint="eastAsia" w:eastAsia="仿宋_GB2312"/>
          <w:u w:val="none"/>
          <w:lang w:val="en-US" w:eastAsia="zh-CN"/>
        </w:rPr>
        <w:t>长春市统计局九台区分局</w:t>
      </w:r>
      <w:r>
        <w:rPr>
          <w:rFonts w:eastAsia="仿宋_GB2312"/>
          <w:u w:val="none"/>
        </w:rPr>
        <w:t>内设</w:t>
      </w:r>
      <w:r>
        <w:rPr>
          <w:rFonts w:hint="eastAsia" w:eastAsia="仿宋_GB2312"/>
          <w:u w:val="none"/>
          <w:lang w:val="en-US" w:eastAsia="zh-CN"/>
        </w:rPr>
        <w:t>3</w:t>
      </w:r>
      <w:r>
        <w:rPr>
          <w:rFonts w:eastAsia="仿宋_GB2312"/>
          <w:u w:val="none"/>
        </w:rPr>
        <w:t>个机构，分别为</w:t>
      </w:r>
      <w:r>
        <w:rPr>
          <w:rFonts w:hint="eastAsia" w:eastAsia="仿宋_GB2312"/>
          <w:u w:val="none"/>
        </w:rPr>
        <w:t>办公室、综合统计科、社会经济统计科</w:t>
      </w:r>
      <w:r>
        <w:rPr>
          <w:rFonts w:eastAsia="仿宋_GB2312"/>
          <w:u w:val="none"/>
        </w:rPr>
        <w:t>。</w:t>
      </w:r>
    </w:p>
    <w:p>
      <w:pPr>
        <w:pStyle w:val="23"/>
        <w:ind w:firstLine="640" w:firstLineChars="200"/>
        <w:rPr>
          <w:rFonts w:eastAsia="仿宋_GB2312"/>
        </w:rPr>
      </w:pPr>
      <w:r>
        <w:rPr>
          <w:rFonts w:hint="eastAsia" w:eastAsia="仿宋_GB2312"/>
        </w:rPr>
        <w:t>本单位无下设预算单位</w:t>
      </w:r>
      <w:r>
        <w:rPr>
          <w:rFonts w:eastAsia="仿宋_GB2312"/>
        </w:rPr>
        <w:t>。</w:t>
      </w:r>
    </w:p>
    <w:p>
      <w:pPr>
        <w:pStyle w:val="23"/>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156.32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156.32</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225.77</w:t>
            </w: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eastAsia="宋体"/>
                <w:color w:val="000000"/>
                <w:sz w:val="20"/>
              </w:rPr>
              <w:t>二、</w:t>
            </w:r>
            <w:r>
              <w:rPr>
                <w:rFonts w:hint="eastAsia" w:eastAsia="宋体"/>
                <w:color w:val="000000"/>
                <w:sz w:val="20"/>
                <w:lang w:val="en-US"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48.55</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48.55</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eastAsia="宋体"/>
                <w:color w:val="000000"/>
                <w:sz w:val="20"/>
              </w:rPr>
              <w:t>三、</w:t>
            </w:r>
            <w:r>
              <w:rPr>
                <w:rFonts w:hint="eastAsia"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7.42</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7.42</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13.48</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13.48</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lang w:val="en-US" w:eastAsia="zh-CN"/>
              </w:rPr>
            </w:pPr>
            <w:r>
              <w:rPr>
                <w:rFonts w:hint="eastAsia" w:eastAsia="宋体"/>
                <w:b w:val="0"/>
                <w:bCs w:val="0"/>
                <w:kern w:val="0"/>
                <w:sz w:val="20"/>
                <w:lang w:val="en-US" w:eastAsia="zh-CN"/>
              </w:rPr>
              <w:t>225.77</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25.77</w:t>
            </w: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307"/>
        <w:gridCol w:w="840"/>
        <w:gridCol w:w="810"/>
        <w:gridCol w:w="810"/>
        <w:gridCol w:w="525"/>
        <w:gridCol w:w="428"/>
        <w:gridCol w:w="465"/>
        <w:gridCol w:w="465"/>
        <w:gridCol w:w="510"/>
        <w:gridCol w:w="465"/>
        <w:gridCol w:w="480"/>
        <w:gridCol w:w="420"/>
        <w:gridCol w:w="495"/>
        <w:gridCol w:w="418"/>
        <w:gridCol w:w="510"/>
        <w:gridCol w:w="1"/>
        <w:gridCol w:w="509"/>
        <w:gridCol w:w="510"/>
        <w:gridCol w:w="520"/>
      </w:tblGrid>
      <w:tr>
        <w:tblPrEx>
          <w:tblCellMar>
            <w:top w:w="0" w:type="dxa"/>
            <w:left w:w="108" w:type="dxa"/>
            <w:bottom w:w="0" w:type="dxa"/>
            <w:right w:w="108" w:type="dxa"/>
          </w:tblCellMar>
        </w:tblPrEx>
        <w:trPr>
          <w:trHeight w:val="335" w:hRule="atLeast"/>
          <w:jc w:val="center"/>
        </w:trPr>
        <w:tc>
          <w:tcPr>
            <w:tcW w:w="1307" w:type="dxa"/>
            <w:tcBorders>
              <w:bottom w:val="single" w:color="000000" w:sz="4" w:space="0"/>
            </w:tcBorders>
            <w:noWrap w:val="0"/>
            <w:vAlign w:val="top"/>
          </w:tcPr>
          <w:p>
            <w:pPr>
              <w:autoSpaceDN w:val="0"/>
              <w:jc w:val="left"/>
              <w:textAlignment w:val="center"/>
              <w:rPr>
                <w:rFonts w:eastAsia="华文细黑"/>
                <w:color w:val="000000"/>
                <w:sz w:val="20"/>
              </w:rPr>
            </w:pPr>
          </w:p>
        </w:tc>
        <w:tc>
          <w:tcPr>
            <w:tcW w:w="4853"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365" w:type="dxa"/>
            <w:gridSpan w:val="3"/>
            <w:noWrap w:val="0"/>
            <w:vAlign w:val="center"/>
          </w:tcPr>
          <w:p>
            <w:pPr>
              <w:autoSpaceDN w:val="0"/>
              <w:jc w:val="left"/>
              <w:textAlignment w:val="center"/>
              <w:rPr>
                <w:rFonts w:eastAsia="华文细黑"/>
                <w:color w:val="000000"/>
                <w:sz w:val="20"/>
              </w:rPr>
            </w:pPr>
          </w:p>
        </w:tc>
        <w:tc>
          <w:tcPr>
            <w:tcW w:w="495" w:type="dxa"/>
            <w:noWrap w:val="0"/>
            <w:vAlign w:val="center"/>
          </w:tcPr>
          <w:p>
            <w:pPr>
              <w:autoSpaceDN w:val="0"/>
              <w:jc w:val="left"/>
              <w:textAlignment w:val="center"/>
              <w:rPr>
                <w:rFonts w:eastAsia="华文细黑"/>
                <w:color w:val="000000"/>
                <w:sz w:val="20"/>
              </w:rPr>
            </w:pPr>
          </w:p>
        </w:tc>
        <w:tc>
          <w:tcPr>
            <w:tcW w:w="418" w:type="dxa"/>
            <w:noWrap w:val="0"/>
            <w:vAlign w:val="center"/>
          </w:tcPr>
          <w:p>
            <w:pPr>
              <w:autoSpaceDN w:val="0"/>
              <w:jc w:val="left"/>
              <w:textAlignment w:val="center"/>
              <w:rPr>
                <w:rFonts w:eastAsia="华文细黑"/>
                <w:color w:val="000000"/>
                <w:sz w:val="20"/>
              </w:rPr>
            </w:pPr>
          </w:p>
        </w:tc>
        <w:tc>
          <w:tcPr>
            <w:tcW w:w="511" w:type="dxa"/>
            <w:gridSpan w:val="2"/>
            <w:noWrap w:val="0"/>
            <w:vAlign w:val="bottom"/>
          </w:tcPr>
          <w:p>
            <w:pPr>
              <w:autoSpaceDN w:val="0"/>
              <w:jc w:val="right"/>
              <w:textAlignment w:val="bottom"/>
              <w:rPr>
                <w:rFonts w:eastAsia="宋体"/>
                <w:color w:val="000000"/>
                <w:sz w:val="20"/>
              </w:rPr>
            </w:pPr>
          </w:p>
        </w:tc>
        <w:tc>
          <w:tcPr>
            <w:tcW w:w="1539"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307" w:type="dxa"/>
            <w:vMerge w:val="restart"/>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40"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378" w:type="dxa"/>
            <w:gridSpan w:val="10"/>
            <w:tcBorders>
              <w:top w:val="single" w:color="000000" w:sz="4" w:space="0"/>
              <w:left w:val="single" w:color="000000" w:sz="4" w:space="0"/>
              <w:right w:val="single" w:color="000000" w:sz="4" w:space="0"/>
            </w:tcBorders>
            <w:noWrap w:val="0"/>
            <w:vAlign w:val="center"/>
          </w:tcPr>
          <w:p>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963" w:type="dxa"/>
            <w:gridSpan w:val="7"/>
            <w:tcBorders>
              <w:top w:val="single" w:color="000000" w:sz="4" w:space="0"/>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tblPrEx>
          <w:tblCellMar>
            <w:top w:w="0" w:type="dxa"/>
            <w:left w:w="108" w:type="dxa"/>
            <w:bottom w:w="0" w:type="dxa"/>
            <w:right w:w="108" w:type="dxa"/>
          </w:tblCellMar>
        </w:tblPrEx>
        <w:trPr>
          <w:trHeight w:val="517" w:hRule="atLeast"/>
          <w:jc w:val="center"/>
        </w:trPr>
        <w:tc>
          <w:tcPr>
            <w:tcW w:w="1307"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840" w:type="dxa"/>
            <w:vMerge w:val="continue"/>
            <w:tcBorders>
              <w:left w:val="single" w:color="000000" w:sz="4" w:space="0"/>
              <w:right w:val="single" w:color="000000" w:sz="4" w:space="0"/>
            </w:tcBorders>
            <w:noWrap w:val="0"/>
            <w:vAlign w:val="center"/>
          </w:tcPr>
          <w:p>
            <w:pPr>
              <w:widowControl/>
              <w:jc w:val="center"/>
              <w:rPr>
                <w:rFonts w:hint="eastAsia" w:eastAsia="宋体"/>
                <w:color w:val="000000"/>
                <w:sz w:val="20"/>
                <w:shd w:val="clear" w:color="auto" w:fill="FFFFFF"/>
                <w:lang w:eastAsia="zh-CN"/>
              </w:rPr>
            </w:pPr>
          </w:p>
        </w:tc>
        <w:tc>
          <w:tcPr>
            <w:tcW w:w="810"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63" w:type="dxa"/>
            <w:gridSpan w:val="3"/>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65" w:type="dxa"/>
            <w:vMerge w:val="restart"/>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340" w:type="dxa"/>
            <w:gridSpan w:val="5"/>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95" w:type="dxa"/>
            <w:vMerge w:val="restart"/>
            <w:tcBorders>
              <w:top w:val="single" w:color="000000" w:sz="4" w:space="0"/>
              <w:left w:val="single" w:color="000000"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38" w:type="dxa"/>
            <w:gridSpan w:val="4"/>
            <w:tcBorders>
              <w:top w:val="single" w:color="000000" w:sz="4" w:space="0"/>
              <w:left w:val="single" w:color="auto" w:sz="4" w:space="0"/>
              <w:right w:val="single" w:color="auto" w:sz="4" w:space="0"/>
            </w:tcBorders>
            <w:noWrap w:val="0"/>
            <w:vAlign w:val="center"/>
          </w:tcPr>
          <w:p>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30" w:type="dxa"/>
            <w:gridSpan w:val="2"/>
            <w:tcBorders>
              <w:top w:val="single" w:color="000000" w:sz="4" w:space="0"/>
              <w:left w:val="single" w:color="auto" w:sz="4" w:space="0"/>
              <w:right w:val="single" w:color="000000" w:sz="4" w:space="0"/>
            </w:tcBorders>
            <w:noWrap w:val="0"/>
            <w:vAlign w:val="center"/>
          </w:tcPr>
          <w:p>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tblPrEx>
          <w:tblCellMar>
            <w:top w:w="0" w:type="dxa"/>
            <w:left w:w="108" w:type="dxa"/>
            <w:bottom w:w="0" w:type="dxa"/>
            <w:right w:w="108" w:type="dxa"/>
          </w:tblCellMar>
        </w:tblPrEx>
        <w:trPr>
          <w:trHeight w:val="6089" w:hRule="atLeast"/>
          <w:jc w:val="center"/>
        </w:trPr>
        <w:tc>
          <w:tcPr>
            <w:tcW w:w="130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rPr>
            </w:pPr>
          </w:p>
        </w:tc>
        <w:tc>
          <w:tcPr>
            <w:tcW w:w="84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hd w:val="clear" w:color="auto" w:fill="FFFFFF"/>
                <w:lang w:eastAsia="zh-CN"/>
              </w:rPr>
            </w:pPr>
          </w:p>
        </w:tc>
        <w:tc>
          <w:tcPr>
            <w:tcW w:w="81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1"/>
                <w:szCs w:val="21"/>
                <w:shd w:val="clear" w:color="auto" w:fill="FFFFFF"/>
                <w:lang w:eastAsia="zh-CN"/>
              </w:rPr>
            </w:pPr>
          </w:p>
        </w:tc>
        <w:tc>
          <w:tcPr>
            <w:tcW w:w="8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25" w:type="dxa"/>
            <w:tcBorders>
              <w:top w:val="single" w:color="000000" w:sz="4" w:space="0"/>
              <w:left w:val="single" w:color="000000" w:sz="4" w:space="0"/>
              <w:bottom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65"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p>
        </w:tc>
        <w:tc>
          <w:tcPr>
            <w:tcW w:w="41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left"/>
              <w:rPr>
                <w:rFonts w:hint="eastAsia" w:eastAsia="宋体"/>
                <w:color w:val="000000"/>
                <w:sz w:val="20"/>
                <w:szCs w:val="20"/>
                <w:shd w:val="clear" w:color="auto" w:fill="FFFFFF"/>
                <w:lang w:eastAsia="zh-CN"/>
              </w:rPr>
            </w:pPr>
          </w:p>
          <w:p>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pPr>
              <w:widowControl/>
              <w:ind w:left="113" w:right="113"/>
              <w:jc w:val="center"/>
              <w:rPr>
                <w:rFonts w:hint="eastAsia" w:eastAsia="宋体"/>
                <w:color w:val="000000"/>
                <w:sz w:val="20"/>
                <w:szCs w:val="20"/>
                <w:shd w:val="clear" w:color="auto" w:fill="FFFFFF"/>
                <w:lang w:eastAsia="zh-CN"/>
              </w:rPr>
            </w:pPr>
          </w:p>
        </w:tc>
        <w:tc>
          <w:tcPr>
            <w:tcW w:w="510"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51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tblPrEx>
          <w:tblCellMar>
            <w:top w:w="0" w:type="dxa"/>
            <w:left w:w="108" w:type="dxa"/>
            <w:bottom w:w="0" w:type="dxa"/>
            <w:right w:w="108" w:type="dxa"/>
          </w:tblCellMar>
        </w:tblPrEx>
        <w:trPr>
          <w:trHeight w:val="517" w:hRule="atLeast"/>
          <w:jc w:val="center"/>
        </w:trPr>
        <w:tc>
          <w:tcPr>
            <w:tcW w:w="130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长春市统计局九台区分局</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225.77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225.77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225.77</w:t>
            </w:r>
          </w:p>
        </w:tc>
        <w:tc>
          <w:tcPr>
            <w:tcW w:w="5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530" w:hRule="atLeast"/>
          <w:jc w:val="center"/>
        </w:trPr>
        <w:tc>
          <w:tcPr>
            <w:tcW w:w="130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225.77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225.77</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225.77</w:t>
            </w:r>
          </w:p>
        </w:tc>
        <w:tc>
          <w:tcPr>
            <w:tcW w:w="525"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65" w:type="dxa"/>
            <w:tcBorders>
              <w:top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1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702" w:type="dxa"/>
              <w:tblInd w:w="445" w:type="dxa"/>
              <w:tblLayout w:type="fixed"/>
              <w:tblCellMar>
                <w:top w:w="15" w:type="dxa"/>
                <w:left w:w="15" w:type="dxa"/>
                <w:bottom w:w="15" w:type="dxa"/>
                <w:right w:w="15" w:type="dxa"/>
              </w:tblCellMar>
            </w:tblPr>
            <w:tblGrid>
              <w:gridCol w:w="2580"/>
              <w:gridCol w:w="1260"/>
              <w:gridCol w:w="1125"/>
              <w:gridCol w:w="1290"/>
              <w:gridCol w:w="1125"/>
              <w:gridCol w:w="1185"/>
              <w:gridCol w:w="1137"/>
            </w:tblGrid>
            <w:tr>
              <w:tblPrEx>
                <w:tblCellMar>
                  <w:top w:w="15" w:type="dxa"/>
                  <w:left w:w="15" w:type="dxa"/>
                  <w:bottom w:w="15" w:type="dxa"/>
                  <w:right w:w="15" w:type="dxa"/>
                </w:tblCellMar>
              </w:tblPrEx>
              <w:trPr>
                <w:trHeight w:val="636" w:hRule="atLeast"/>
              </w:trPr>
              <w:tc>
                <w:tcPr>
                  <w:tcW w:w="6255" w:type="dxa"/>
                  <w:gridSpan w:val="4"/>
                  <w:tcBorders>
                    <w:bottom w:val="single" w:color="000000" w:sz="4" w:space="0"/>
                  </w:tcBorders>
                  <w:noWrap w:val="0"/>
                  <w:vAlign w:val="center"/>
                </w:tcPr>
                <w:p>
                  <w:pPr>
                    <w:widowControl/>
                    <w:jc w:val="left"/>
                    <w:rPr>
                      <w:rFonts w:eastAsia="华文细黑"/>
                      <w:color w:val="000000"/>
                      <w:kern w:val="0"/>
                      <w:sz w:val="20"/>
                    </w:rPr>
                  </w:pPr>
                </w:p>
              </w:tc>
              <w:tc>
                <w:tcPr>
                  <w:tcW w:w="1125" w:type="dxa"/>
                  <w:tcBorders>
                    <w:bottom w:val="single" w:color="000000" w:sz="4" w:space="0"/>
                  </w:tcBorders>
                  <w:noWrap w:val="0"/>
                  <w:vAlign w:val="center"/>
                </w:tcPr>
                <w:p>
                  <w:pPr>
                    <w:widowControl/>
                    <w:jc w:val="right"/>
                    <w:rPr>
                      <w:rFonts w:eastAsia="华文细黑"/>
                      <w:color w:val="000000"/>
                      <w:kern w:val="0"/>
                      <w:sz w:val="20"/>
                    </w:rPr>
                  </w:pPr>
                </w:p>
              </w:tc>
              <w:tc>
                <w:tcPr>
                  <w:tcW w:w="1185" w:type="dxa"/>
                  <w:tcBorders>
                    <w:bottom w:val="single" w:color="000000" w:sz="4" w:space="0"/>
                  </w:tcBorders>
                  <w:noWrap w:val="0"/>
                  <w:vAlign w:val="center"/>
                </w:tcPr>
                <w:p>
                  <w:pPr>
                    <w:widowControl/>
                    <w:jc w:val="right"/>
                    <w:rPr>
                      <w:rFonts w:eastAsia="华文细黑"/>
                      <w:color w:val="000000"/>
                      <w:kern w:val="0"/>
                      <w:sz w:val="20"/>
                    </w:rPr>
                  </w:pPr>
                </w:p>
              </w:tc>
              <w:tc>
                <w:tcPr>
                  <w:tcW w:w="113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58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0"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1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156.32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133.64</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22.68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156.32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133.64</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22.68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133.64</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133.64</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一般行政管理事务</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22.68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22.68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eastAsia="宋体"/>
                      <w:color w:val="000000"/>
                      <w:kern w:val="0"/>
                      <w:sz w:val="20"/>
                      <w:lang w:val="en-US" w:eastAsia="zh-CN"/>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48.55</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48.55</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行政事业单位养老支出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48.55</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48.55</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行政单位离退休</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33.07</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33.07</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机关事业单位基本养老保险缴费支出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lang w:val="en-US" w:eastAsia="zh-CN"/>
                    </w:rPr>
                    <w:t>15.48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15.48</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三、卫生健康支出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7.42</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行政事业单位医疗</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行政单位医疗</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13.48</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住房改革支出</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住房公积金</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58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225.77</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203.09</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22.68</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931"/>
              <w:gridCol w:w="1569"/>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62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501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931"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569"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225.77</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225.77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225.77</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225.77</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szCs w:val="22"/>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225.77</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225.77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156.32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156.32</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rPr>
                  </w:pPr>
                  <w:r>
                    <w:rPr>
                      <w:rFonts w:hint="eastAsia" w:eastAsia="宋体"/>
                      <w:color w:val="000000"/>
                      <w:sz w:val="20"/>
                      <w:lang w:eastAsia="zh-CN"/>
                    </w:rPr>
                    <w:t>（</w:t>
                  </w:r>
                  <w:r>
                    <w:rPr>
                      <w:rFonts w:hint="eastAsia" w:eastAsia="宋体"/>
                      <w:color w:val="000000"/>
                      <w:sz w:val="20"/>
                      <w:lang w:val="en-US" w:eastAsia="zh-CN"/>
                    </w:rPr>
                    <w:t>二</w:t>
                  </w:r>
                  <w:r>
                    <w:rPr>
                      <w:rFonts w:hint="eastAsia" w:eastAsia="宋体"/>
                      <w:color w:val="000000"/>
                      <w:sz w:val="20"/>
                      <w:lang w:eastAsia="zh-CN"/>
                    </w:rPr>
                    <w:t>）</w:t>
                  </w:r>
                  <w:r>
                    <w:rPr>
                      <w:rFonts w:hint="eastAsia" w:eastAsia="宋体"/>
                      <w:color w:val="000000"/>
                      <w:sz w:val="20"/>
                      <w:lang w:val="en-US"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48.55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48.55</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utoSpaceDN w:val="0"/>
                    <w:jc w:val="left"/>
                    <w:textAlignment w:val="center"/>
                    <w:rPr>
                      <w:rFonts w:hint="default" w:eastAsia="宋体"/>
                      <w:color w:val="000000"/>
                      <w:sz w:val="20"/>
                      <w:lang w:val="en-US" w:eastAsia="zh-CN"/>
                    </w:rPr>
                  </w:pPr>
                  <w:r>
                    <w:rPr>
                      <w:rFonts w:hint="eastAsia" w:eastAsia="宋体"/>
                      <w:color w:val="000000"/>
                      <w:sz w:val="20"/>
                      <w:lang w:val="en-US"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val="en-US" w:eastAsia="zh-CN"/>
                    </w:rPr>
                    <w:t>7.42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7.42</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lang w:eastAsia="zh-CN"/>
                    </w:rPr>
                    <w:t>）</w:t>
                  </w:r>
                  <w:r>
                    <w:rPr>
                      <w:rFonts w:hint="eastAsia" w:eastAsia="宋体"/>
                      <w:color w:val="000000"/>
                      <w:kern w:val="0"/>
                      <w:sz w:val="20"/>
                      <w:lang w:val="en-US"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13.48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13.48</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93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225.77</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225.77</w:t>
                  </w: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225.77</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225.77</w:t>
                  </w: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156.32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105.55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28.09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22.68</w:t>
                  </w: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156.32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105.55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28.09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22.68</w:t>
                  </w: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133.64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105.55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28.09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lang w:val="en-US" w:eastAsia="zh-CN"/>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22.68</w:t>
                  </w: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48.55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48.55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48.55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15.48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15.48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7.42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4"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225.77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175.00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28.09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22.68</w:t>
                  </w:r>
                </w:p>
              </w:tc>
            </w:tr>
          </w:tbl>
          <w:p>
            <w:pPr>
              <w:widowControl/>
              <w:jc w:val="center"/>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461"/>
        <w:gridCol w:w="1935"/>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tc>
      </w:tr>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461"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935"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461"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935"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141.52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141.52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47.05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47.05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26.91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26.91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27.43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27.43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机关事业单位基本养老保险缴费</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15.48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15.48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职工基本医疗保险缴费</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5.37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5.37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hint="eastAsia" w:eastAsia="宋体"/>
                <w:color w:val="000000"/>
                <w:sz w:val="20"/>
                <w:lang w:val="en-US" w:eastAsia="zh-CN"/>
              </w:rPr>
              <w:t>其他</w:t>
            </w:r>
            <w:r>
              <w:rPr>
                <w:rFonts w:eastAsia="宋体"/>
                <w:color w:val="000000"/>
                <w:sz w:val="20"/>
              </w:rPr>
              <w:t>社会保障缴费</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2.05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住房公积金</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13.48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13.48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医疗费</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2.10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2.10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1.65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1.65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27.33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27.33</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19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3.19</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印刷费</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2.04</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差旅费</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4.08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4.08</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会议费</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0.17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lang w:val="en-US" w:eastAsia="zh-CN"/>
              </w:rPr>
            </w:pPr>
            <w:r>
              <w:rPr>
                <w:rFonts w:hint="eastAsia" w:eastAsia="宋体"/>
                <w:kern w:val="0"/>
                <w:sz w:val="20"/>
                <w:lang w:val="en-US" w:eastAsia="zh-CN"/>
              </w:rPr>
              <w:t>0.17</w:t>
            </w:r>
          </w:p>
        </w:tc>
      </w:tr>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lang w:val="en-US" w:eastAsia="zh-CN"/>
              </w:rPr>
              <w:t>续</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461"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1935"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培训费</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0.51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0.51</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工会经费</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1.45</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福利费</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5.44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5.44</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其他交通费用</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8.21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8.21</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其他商品和服务支出</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2.24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2.24</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三、对个人和家庭的补助</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33.48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33.48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离休费</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18.44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18.44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val="en-US" w:eastAsia="zh-CN"/>
              </w:rPr>
            </w:pPr>
            <w:r>
              <w:rPr>
                <w:rFonts w:hint="eastAsia" w:eastAsia="宋体"/>
                <w:color w:val="000000"/>
                <w:kern w:val="0"/>
                <w:sz w:val="20"/>
                <w:lang w:val="en-US" w:eastAsia="zh-CN"/>
              </w:rPr>
              <w:t>退休费</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14.63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14.63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kern w:val="0"/>
                <w:sz w:val="20"/>
                <w:lang w:val="en-US" w:eastAsia="zh-CN"/>
              </w:rPr>
            </w:pPr>
            <w:r>
              <w:rPr>
                <w:rFonts w:hint="eastAsia" w:eastAsia="宋体"/>
                <w:kern w:val="0"/>
                <w:sz w:val="20"/>
                <w:lang w:val="en-US" w:eastAsia="zh-CN"/>
              </w:rPr>
              <w:t>其他对个人和家庭的补助</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0.41</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eastAsia="宋体"/>
                <w:kern w:val="0"/>
                <w:sz w:val="20"/>
                <w:lang w:val="en-US" w:eastAsia="zh-CN"/>
              </w:rPr>
            </w:pPr>
            <w:r>
              <w:rPr>
                <w:rFonts w:hint="eastAsia" w:eastAsia="宋体"/>
                <w:kern w:val="0"/>
                <w:sz w:val="20"/>
                <w:lang w:val="en-US" w:eastAsia="zh-CN"/>
              </w:rPr>
              <w:t>四、资本性支出</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0.76</w:t>
            </w:r>
          </w:p>
        </w:tc>
      </w:tr>
      <w:tr>
        <w:tblPrEx>
          <w:tblCellMar>
            <w:top w:w="0" w:type="dxa"/>
            <w:left w:w="108" w:type="dxa"/>
            <w:bottom w:w="0" w:type="dxa"/>
            <w:right w:w="108" w:type="dxa"/>
          </w:tblCellMar>
        </w:tblPrEx>
        <w:trPr>
          <w:trHeight w:val="600" w:hRule="atLeast"/>
          <w:jc w:val="center"/>
        </w:trPr>
        <w:tc>
          <w:tcPr>
            <w:tcW w:w="3461"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default" w:eastAsia="宋体"/>
                <w:kern w:val="0"/>
                <w:sz w:val="20"/>
                <w:lang w:val="en-US" w:eastAsia="zh-CN"/>
              </w:rPr>
            </w:pPr>
            <w:r>
              <w:rPr>
                <w:rFonts w:hint="eastAsia" w:eastAsia="宋体"/>
                <w:kern w:val="0"/>
                <w:sz w:val="20"/>
                <w:lang w:val="en-US" w:eastAsia="zh-CN"/>
              </w:rPr>
              <w:t>办公设备购置</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0.76</w:t>
            </w:r>
          </w:p>
        </w:tc>
      </w:tr>
    </w:tbl>
    <w:p>
      <w:pPr>
        <w:ind w:firstLine="636"/>
        <w:rPr>
          <w:rFonts w:hAnsi="楷体" w:eastAsia="楷体"/>
        </w:rPr>
      </w:pP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bl>
    <w:p>
      <w:pPr>
        <w:rPr>
          <w:rFonts w:hAnsi="楷体" w:eastAsia="楷体"/>
        </w:rPr>
      </w:pPr>
      <w:r>
        <w:rPr>
          <w:rFonts w:hint="eastAsia" w:hAnsi="楷体" w:eastAsia="楷体"/>
          <w:lang w:val="en-US" w:eastAsia="zh-CN"/>
        </w:rPr>
        <w:t>说明：本单位2025年度无“三公”经费支出预算，故本表无数据。</w:t>
      </w:r>
    </w:p>
    <w:p>
      <w:pPr>
        <w:ind w:firstLine="640" w:firstLineChars="200"/>
        <w:rPr>
          <w:rFonts w:hAnsi="楷体" w:eastAsia="楷体"/>
        </w:rPr>
      </w:pPr>
    </w:p>
    <w:p>
      <w:pPr>
        <w:ind w:firstLine="640" w:firstLineChars="200"/>
        <w:rPr>
          <w:rFonts w:hAnsi="楷体" w:eastAsia="楷体"/>
        </w:rPr>
      </w:pPr>
    </w:p>
    <w:p>
      <w:pPr>
        <w:rPr>
          <w:rFonts w:hAnsi="楷体" w:eastAsia="楷体"/>
        </w:rPr>
      </w:pPr>
      <w:r>
        <w:rPr>
          <w:rFonts w:hAnsi="楷体" w:eastAsia="楷体"/>
        </w:rPr>
        <w:br w:type="page"/>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rPr>
          <w:rFonts w:hint="eastAsia" w:hAnsi="楷体" w:eastAsia="楷体"/>
          <w:lang w:val="en-US" w:eastAsia="zh-CN"/>
        </w:rPr>
      </w:pPr>
      <w:r>
        <w:rPr>
          <w:rFonts w:hint="eastAsia" w:hAnsi="楷体" w:eastAsia="楷体"/>
          <w:lang w:val="en-US" w:eastAsia="zh-CN"/>
        </w:rPr>
        <w:t>说明：本单位2025年度无政府性基金预算，故本表无数据。</w:t>
      </w:r>
    </w:p>
    <w:p>
      <w:pPr>
        <w:ind w:firstLine="640" w:firstLineChars="200"/>
        <w:rPr>
          <w:rFonts w:hint="eastAsia" w:hAnsi="楷体" w:eastAsia="楷体"/>
          <w:lang w:val="en-US" w:eastAsia="zh-CN"/>
        </w:rPr>
      </w:pPr>
    </w:p>
    <w:p>
      <w:pPr>
        <w:rPr>
          <w:rFonts w:hint="eastAsia" w:hAnsi="楷体" w:eastAsia="楷体"/>
          <w:lang w:val="en-US"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604" w:tblpY="2326"/>
        <w:tblW w:w="8789" w:type="dxa"/>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
          <w:kern w:val="0"/>
          <w:szCs w:val="32"/>
        </w:rPr>
      </w:pPr>
      <w:r>
        <w:rPr>
          <w:rFonts w:hint="eastAsia" w:hAnsi="楷体" w:eastAsia="楷体"/>
          <w:lang w:val="en-US" w:eastAsia="zh-CN"/>
        </w:rPr>
        <w:t>说明：本单位2025年度无国有资本经营预算，故本表无数据。</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05"/>
        <w:gridCol w:w="223"/>
        <w:gridCol w:w="497"/>
        <w:gridCol w:w="990"/>
        <w:gridCol w:w="750"/>
        <w:gridCol w:w="765"/>
        <w:gridCol w:w="465"/>
        <w:gridCol w:w="450"/>
        <w:gridCol w:w="420"/>
        <w:gridCol w:w="405"/>
        <w:gridCol w:w="435"/>
        <w:gridCol w:w="465"/>
        <w:gridCol w:w="408"/>
        <w:gridCol w:w="384"/>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1"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28"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9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9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5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05"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09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11"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425"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90" w:type="dxa"/>
            <w:vMerge w:val="restart"/>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50"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05" w:type="dxa"/>
            <w:gridSpan w:val="5"/>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095" w:type="dxa"/>
            <w:gridSpan w:val="5"/>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11"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0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720" w:type="dxa"/>
            <w:gridSpan w:val="2"/>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w:t>
            </w:r>
          </w:p>
        </w:tc>
        <w:tc>
          <w:tcPr>
            <w:tcW w:w="99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75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1680"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20" w:type="dxa"/>
            <w:vMerge w:val="restart"/>
            <w:noWrap w:val="0"/>
            <w:vAlign w:val="center"/>
          </w:tcPr>
          <w:p>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05" w:type="dxa"/>
            <w:vMerge w:val="restart"/>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08" w:type="dxa"/>
            <w:gridSpan w:val="3"/>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87" w:type="dxa"/>
            <w:gridSpan w:val="2"/>
            <w:noWrap w:val="0"/>
            <w:vAlign w:val="center"/>
          </w:tcPr>
          <w:p>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911"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05"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20" w:type="dxa"/>
            <w:gridSpan w:val="2"/>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99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50" w:type="dxa"/>
            <w:vMerge w:val="continue"/>
            <w:noWrap w:val="0"/>
            <w:vAlign w:val="center"/>
          </w:tcPr>
          <w:p>
            <w:pPr>
              <w:autoSpaceDN w:val="0"/>
              <w:jc w:val="center"/>
              <w:textAlignment w:val="center"/>
              <w:rPr>
                <w:rFonts w:hint="eastAsia" w:ascii="宋体" w:hAnsi="宋体" w:eastAsia="宋体" w:cs="宋体"/>
                <w:color w:val="000000"/>
                <w:sz w:val="20"/>
                <w:szCs w:val="22"/>
              </w:rPr>
            </w:pPr>
          </w:p>
        </w:tc>
        <w:tc>
          <w:tcPr>
            <w:tcW w:w="76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6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50"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20"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lang w:eastAsia="zh-CN"/>
              </w:rPr>
            </w:pPr>
          </w:p>
        </w:tc>
        <w:tc>
          <w:tcPr>
            <w:tcW w:w="405" w:type="dxa"/>
            <w:vMerge w:val="continue"/>
            <w:noWrap w:val="0"/>
            <w:textDirection w:val="tbLrV"/>
            <w:vAlign w:val="center"/>
          </w:tcPr>
          <w:p>
            <w:pPr>
              <w:autoSpaceDN w:val="0"/>
              <w:ind w:left="113" w:right="113"/>
              <w:jc w:val="center"/>
              <w:textAlignment w:val="center"/>
              <w:rPr>
                <w:rFonts w:hint="eastAsia" w:ascii="宋体" w:hAnsi="宋体" w:eastAsia="宋体" w:cs="宋体"/>
                <w:color w:val="000000"/>
                <w:sz w:val="20"/>
                <w:szCs w:val="22"/>
              </w:rPr>
            </w:pPr>
          </w:p>
        </w:tc>
        <w:tc>
          <w:tcPr>
            <w:tcW w:w="43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5"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08"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84" w:type="dxa"/>
            <w:noWrap w:val="0"/>
            <w:vAlign w:val="center"/>
          </w:tcPr>
          <w:p>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03" w:type="dxa"/>
            <w:noWrap w:val="0"/>
            <w:vAlign w:val="center"/>
          </w:tcPr>
          <w:p>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1"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default" w:ascii="宋体" w:hAnsi="宋体" w:eastAsia="宋体" w:cs="宋体"/>
                <w:color w:val="000000"/>
                <w:sz w:val="20"/>
                <w:szCs w:val="22"/>
                <w:lang w:val="en-US" w:eastAsia="zh-CN"/>
              </w:rPr>
              <w:t>部门特定目标类项目</w:t>
            </w:r>
          </w:p>
        </w:tc>
        <w:tc>
          <w:tcPr>
            <w:tcW w:w="705" w:type="dxa"/>
            <w:noWrap w:val="0"/>
            <w:vAlign w:val="center"/>
          </w:tcPr>
          <w:p>
            <w:pPr>
              <w:autoSpaceDN w:val="0"/>
              <w:jc w:val="center"/>
              <w:textAlignment w:val="center"/>
              <w:rPr>
                <w:rFonts w:hint="eastAsia" w:ascii="宋体" w:hAnsi="宋体" w:eastAsia="宋体" w:cs="宋体"/>
                <w:color w:val="000000"/>
                <w:sz w:val="20"/>
                <w:szCs w:val="22"/>
              </w:rPr>
            </w:pPr>
          </w:p>
        </w:tc>
        <w:tc>
          <w:tcPr>
            <w:tcW w:w="720" w:type="dxa"/>
            <w:gridSpan w:val="2"/>
            <w:noWrap w:val="0"/>
            <w:vAlign w:val="center"/>
          </w:tcPr>
          <w:p>
            <w:pPr>
              <w:autoSpaceDN w:val="0"/>
              <w:jc w:val="center"/>
              <w:textAlignment w:val="center"/>
              <w:rPr>
                <w:rFonts w:hint="eastAsia" w:ascii="宋体" w:hAnsi="宋体" w:eastAsia="宋体" w:cs="宋体"/>
                <w:color w:val="000000"/>
                <w:sz w:val="20"/>
                <w:szCs w:val="22"/>
              </w:rPr>
            </w:pPr>
          </w:p>
        </w:tc>
        <w:tc>
          <w:tcPr>
            <w:tcW w:w="990" w:type="dxa"/>
            <w:noWrap w:val="0"/>
            <w:vAlign w:val="center"/>
          </w:tcPr>
          <w:p>
            <w:pPr>
              <w:autoSpaceDN w:val="0"/>
              <w:jc w:val="center"/>
              <w:textAlignment w:val="center"/>
              <w:rPr>
                <w:rFonts w:hint="eastAsia" w:ascii="宋体" w:hAnsi="宋体" w:eastAsia="宋体" w:cs="宋体"/>
                <w:color w:val="000000"/>
                <w:sz w:val="20"/>
                <w:szCs w:val="22"/>
              </w:rPr>
            </w:pPr>
          </w:p>
        </w:tc>
        <w:tc>
          <w:tcPr>
            <w:tcW w:w="750"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22.68</w:t>
            </w:r>
          </w:p>
        </w:tc>
        <w:tc>
          <w:tcPr>
            <w:tcW w:w="765"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22.68</w:t>
            </w:r>
          </w:p>
        </w:tc>
        <w:tc>
          <w:tcPr>
            <w:tcW w:w="465" w:type="dxa"/>
            <w:noWrap w:val="0"/>
            <w:vAlign w:val="center"/>
          </w:tcPr>
          <w:p>
            <w:pPr>
              <w:autoSpaceDN w:val="0"/>
              <w:jc w:val="center"/>
              <w:textAlignment w:val="center"/>
              <w:rPr>
                <w:rFonts w:hint="eastAsia" w:ascii="宋体" w:hAnsi="宋体" w:eastAsia="宋体" w:cs="宋体"/>
                <w:color w:val="000000"/>
                <w:sz w:val="20"/>
                <w:szCs w:val="22"/>
              </w:rPr>
            </w:pPr>
          </w:p>
        </w:tc>
        <w:tc>
          <w:tcPr>
            <w:tcW w:w="450" w:type="dxa"/>
            <w:noWrap w:val="0"/>
            <w:vAlign w:val="center"/>
          </w:tcPr>
          <w:p>
            <w:pPr>
              <w:autoSpaceDN w:val="0"/>
              <w:jc w:val="center"/>
              <w:textAlignment w:val="center"/>
              <w:rPr>
                <w:rFonts w:hint="eastAsia" w:ascii="宋体" w:hAnsi="宋体" w:eastAsia="宋体" w:cs="宋体"/>
                <w:color w:val="000000"/>
                <w:sz w:val="20"/>
                <w:szCs w:val="22"/>
              </w:rPr>
            </w:pPr>
          </w:p>
        </w:tc>
        <w:tc>
          <w:tcPr>
            <w:tcW w:w="420" w:type="dxa"/>
            <w:noWrap w:val="0"/>
            <w:vAlign w:val="center"/>
          </w:tcPr>
          <w:p>
            <w:pPr>
              <w:autoSpaceDN w:val="0"/>
              <w:jc w:val="center"/>
              <w:textAlignment w:val="center"/>
              <w:rPr>
                <w:rFonts w:hint="eastAsia" w:ascii="宋体" w:hAnsi="宋体" w:eastAsia="宋体" w:cs="宋体"/>
                <w:color w:val="000000"/>
                <w:sz w:val="20"/>
                <w:szCs w:val="22"/>
              </w:rPr>
            </w:pPr>
          </w:p>
        </w:tc>
        <w:tc>
          <w:tcPr>
            <w:tcW w:w="405" w:type="dxa"/>
            <w:noWrap w:val="0"/>
            <w:vAlign w:val="center"/>
          </w:tcPr>
          <w:p>
            <w:pPr>
              <w:autoSpaceDN w:val="0"/>
              <w:jc w:val="center"/>
              <w:textAlignment w:val="center"/>
              <w:rPr>
                <w:rFonts w:hint="eastAsia" w:ascii="宋体" w:hAnsi="宋体" w:eastAsia="宋体" w:cs="宋体"/>
                <w:color w:val="000000"/>
                <w:sz w:val="20"/>
                <w:szCs w:val="22"/>
              </w:rPr>
            </w:pPr>
          </w:p>
        </w:tc>
        <w:tc>
          <w:tcPr>
            <w:tcW w:w="435" w:type="dxa"/>
            <w:noWrap w:val="0"/>
            <w:vAlign w:val="center"/>
          </w:tcPr>
          <w:p>
            <w:pPr>
              <w:autoSpaceDN w:val="0"/>
              <w:jc w:val="center"/>
              <w:textAlignment w:val="center"/>
              <w:rPr>
                <w:rFonts w:hint="eastAsia" w:ascii="宋体" w:hAnsi="宋体" w:eastAsia="宋体" w:cs="宋体"/>
                <w:color w:val="000000"/>
                <w:sz w:val="20"/>
                <w:szCs w:val="22"/>
              </w:rPr>
            </w:pPr>
          </w:p>
        </w:tc>
        <w:tc>
          <w:tcPr>
            <w:tcW w:w="465" w:type="dxa"/>
            <w:noWrap w:val="0"/>
            <w:vAlign w:val="center"/>
          </w:tcPr>
          <w:p>
            <w:pPr>
              <w:spacing w:line="700" w:lineRule="exact"/>
              <w:jc w:val="center"/>
              <w:rPr>
                <w:rFonts w:ascii="Calibri" w:hAnsi="Calibri" w:eastAsia="楷体"/>
                <w:kern w:val="0"/>
                <w:szCs w:val="32"/>
              </w:rPr>
            </w:pPr>
          </w:p>
        </w:tc>
        <w:tc>
          <w:tcPr>
            <w:tcW w:w="408" w:type="dxa"/>
            <w:noWrap w:val="0"/>
            <w:vAlign w:val="center"/>
          </w:tcPr>
          <w:p>
            <w:pPr>
              <w:spacing w:line="700" w:lineRule="exact"/>
              <w:jc w:val="center"/>
              <w:rPr>
                <w:rFonts w:ascii="Calibri" w:hAnsi="Calibri" w:eastAsia="楷体"/>
                <w:kern w:val="0"/>
                <w:szCs w:val="32"/>
              </w:rPr>
            </w:pPr>
          </w:p>
        </w:tc>
        <w:tc>
          <w:tcPr>
            <w:tcW w:w="384" w:type="dxa"/>
            <w:noWrap w:val="0"/>
            <w:vAlign w:val="center"/>
          </w:tcPr>
          <w:p>
            <w:pPr>
              <w:spacing w:line="700" w:lineRule="exact"/>
              <w:jc w:val="center"/>
              <w:rPr>
                <w:rFonts w:ascii="Calibri" w:hAnsi="Calibri" w:eastAsia="楷体"/>
                <w:kern w:val="0"/>
                <w:szCs w:val="32"/>
              </w:rPr>
            </w:pPr>
          </w:p>
        </w:tc>
        <w:tc>
          <w:tcPr>
            <w:tcW w:w="403"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1" w:type="dxa"/>
            <w:noWrap w:val="0"/>
            <w:vAlign w:val="center"/>
          </w:tcPr>
          <w:p>
            <w:pPr>
              <w:autoSpaceDN w:val="0"/>
              <w:jc w:val="center"/>
              <w:textAlignment w:val="center"/>
              <w:rPr>
                <w:rFonts w:hint="eastAsia" w:ascii="宋体" w:hAnsi="宋体" w:eastAsia="宋体" w:cs="宋体"/>
                <w:color w:val="000000"/>
                <w:sz w:val="20"/>
                <w:szCs w:val="22"/>
              </w:rPr>
            </w:pPr>
          </w:p>
        </w:tc>
        <w:tc>
          <w:tcPr>
            <w:tcW w:w="705"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专项统计业务</w:t>
            </w:r>
          </w:p>
        </w:tc>
        <w:tc>
          <w:tcPr>
            <w:tcW w:w="720" w:type="dxa"/>
            <w:gridSpan w:val="2"/>
            <w:noWrap w:val="0"/>
            <w:vAlign w:val="center"/>
          </w:tcPr>
          <w:p>
            <w:pPr>
              <w:autoSpaceDN w:val="0"/>
              <w:jc w:val="center"/>
              <w:textAlignment w:val="center"/>
              <w:rPr>
                <w:rFonts w:hint="eastAsia" w:ascii="宋体" w:hAnsi="宋体" w:eastAsia="宋体" w:cs="宋体"/>
                <w:color w:val="000000"/>
                <w:sz w:val="20"/>
                <w:szCs w:val="22"/>
              </w:rPr>
            </w:pPr>
          </w:p>
        </w:tc>
        <w:tc>
          <w:tcPr>
            <w:tcW w:w="990" w:type="dxa"/>
            <w:noWrap w:val="0"/>
            <w:vAlign w:val="center"/>
          </w:tcPr>
          <w:p>
            <w:pPr>
              <w:autoSpaceDN w:val="0"/>
              <w:jc w:val="center"/>
              <w:textAlignment w:val="center"/>
              <w:rPr>
                <w:rFonts w:hint="eastAsia" w:ascii="宋体" w:hAnsi="宋体" w:eastAsia="宋体" w:cs="宋体"/>
                <w:color w:val="000000"/>
                <w:sz w:val="20"/>
                <w:szCs w:val="22"/>
              </w:rPr>
            </w:pPr>
          </w:p>
        </w:tc>
        <w:tc>
          <w:tcPr>
            <w:tcW w:w="750"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22.68</w:t>
            </w:r>
          </w:p>
        </w:tc>
        <w:tc>
          <w:tcPr>
            <w:tcW w:w="765"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22.68</w:t>
            </w:r>
          </w:p>
        </w:tc>
        <w:tc>
          <w:tcPr>
            <w:tcW w:w="465" w:type="dxa"/>
            <w:noWrap w:val="0"/>
            <w:vAlign w:val="center"/>
          </w:tcPr>
          <w:p>
            <w:pPr>
              <w:autoSpaceDN w:val="0"/>
              <w:jc w:val="center"/>
              <w:textAlignment w:val="center"/>
              <w:rPr>
                <w:rFonts w:hint="eastAsia" w:ascii="宋体" w:hAnsi="宋体" w:eastAsia="宋体" w:cs="宋体"/>
                <w:color w:val="000000"/>
                <w:sz w:val="20"/>
                <w:szCs w:val="22"/>
              </w:rPr>
            </w:pPr>
          </w:p>
        </w:tc>
        <w:tc>
          <w:tcPr>
            <w:tcW w:w="450" w:type="dxa"/>
            <w:noWrap w:val="0"/>
            <w:vAlign w:val="center"/>
          </w:tcPr>
          <w:p>
            <w:pPr>
              <w:autoSpaceDN w:val="0"/>
              <w:jc w:val="center"/>
              <w:textAlignment w:val="center"/>
              <w:rPr>
                <w:rFonts w:hint="eastAsia" w:ascii="宋体" w:hAnsi="宋体" w:eastAsia="宋体" w:cs="宋体"/>
                <w:color w:val="000000"/>
                <w:sz w:val="20"/>
                <w:szCs w:val="22"/>
              </w:rPr>
            </w:pPr>
          </w:p>
        </w:tc>
        <w:tc>
          <w:tcPr>
            <w:tcW w:w="420" w:type="dxa"/>
            <w:noWrap w:val="0"/>
            <w:vAlign w:val="center"/>
          </w:tcPr>
          <w:p>
            <w:pPr>
              <w:autoSpaceDN w:val="0"/>
              <w:jc w:val="center"/>
              <w:textAlignment w:val="center"/>
              <w:rPr>
                <w:rFonts w:hint="eastAsia" w:ascii="宋体" w:hAnsi="宋体" w:eastAsia="宋体" w:cs="宋体"/>
                <w:color w:val="000000"/>
                <w:sz w:val="20"/>
                <w:szCs w:val="22"/>
              </w:rPr>
            </w:pPr>
          </w:p>
        </w:tc>
        <w:tc>
          <w:tcPr>
            <w:tcW w:w="405" w:type="dxa"/>
            <w:noWrap w:val="0"/>
            <w:vAlign w:val="center"/>
          </w:tcPr>
          <w:p>
            <w:pPr>
              <w:autoSpaceDN w:val="0"/>
              <w:jc w:val="center"/>
              <w:textAlignment w:val="center"/>
              <w:rPr>
                <w:rFonts w:hint="eastAsia" w:ascii="宋体" w:hAnsi="宋体" w:eastAsia="宋体" w:cs="宋体"/>
                <w:color w:val="000000"/>
                <w:sz w:val="20"/>
                <w:szCs w:val="22"/>
              </w:rPr>
            </w:pPr>
          </w:p>
        </w:tc>
        <w:tc>
          <w:tcPr>
            <w:tcW w:w="435" w:type="dxa"/>
            <w:noWrap w:val="0"/>
            <w:vAlign w:val="center"/>
          </w:tcPr>
          <w:p>
            <w:pPr>
              <w:autoSpaceDN w:val="0"/>
              <w:jc w:val="center"/>
              <w:textAlignment w:val="center"/>
              <w:rPr>
                <w:rFonts w:hint="eastAsia" w:ascii="宋体" w:hAnsi="宋体" w:eastAsia="宋体" w:cs="宋体"/>
                <w:color w:val="000000"/>
                <w:sz w:val="20"/>
                <w:szCs w:val="22"/>
              </w:rPr>
            </w:pPr>
          </w:p>
        </w:tc>
        <w:tc>
          <w:tcPr>
            <w:tcW w:w="465" w:type="dxa"/>
            <w:noWrap w:val="0"/>
            <w:vAlign w:val="center"/>
          </w:tcPr>
          <w:p>
            <w:pPr>
              <w:spacing w:line="700" w:lineRule="exact"/>
              <w:jc w:val="center"/>
              <w:rPr>
                <w:rFonts w:ascii="Calibri" w:hAnsi="Calibri" w:eastAsia="楷体"/>
                <w:kern w:val="0"/>
                <w:szCs w:val="32"/>
              </w:rPr>
            </w:pPr>
          </w:p>
        </w:tc>
        <w:tc>
          <w:tcPr>
            <w:tcW w:w="408" w:type="dxa"/>
            <w:noWrap w:val="0"/>
            <w:vAlign w:val="center"/>
          </w:tcPr>
          <w:p>
            <w:pPr>
              <w:spacing w:line="700" w:lineRule="exact"/>
              <w:jc w:val="center"/>
              <w:rPr>
                <w:rFonts w:ascii="Calibri" w:hAnsi="Calibri" w:eastAsia="楷体"/>
                <w:kern w:val="0"/>
                <w:szCs w:val="32"/>
              </w:rPr>
            </w:pPr>
          </w:p>
        </w:tc>
        <w:tc>
          <w:tcPr>
            <w:tcW w:w="384" w:type="dxa"/>
            <w:noWrap w:val="0"/>
            <w:vAlign w:val="center"/>
          </w:tcPr>
          <w:p>
            <w:pPr>
              <w:spacing w:line="700" w:lineRule="exact"/>
              <w:jc w:val="center"/>
              <w:rPr>
                <w:rFonts w:ascii="Calibri" w:hAnsi="Calibri" w:eastAsia="楷体"/>
                <w:kern w:val="0"/>
                <w:szCs w:val="32"/>
              </w:rPr>
            </w:pPr>
          </w:p>
        </w:tc>
        <w:tc>
          <w:tcPr>
            <w:tcW w:w="403"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1" w:type="dxa"/>
            <w:noWrap w:val="0"/>
            <w:vAlign w:val="center"/>
          </w:tcPr>
          <w:p>
            <w:pPr>
              <w:autoSpaceDN w:val="0"/>
              <w:jc w:val="center"/>
              <w:textAlignment w:val="center"/>
              <w:rPr>
                <w:rFonts w:hint="eastAsia" w:ascii="宋体" w:hAnsi="宋体" w:eastAsia="宋体" w:cs="宋体"/>
                <w:color w:val="000000"/>
                <w:sz w:val="20"/>
                <w:szCs w:val="22"/>
              </w:rPr>
            </w:pPr>
          </w:p>
        </w:tc>
        <w:tc>
          <w:tcPr>
            <w:tcW w:w="705" w:type="dxa"/>
            <w:noWrap w:val="0"/>
            <w:vAlign w:val="center"/>
          </w:tcPr>
          <w:p>
            <w:pPr>
              <w:autoSpaceDN w:val="0"/>
              <w:jc w:val="center"/>
              <w:textAlignment w:val="center"/>
              <w:rPr>
                <w:rFonts w:hint="eastAsia" w:ascii="宋体" w:hAnsi="宋体" w:eastAsia="宋体" w:cs="宋体"/>
                <w:color w:val="000000"/>
                <w:sz w:val="20"/>
                <w:szCs w:val="22"/>
              </w:rPr>
            </w:pPr>
          </w:p>
        </w:tc>
        <w:tc>
          <w:tcPr>
            <w:tcW w:w="720" w:type="dxa"/>
            <w:gridSpan w:val="2"/>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综合统计业务费</w:t>
            </w:r>
          </w:p>
        </w:tc>
        <w:tc>
          <w:tcPr>
            <w:tcW w:w="990"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长春市统计局九台区分局</w:t>
            </w:r>
          </w:p>
        </w:tc>
        <w:tc>
          <w:tcPr>
            <w:tcW w:w="750"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22.68</w:t>
            </w:r>
          </w:p>
        </w:tc>
        <w:tc>
          <w:tcPr>
            <w:tcW w:w="765"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22.68</w:t>
            </w:r>
          </w:p>
        </w:tc>
        <w:tc>
          <w:tcPr>
            <w:tcW w:w="465" w:type="dxa"/>
            <w:noWrap w:val="0"/>
            <w:vAlign w:val="center"/>
          </w:tcPr>
          <w:p>
            <w:pPr>
              <w:autoSpaceDN w:val="0"/>
              <w:jc w:val="center"/>
              <w:textAlignment w:val="center"/>
              <w:rPr>
                <w:rFonts w:hint="eastAsia" w:ascii="宋体" w:hAnsi="宋体" w:eastAsia="宋体" w:cs="宋体"/>
                <w:color w:val="000000"/>
                <w:sz w:val="20"/>
                <w:szCs w:val="22"/>
              </w:rPr>
            </w:pPr>
          </w:p>
        </w:tc>
        <w:tc>
          <w:tcPr>
            <w:tcW w:w="450" w:type="dxa"/>
            <w:noWrap w:val="0"/>
            <w:vAlign w:val="center"/>
          </w:tcPr>
          <w:p>
            <w:pPr>
              <w:autoSpaceDN w:val="0"/>
              <w:jc w:val="center"/>
              <w:textAlignment w:val="center"/>
              <w:rPr>
                <w:rFonts w:hint="eastAsia" w:ascii="宋体" w:hAnsi="宋体" w:eastAsia="宋体" w:cs="宋体"/>
                <w:color w:val="000000"/>
                <w:sz w:val="20"/>
                <w:szCs w:val="22"/>
              </w:rPr>
            </w:pPr>
          </w:p>
        </w:tc>
        <w:tc>
          <w:tcPr>
            <w:tcW w:w="420" w:type="dxa"/>
            <w:noWrap w:val="0"/>
            <w:vAlign w:val="center"/>
          </w:tcPr>
          <w:p>
            <w:pPr>
              <w:autoSpaceDN w:val="0"/>
              <w:jc w:val="center"/>
              <w:textAlignment w:val="center"/>
              <w:rPr>
                <w:rFonts w:hint="eastAsia" w:ascii="宋体" w:hAnsi="宋体" w:eastAsia="宋体" w:cs="宋体"/>
                <w:color w:val="000000"/>
                <w:sz w:val="20"/>
                <w:szCs w:val="22"/>
              </w:rPr>
            </w:pPr>
          </w:p>
        </w:tc>
        <w:tc>
          <w:tcPr>
            <w:tcW w:w="405" w:type="dxa"/>
            <w:noWrap w:val="0"/>
            <w:vAlign w:val="center"/>
          </w:tcPr>
          <w:p>
            <w:pPr>
              <w:autoSpaceDN w:val="0"/>
              <w:jc w:val="center"/>
              <w:textAlignment w:val="center"/>
              <w:rPr>
                <w:rFonts w:hint="eastAsia" w:ascii="宋体" w:hAnsi="宋体" w:eastAsia="宋体" w:cs="宋体"/>
                <w:color w:val="000000"/>
                <w:sz w:val="20"/>
                <w:szCs w:val="22"/>
              </w:rPr>
            </w:pPr>
          </w:p>
        </w:tc>
        <w:tc>
          <w:tcPr>
            <w:tcW w:w="435" w:type="dxa"/>
            <w:noWrap w:val="0"/>
            <w:vAlign w:val="center"/>
          </w:tcPr>
          <w:p>
            <w:pPr>
              <w:autoSpaceDN w:val="0"/>
              <w:jc w:val="center"/>
              <w:textAlignment w:val="center"/>
              <w:rPr>
                <w:rFonts w:hint="eastAsia" w:ascii="宋体" w:hAnsi="宋体" w:eastAsia="宋体" w:cs="宋体"/>
                <w:color w:val="000000"/>
                <w:sz w:val="20"/>
                <w:szCs w:val="22"/>
              </w:rPr>
            </w:pPr>
          </w:p>
        </w:tc>
        <w:tc>
          <w:tcPr>
            <w:tcW w:w="465" w:type="dxa"/>
            <w:noWrap w:val="0"/>
            <w:vAlign w:val="center"/>
          </w:tcPr>
          <w:p>
            <w:pPr>
              <w:spacing w:line="700" w:lineRule="exact"/>
              <w:jc w:val="center"/>
              <w:rPr>
                <w:rFonts w:ascii="Calibri" w:hAnsi="Calibri" w:eastAsia="楷体"/>
                <w:kern w:val="0"/>
                <w:szCs w:val="32"/>
              </w:rPr>
            </w:pPr>
          </w:p>
        </w:tc>
        <w:tc>
          <w:tcPr>
            <w:tcW w:w="408" w:type="dxa"/>
            <w:noWrap w:val="0"/>
            <w:vAlign w:val="center"/>
          </w:tcPr>
          <w:p>
            <w:pPr>
              <w:spacing w:line="700" w:lineRule="exact"/>
              <w:jc w:val="center"/>
              <w:rPr>
                <w:rFonts w:ascii="Calibri" w:hAnsi="Calibri" w:eastAsia="楷体"/>
                <w:kern w:val="0"/>
                <w:szCs w:val="32"/>
              </w:rPr>
            </w:pPr>
          </w:p>
        </w:tc>
        <w:tc>
          <w:tcPr>
            <w:tcW w:w="384" w:type="dxa"/>
            <w:noWrap w:val="0"/>
            <w:vAlign w:val="center"/>
          </w:tcPr>
          <w:p>
            <w:pPr>
              <w:spacing w:line="700" w:lineRule="exact"/>
              <w:jc w:val="center"/>
              <w:rPr>
                <w:rFonts w:ascii="Calibri" w:hAnsi="Calibri" w:eastAsia="楷体"/>
                <w:kern w:val="0"/>
                <w:szCs w:val="32"/>
              </w:rPr>
            </w:pPr>
          </w:p>
        </w:tc>
        <w:tc>
          <w:tcPr>
            <w:tcW w:w="403"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1"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05" w:type="dxa"/>
            <w:noWrap w:val="0"/>
            <w:vAlign w:val="center"/>
          </w:tcPr>
          <w:p>
            <w:pPr>
              <w:autoSpaceDN w:val="0"/>
              <w:jc w:val="center"/>
              <w:textAlignment w:val="center"/>
              <w:rPr>
                <w:rFonts w:ascii="Calibri" w:hAnsi="Calibri" w:eastAsia="华文细黑"/>
                <w:color w:val="000000"/>
                <w:sz w:val="20"/>
                <w:szCs w:val="22"/>
              </w:rPr>
            </w:pPr>
          </w:p>
        </w:tc>
        <w:tc>
          <w:tcPr>
            <w:tcW w:w="720" w:type="dxa"/>
            <w:gridSpan w:val="2"/>
            <w:noWrap w:val="0"/>
            <w:vAlign w:val="center"/>
          </w:tcPr>
          <w:p>
            <w:pPr>
              <w:spacing w:line="700" w:lineRule="exact"/>
              <w:jc w:val="center"/>
              <w:rPr>
                <w:rFonts w:ascii="Calibri" w:hAnsi="Calibri" w:eastAsia="楷体"/>
                <w:kern w:val="0"/>
                <w:szCs w:val="32"/>
              </w:rPr>
            </w:pPr>
          </w:p>
        </w:tc>
        <w:tc>
          <w:tcPr>
            <w:tcW w:w="990" w:type="dxa"/>
            <w:noWrap w:val="0"/>
            <w:vAlign w:val="center"/>
          </w:tcPr>
          <w:p>
            <w:pPr>
              <w:spacing w:line="700" w:lineRule="exact"/>
              <w:jc w:val="center"/>
              <w:rPr>
                <w:rFonts w:ascii="Calibri" w:hAnsi="Calibri" w:eastAsia="楷体"/>
                <w:kern w:val="0"/>
                <w:szCs w:val="32"/>
              </w:rPr>
            </w:pPr>
          </w:p>
        </w:tc>
        <w:tc>
          <w:tcPr>
            <w:tcW w:w="750"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22.68</w:t>
            </w:r>
          </w:p>
        </w:tc>
        <w:tc>
          <w:tcPr>
            <w:tcW w:w="765" w:type="dxa"/>
            <w:noWrap w:val="0"/>
            <w:vAlign w:val="center"/>
          </w:tcPr>
          <w:p>
            <w:pPr>
              <w:autoSpaceDN w:val="0"/>
              <w:jc w:val="center"/>
              <w:textAlignment w:val="center"/>
              <w:rPr>
                <w:rFonts w:hint="default" w:ascii="宋体" w:hAnsi="宋体" w:eastAsia="宋体" w:cs="宋体"/>
                <w:color w:val="000000"/>
                <w:sz w:val="20"/>
                <w:szCs w:val="22"/>
                <w:lang w:val="en-US" w:eastAsia="zh-CN"/>
              </w:rPr>
            </w:pPr>
            <w:r>
              <w:rPr>
                <w:rFonts w:hint="eastAsia" w:ascii="宋体" w:hAnsi="宋体" w:eastAsia="宋体" w:cs="宋体"/>
                <w:color w:val="000000"/>
                <w:sz w:val="20"/>
                <w:szCs w:val="22"/>
                <w:lang w:val="en-US" w:eastAsia="zh-CN"/>
              </w:rPr>
              <w:t>22.68</w:t>
            </w:r>
          </w:p>
        </w:tc>
        <w:tc>
          <w:tcPr>
            <w:tcW w:w="465" w:type="dxa"/>
            <w:noWrap w:val="0"/>
            <w:vAlign w:val="center"/>
          </w:tcPr>
          <w:p>
            <w:pPr>
              <w:spacing w:line="700" w:lineRule="exact"/>
              <w:jc w:val="center"/>
              <w:rPr>
                <w:rFonts w:ascii="Calibri" w:hAnsi="Calibri" w:eastAsia="楷体"/>
                <w:kern w:val="0"/>
                <w:szCs w:val="32"/>
              </w:rPr>
            </w:pPr>
          </w:p>
        </w:tc>
        <w:tc>
          <w:tcPr>
            <w:tcW w:w="450" w:type="dxa"/>
            <w:noWrap w:val="0"/>
            <w:vAlign w:val="center"/>
          </w:tcPr>
          <w:p>
            <w:pPr>
              <w:spacing w:line="700" w:lineRule="exact"/>
              <w:jc w:val="center"/>
              <w:rPr>
                <w:rFonts w:ascii="Calibri" w:hAnsi="Calibri" w:eastAsia="楷体"/>
                <w:kern w:val="0"/>
                <w:szCs w:val="32"/>
              </w:rPr>
            </w:pPr>
          </w:p>
        </w:tc>
        <w:tc>
          <w:tcPr>
            <w:tcW w:w="420" w:type="dxa"/>
            <w:noWrap w:val="0"/>
            <w:vAlign w:val="center"/>
          </w:tcPr>
          <w:p>
            <w:pPr>
              <w:spacing w:line="700" w:lineRule="exact"/>
              <w:jc w:val="center"/>
              <w:rPr>
                <w:rFonts w:ascii="Calibri" w:hAnsi="Calibri" w:eastAsia="楷体"/>
                <w:kern w:val="0"/>
                <w:szCs w:val="32"/>
              </w:rPr>
            </w:pPr>
          </w:p>
        </w:tc>
        <w:tc>
          <w:tcPr>
            <w:tcW w:w="405" w:type="dxa"/>
            <w:noWrap w:val="0"/>
            <w:vAlign w:val="center"/>
          </w:tcPr>
          <w:p>
            <w:pPr>
              <w:spacing w:line="700" w:lineRule="exact"/>
              <w:jc w:val="center"/>
              <w:rPr>
                <w:rFonts w:ascii="Calibri" w:hAnsi="Calibri" w:eastAsia="楷体"/>
                <w:kern w:val="0"/>
                <w:szCs w:val="32"/>
              </w:rPr>
            </w:pPr>
          </w:p>
        </w:tc>
        <w:tc>
          <w:tcPr>
            <w:tcW w:w="435" w:type="dxa"/>
            <w:noWrap w:val="0"/>
            <w:vAlign w:val="center"/>
          </w:tcPr>
          <w:p>
            <w:pPr>
              <w:spacing w:line="700" w:lineRule="exact"/>
              <w:jc w:val="center"/>
              <w:rPr>
                <w:rFonts w:ascii="Calibri" w:hAnsi="Calibri" w:eastAsia="楷体"/>
                <w:kern w:val="0"/>
                <w:szCs w:val="32"/>
              </w:rPr>
            </w:pPr>
          </w:p>
        </w:tc>
        <w:tc>
          <w:tcPr>
            <w:tcW w:w="465" w:type="dxa"/>
            <w:noWrap w:val="0"/>
            <w:vAlign w:val="center"/>
          </w:tcPr>
          <w:p>
            <w:pPr>
              <w:spacing w:line="700" w:lineRule="exact"/>
              <w:jc w:val="center"/>
              <w:rPr>
                <w:rFonts w:ascii="Calibri" w:hAnsi="Calibri" w:eastAsia="楷体"/>
                <w:kern w:val="0"/>
                <w:szCs w:val="32"/>
              </w:rPr>
            </w:pPr>
          </w:p>
        </w:tc>
        <w:tc>
          <w:tcPr>
            <w:tcW w:w="408" w:type="dxa"/>
            <w:noWrap w:val="0"/>
            <w:vAlign w:val="center"/>
          </w:tcPr>
          <w:p>
            <w:pPr>
              <w:spacing w:line="700" w:lineRule="exact"/>
              <w:jc w:val="center"/>
              <w:rPr>
                <w:rFonts w:ascii="Calibri" w:hAnsi="Calibri" w:eastAsia="楷体"/>
                <w:kern w:val="0"/>
                <w:szCs w:val="32"/>
              </w:rPr>
            </w:pPr>
          </w:p>
        </w:tc>
        <w:tc>
          <w:tcPr>
            <w:tcW w:w="384" w:type="dxa"/>
            <w:noWrap w:val="0"/>
            <w:vAlign w:val="center"/>
          </w:tcPr>
          <w:p>
            <w:pPr>
              <w:spacing w:line="700" w:lineRule="exact"/>
              <w:jc w:val="center"/>
              <w:rPr>
                <w:rFonts w:ascii="Calibri" w:hAnsi="Calibri" w:eastAsia="楷体"/>
                <w:kern w:val="0"/>
                <w:szCs w:val="32"/>
              </w:rPr>
            </w:pPr>
          </w:p>
        </w:tc>
        <w:tc>
          <w:tcPr>
            <w:tcW w:w="403"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pPr>
    </w:p>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rPr>
          <w:rFonts w:hAnsi="楷体" w:eastAsia="楷体"/>
        </w:rPr>
      </w:pPr>
      <w:r>
        <w:rPr>
          <w:rFonts w:hAnsi="楷体" w:eastAsia="楷体"/>
        </w:rPr>
        <w:br w:type="page"/>
      </w: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500"/>
        <w:gridCol w:w="853"/>
        <w:gridCol w:w="1185"/>
        <w:gridCol w:w="735"/>
        <w:gridCol w:w="750"/>
        <w:gridCol w:w="780"/>
        <w:gridCol w:w="1650"/>
        <w:gridCol w:w="123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称</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w:t>
            </w:r>
          </w:p>
          <w:p>
            <w:pPr>
              <w:spacing w:line="240" w:lineRule="auto"/>
              <w:jc w:val="left"/>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目</w:t>
            </w:r>
          </w:p>
          <w:p>
            <w:pPr>
              <w:spacing w:line="240" w:lineRule="auto"/>
              <w:jc w:val="left"/>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w:t>
            </w:r>
          </w:p>
          <w:p>
            <w:pPr>
              <w:spacing w:line="240" w:lineRule="auto"/>
              <w:jc w:val="left"/>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p>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金总额（万元）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0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长春市统计局九台区分局</w:t>
            </w:r>
          </w:p>
        </w:tc>
        <w:tc>
          <w:tcPr>
            <w:tcW w:w="500"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85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22.68</w:t>
            </w:r>
          </w:p>
        </w:tc>
        <w:tc>
          <w:tcPr>
            <w:tcW w:w="1185" w:type="dxa"/>
            <w:vMerge w:val="restart"/>
            <w:tcBorders>
              <w:top w:val="single" w:color="000000" w:sz="4" w:space="0"/>
              <w:left w:val="single" w:color="000000" w:sz="4" w:space="0"/>
              <w:right w:val="single" w:color="000000" w:sz="4" w:space="0"/>
            </w:tcBorders>
            <w:noWrap w:val="0"/>
            <w:vAlign w:val="center"/>
          </w:tcPr>
          <w:p>
            <w:pPr>
              <w:spacing w:line="240" w:lineRule="auto"/>
              <w:jc w:val="both"/>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组织实施本区域内工业、农业、服务业等相关专业的统计调查、数据上报汇总，分析工作，完成季度、年度GDP核算工作，印制《2024年九台区统计年鉴》做好统计宣传及临时性统计调查工作。</w:t>
            </w:r>
          </w:p>
        </w:tc>
        <w:tc>
          <w:tcPr>
            <w:tcW w:w="735"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5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8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65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编印2024年度统计年鉴印刷成本费用</w:t>
            </w:r>
          </w:p>
        </w:tc>
        <w:tc>
          <w:tcPr>
            <w:tcW w:w="1239"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0.5万元</w:t>
            </w:r>
          </w:p>
        </w:tc>
        <w:tc>
          <w:tcPr>
            <w:tcW w:w="641" w:type="dxa"/>
            <w:tcBorders>
              <w:top w:val="single" w:color="000000" w:sz="4" w:space="0"/>
              <w:left w:val="single" w:color="000000" w:sz="4" w:space="0"/>
              <w:right w:val="single" w:color="000000" w:sz="4" w:space="0"/>
            </w:tcBorders>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35"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分析报告数量</w:t>
            </w:r>
          </w:p>
        </w:tc>
        <w:tc>
          <w:tcPr>
            <w:tcW w:w="165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反映九台区经济运行发展状况，为九台区政府经济决策提供支撑的分析报告</w:t>
            </w:r>
          </w:p>
        </w:tc>
        <w:tc>
          <w:tcPr>
            <w:tcW w:w="123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1篇</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35"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报表审核通过率</w:t>
            </w:r>
          </w:p>
        </w:tc>
        <w:tc>
          <w:tcPr>
            <w:tcW w:w="165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反映省级及各市州地区生产总值报表审核通过的情况。</w:t>
            </w:r>
          </w:p>
        </w:tc>
        <w:tc>
          <w:tcPr>
            <w:tcW w:w="123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95%</w:t>
            </w:r>
          </w:p>
        </w:tc>
        <w:tc>
          <w:tcPr>
            <w:tcW w:w="641" w:type="dxa"/>
            <w:noWrap w:val="0"/>
            <w:vAlign w:val="center"/>
          </w:tcPr>
          <w:p>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0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50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85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85"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35"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50"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8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650"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1239"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1篇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30</w:t>
            </w:r>
          </w:p>
        </w:tc>
      </w:tr>
    </w:tbl>
    <w:p>
      <w:pPr>
        <w:spacing w:line="700" w:lineRule="exact"/>
        <w:rPr>
          <w:rFonts w:eastAsia="楷体"/>
          <w:kern w:val="0"/>
          <w:szCs w:val="32"/>
        </w:rPr>
      </w:pPr>
    </w:p>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lang w:val="en-US"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225.77</w:t>
      </w:r>
      <w:r>
        <w:rPr>
          <w:szCs w:val="32"/>
        </w:rPr>
        <w:t>万元</w:t>
      </w:r>
      <w:r>
        <w:rPr>
          <w:rFonts w:hint="eastAsia"/>
          <w:szCs w:val="32"/>
          <w:lang w:eastAsia="zh-CN"/>
        </w:rPr>
        <w:t>，其中：本年预算</w:t>
      </w:r>
      <w:r>
        <w:rPr>
          <w:rFonts w:hint="eastAsia"/>
          <w:szCs w:val="32"/>
          <w:lang w:val="en-US" w:eastAsia="zh-CN"/>
        </w:rPr>
        <w:t>225.77</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55.63</w:t>
      </w:r>
      <w:r>
        <w:rPr>
          <w:szCs w:val="32"/>
        </w:rPr>
        <w:t>万元，主要原因是</w:t>
      </w:r>
      <w:r>
        <w:rPr>
          <w:rFonts w:hint="eastAsia"/>
          <w:szCs w:val="32"/>
          <w:lang w:val="en-US" w:eastAsia="zh-CN"/>
        </w:rPr>
        <w:t>本年度无第五次全国经济普查相关经费。</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pPr>
        <w:ind w:firstLine="640" w:firstLineChars="200"/>
        <w:rPr>
          <w:rFonts w:hint="eastAsia" w:eastAsia="仿宋_GB2312"/>
          <w:szCs w:val="30"/>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225.77</w:t>
      </w:r>
      <w:r>
        <w:rPr>
          <w:szCs w:val="32"/>
        </w:rPr>
        <w:t>万元，其中：本年收入</w:t>
      </w:r>
      <w:r>
        <w:rPr>
          <w:rFonts w:hint="eastAsia"/>
          <w:szCs w:val="32"/>
          <w:lang w:val="en-US" w:eastAsia="zh-CN"/>
        </w:rPr>
        <w:t>225.77</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225.77</w:t>
      </w:r>
      <w:r>
        <w:rPr>
          <w:szCs w:val="32"/>
        </w:rPr>
        <w:t>万元，占</w:t>
      </w:r>
      <w:r>
        <w:rPr>
          <w:rFonts w:hint="eastAsia"/>
          <w:szCs w:val="32"/>
          <w:lang w:val="en-US" w:eastAsia="zh-CN"/>
        </w:rPr>
        <w:t>100</w:t>
      </w:r>
      <w:r>
        <w:rPr>
          <w:szCs w:val="32"/>
        </w:rPr>
        <w:t>%</w:t>
      </w:r>
      <w:r>
        <w:rPr>
          <w:rFonts w:hint="eastAsia"/>
          <w:szCs w:val="32"/>
          <w:lang w:eastAsia="zh-CN"/>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225.77</w:t>
      </w:r>
      <w:r>
        <w:rPr>
          <w:szCs w:val="32"/>
        </w:rPr>
        <w:t>万元，其中：基本支出</w:t>
      </w:r>
      <w:r>
        <w:rPr>
          <w:rFonts w:hint="eastAsia"/>
          <w:szCs w:val="32"/>
          <w:lang w:val="en-US" w:eastAsia="zh-CN"/>
        </w:rPr>
        <w:t>203.09</w:t>
      </w:r>
      <w:r>
        <w:rPr>
          <w:szCs w:val="32"/>
        </w:rPr>
        <w:t>万元，占</w:t>
      </w:r>
      <w:r>
        <w:rPr>
          <w:rFonts w:hint="eastAsia"/>
          <w:szCs w:val="32"/>
          <w:lang w:val="en-US" w:eastAsia="zh-CN"/>
        </w:rPr>
        <w:t>90.00</w:t>
      </w:r>
      <w:r>
        <w:rPr>
          <w:szCs w:val="32"/>
        </w:rPr>
        <w:t>%；项目支出</w:t>
      </w:r>
      <w:r>
        <w:rPr>
          <w:rFonts w:hint="eastAsia"/>
          <w:szCs w:val="32"/>
          <w:lang w:val="en-US" w:eastAsia="zh-CN"/>
        </w:rPr>
        <w:t>22.68</w:t>
      </w:r>
      <w:r>
        <w:rPr>
          <w:szCs w:val="32"/>
        </w:rPr>
        <w:t>万元，占</w:t>
      </w:r>
      <w:r>
        <w:rPr>
          <w:rFonts w:hint="eastAsia"/>
          <w:szCs w:val="32"/>
          <w:lang w:val="en-US" w:eastAsia="zh-CN"/>
        </w:rPr>
        <w:t>10.00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225.77</w:t>
      </w:r>
      <w:r>
        <w:rPr>
          <w:szCs w:val="32"/>
        </w:rPr>
        <w:t>万元，其中：</w:t>
      </w:r>
      <w:r>
        <w:rPr>
          <w:rFonts w:hint="eastAsia"/>
          <w:szCs w:val="32"/>
        </w:rPr>
        <w:t>本年</w:t>
      </w:r>
      <w:r>
        <w:rPr>
          <w:rFonts w:hint="eastAsia"/>
          <w:szCs w:val="32"/>
          <w:lang w:eastAsia="zh-CN"/>
        </w:rPr>
        <w:t>预算</w:t>
      </w:r>
      <w:r>
        <w:rPr>
          <w:rFonts w:hint="eastAsia"/>
          <w:szCs w:val="32"/>
          <w:lang w:val="en-US" w:eastAsia="zh-CN"/>
        </w:rPr>
        <w:t>225.77</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156.32</w:t>
      </w:r>
      <w:r>
        <w:rPr>
          <w:szCs w:val="32"/>
        </w:rPr>
        <w:t>万元，</w:t>
      </w:r>
      <w:r>
        <w:rPr>
          <w:kern w:val="0"/>
          <w:szCs w:val="32"/>
        </w:rPr>
        <w:t>社会保障和就业支出</w:t>
      </w:r>
      <w:r>
        <w:rPr>
          <w:rFonts w:hint="eastAsia"/>
          <w:szCs w:val="32"/>
          <w:lang w:val="en-US" w:eastAsia="zh-CN"/>
        </w:rPr>
        <w:t>48.55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7.42</w:t>
      </w:r>
      <w:r>
        <w:rPr>
          <w:szCs w:val="32"/>
        </w:rPr>
        <w:t>万元，</w:t>
      </w:r>
      <w:r>
        <w:rPr>
          <w:kern w:val="0"/>
          <w:szCs w:val="32"/>
        </w:rPr>
        <w:t>住房保障支出</w:t>
      </w:r>
      <w:r>
        <w:rPr>
          <w:rFonts w:hint="eastAsia"/>
          <w:szCs w:val="32"/>
          <w:lang w:val="en-US" w:eastAsia="zh-CN"/>
        </w:rPr>
        <w:t>13.48</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225.77</w:t>
      </w:r>
      <w:r>
        <w:rPr>
          <w:szCs w:val="32"/>
        </w:rPr>
        <w:t>万元，其中：基本支出</w:t>
      </w:r>
      <w:r>
        <w:rPr>
          <w:rFonts w:hint="eastAsia"/>
          <w:szCs w:val="32"/>
          <w:lang w:val="en-US" w:eastAsia="zh-CN"/>
        </w:rPr>
        <w:t>203.09</w:t>
      </w:r>
      <w:r>
        <w:rPr>
          <w:szCs w:val="32"/>
        </w:rPr>
        <w:t>万元，占</w:t>
      </w:r>
      <w:r>
        <w:rPr>
          <w:rFonts w:hint="eastAsia"/>
          <w:szCs w:val="32"/>
          <w:lang w:val="en-US" w:eastAsia="zh-CN"/>
        </w:rPr>
        <w:t>90.00</w:t>
      </w:r>
      <w:r>
        <w:rPr>
          <w:szCs w:val="32"/>
        </w:rPr>
        <w:t>%；项目支出</w:t>
      </w:r>
      <w:r>
        <w:rPr>
          <w:rFonts w:hint="eastAsia"/>
          <w:szCs w:val="32"/>
          <w:lang w:val="en-US" w:eastAsia="zh-CN"/>
        </w:rPr>
        <w:t>22.68</w:t>
      </w:r>
      <w:r>
        <w:rPr>
          <w:szCs w:val="32"/>
        </w:rPr>
        <w:t>万元，占</w:t>
      </w:r>
      <w:r>
        <w:rPr>
          <w:rFonts w:hint="eastAsia"/>
          <w:szCs w:val="32"/>
          <w:lang w:val="en-US" w:eastAsia="zh-CN"/>
        </w:rPr>
        <w:t>10.00</w:t>
      </w:r>
      <w:r>
        <w:rPr>
          <w:szCs w:val="32"/>
        </w:rPr>
        <w:t>%。基本支出中，人员经费</w:t>
      </w:r>
      <w:r>
        <w:rPr>
          <w:rFonts w:hint="eastAsia"/>
          <w:szCs w:val="32"/>
          <w:lang w:val="en-US" w:eastAsia="zh-CN"/>
        </w:rPr>
        <w:t>175.00</w:t>
      </w:r>
      <w:r>
        <w:rPr>
          <w:szCs w:val="32"/>
        </w:rPr>
        <w:t>万元，占</w:t>
      </w:r>
      <w:r>
        <w:rPr>
          <w:rFonts w:hint="eastAsia"/>
          <w:szCs w:val="32"/>
          <w:lang w:val="en-US" w:eastAsia="zh-CN"/>
        </w:rPr>
        <w:t>86.17</w:t>
      </w:r>
      <w:r>
        <w:rPr>
          <w:szCs w:val="32"/>
        </w:rPr>
        <w:t>%；公用经费</w:t>
      </w:r>
      <w:r>
        <w:rPr>
          <w:rFonts w:hint="eastAsia"/>
          <w:szCs w:val="32"/>
          <w:lang w:val="en-US" w:eastAsia="zh-CN"/>
        </w:rPr>
        <w:t>28.09</w:t>
      </w:r>
      <w:r>
        <w:rPr>
          <w:szCs w:val="32"/>
        </w:rPr>
        <w:t>万元，占</w:t>
      </w:r>
      <w:r>
        <w:rPr>
          <w:rFonts w:hint="eastAsia"/>
          <w:szCs w:val="32"/>
          <w:lang w:val="en-US" w:eastAsia="zh-CN"/>
        </w:rPr>
        <w:t>13.83</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156.32</w:t>
      </w:r>
      <w:r>
        <w:rPr>
          <w:szCs w:val="32"/>
        </w:rPr>
        <w:t>万元，占</w:t>
      </w:r>
      <w:r>
        <w:rPr>
          <w:rFonts w:hint="eastAsia"/>
          <w:szCs w:val="32"/>
          <w:lang w:val="en-US" w:eastAsia="zh-CN"/>
        </w:rPr>
        <w:t>69.24</w:t>
      </w:r>
      <w:r>
        <w:rPr>
          <w:szCs w:val="32"/>
        </w:rPr>
        <w:t>%，主要用于</w:t>
      </w:r>
      <w:r>
        <w:rPr>
          <w:rFonts w:hint="eastAsia"/>
          <w:szCs w:val="32"/>
        </w:rPr>
        <w:t>保障职工工资，维持机关正常运转以及完成年度统计工作</w:t>
      </w:r>
      <w:r>
        <w:rPr>
          <w:szCs w:val="32"/>
        </w:rPr>
        <w:t>。</w:t>
      </w:r>
    </w:p>
    <w:p>
      <w:pPr>
        <w:spacing w:line="520" w:lineRule="exact"/>
        <w:ind w:firstLine="640" w:firstLineChars="200"/>
        <w:rPr>
          <w:rFonts w:hint="eastAsia"/>
          <w:szCs w:val="32"/>
        </w:rPr>
      </w:pPr>
      <w:r>
        <w:rPr>
          <w:szCs w:val="32"/>
        </w:rPr>
        <w:t>社会保障和就业（类）支出</w:t>
      </w:r>
      <w:r>
        <w:rPr>
          <w:rFonts w:hint="eastAsia"/>
          <w:szCs w:val="32"/>
          <w:lang w:val="en-US" w:eastAsia="zh-CN"/>
        </w:rPr>
        <w:t>48.55</w:t>
      </w:r>
      <w:r>
        <w:rPr>
          <w:szCs w:val="32"/>
        </w:rPr>
        <w:t>万元，占</w:t>
      </w:r>
      <w:r>
        <w:rPr>
          <w:rFonts w:hint="eastAsia"/>
          <w:szCs w:val="32"/>
          <w:lang w:val="en-US" w:eastAsia="zh-CN"/>
        </w:rPr>
        <w:t>21.50</w:t>
      </w:r>
      <w:r>
        <w:rPr>
          <w:szCs w:val="32"/>
        </w:rPr>
        <w:t>%，</w:t>
      </w:r>
      <w:r>
        <w:rPr>
          <w:rFonts w:hint="eastAsia"/>
          <w:szCs w:val="32"/>
        </w:rPr>
        <w:t>主要用于保障行政事业单位离休职工工资以及缴纳在职职工养老保险。</w:t>
      </w:r>
    </w:p>
    <w:p>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7.42</w:t>
      </w:r>
      <w:r>
        <w:rPr>
          <w:szCs w:val="32"/>
        </w:rPr>
        <w:t>万元，占</w:t>
      </w:r>
      <w:r>
        <w:rPr>
          <w:rFonts w:hint="eastAsia"/>
          <w:szCs w:val="32"/>
          <w:lang w:val="en-US" w:eastAsia="zh-CN"/>
        </w:rPr>
        <w:t>3.29</w:t>
      </w:r>
      <w:r>
        <w:rPr>
          <w:szCs w:val="32"/>
        </w:rPr>
        <w:t>%，主要用于</w:t>
      </w:r>
      <w:r>
        <w:rPr>
          <w:rFonts w:hint="eastAsia"/>
          <w:szCs w:val="32"/>
        </w:rPr>
        <w:t>缴纳职工医疗保险。</w:t>
      </w:r>
    </w:p>
    <w:p>
      <w:pPr>
        <w:spacing w:line="520" w:lineRule="exact"/>
        <w:ind w:firstLine="640" w:firstLineChars="200"/>
        <w:rPr>
          <w:rFonts w:hint="eastAsia"/>
          <w:szCs w:val="32"/>
        </w:rPr>
      </w:pPr>
      <w:r>
        <w:rPr>
          <w:szCs w:val="32"/>
        </w:rPr>
        <w:t>住房保障（类）支出</w:t>
      </w:r>
      <w:r>
        <w:rPr>
          <w:rFonts w:hint="eastAsia"/>
          <w:szCs w:val="32"/>
          <w:lang w:val="en-US" w:eastAsia="zh-CN"/>
        </w:rPr>
        <w:t>13.48</w:t>
      </w:r>
      <w:r>
        <w:rPr>
          <w:szCs w:val="32"/>
        </w:rPr>
        <w:t>万元，占</w:t>
      </w:r>
      <w:r>
        <w:rPr>
          <w:rFonts w:hint="eastAsia"/>
          <w:szCs w:val="32"/>
          <w:lang w:val="en-US" w:eastAsia="zh-CN"/>
        </w:rPr>
        <w:t>5.97</w:t>
      </w:r>
      <w:r>
        <w:rPr>
          <w:szCs w:val="32"/>
        </w:rPr>
        <w:t>%，主要用于</w:t>
      </w:r>
      <w:r>
        <w:rPr>
          <w:rFonts w:hint="eastAsia"/>
          <w:szCs w:val="32"/>
        </w:rPr>
        <w:t>缴纳在职职工住房公积金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203.09</w:t>
      </w:r>
      <w:r>
        <w:rPr>
          <w:szCs w:val="32"/>
        </w:rPr>
        <w:t>万元，其中：</w:t>
      </w:r>
    </w:p>
    <w:p>
      <w:pPr>
        <w:ind w:firstLine="640" w:firstLineChars="200"/>
        <w:rPr>
          <w:kern w:val="0"/>
          <w:szCs w:val="32"/>
        </w:rPr>
      </w:pPr>
      <w:r>
        <w:rPr>
          <w:szCs w:val="32"/>
        </w:rPr>
        <w:t>人员经费</w:t>
      </w:r>
      <w:r>
        <w:rPr>
          <w:rFonts w:hint="eastAsia"/>
          <w:szCs w:val="32"/>
          <w:lang w:val="en-US" w:eastAsia="zh-CN"/>
        </w:rPr>
        <w:t>175.00</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kern w:val="0"/>
          <w:szCs w:val="32"/>
          <w:lang w:eastAsia="zh-CN"/>
        </w:rPr>
        <w:t>、</w:t>
      </w:r>
      <w:r>
        <w:rPr>
          <w:kern w:val="0"/>
          <w:szCs w:val="32"/>
        </w:rPr>
        <w:t>离休费</w:t>
      </w:r>
      <w:r>
        <w:rPr>
          <w:szCs w:val="32"/>
        </w:rPr>
        <w:t>、</w:t>
      </w:r>
      <w:r>
        <w:rPr>
          <w:kern w:val="0"/>
          <w:szCs w:val="32"/>
        </w:rPr>
        <w:t>退休费</w:t>
      </w:r>
      <w:r>
        <w:rPr>
          <w:szCs w:val="32"/>
        </w:rPr>
        <w:t>、</w:t>
      </w:r>
      <w:r>
        <w:rPr>
          <w:kern w:val="0"/>
          <w:szCs w:val="32"/>
        </w:rPr>
        <w:t>其他对个人和家庭的补助。</w:t>
      </w:r>
    </w:p>
    <w:p>
      <w:pPr>
        <w:ind w:firstLine="640" w:firstLineChars="200"/>
        <w:rPr>
          <w:szCs w:val="32"/>
        </w:rPr>
      </w:pPr>
      <w:r>
        <w:rPr>
          <w:kern w:val="0"/>
          <w:szCs w:val="32"/>
        </w:rPr>
        <w:t>公用经费</w:t>
      </w:r>
      <w:r>
        <w:rPr>
          <w:rFonts w:hint="eastAsia"/>
          <w:szCs w:val="32"/>
          <w:lang w:val="en-US" w:eastAsia="zh-CN"/>
        </w:rPr>
        <w:t>28.09</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rFonts w:hint="eastAsia"/>
          <w:kern w:val="0"/>
          <w:szCs w:val="32"/>
          <w:lang w:eastAsia="zh-CN"/>
        </w:rPr>
      </w:pPr>
      <w:r>
        <w:rPr>
          <w:kern w:val="0"/>
          <w:szCs w:val="32"/>
        </w:rPr>
        <w:t>本</w:t>
      </w:r>
      <w:r>
        <w:rPr>
          <w:rFonts w:hint="eastAsia"/>
          <w:kern w:val="0"/>
          <w:szCs w:val="32"/>
          <w:lang w:val="en-US" w:eastAsia="zh-CN"/>
        </w:rPr>
        <w:t>单位</w:t>
      </w:r>
      <w:r>
        <w:rPr>
          <w:kern w:val="0"/>
          <w:szCs w:val="32"/>
        </w:rPr>
        <w:t>无一般公共预算拨款</w:t>
      </w:r>
      <w:r>
        <w:rPr>
          <w:rFonts w:hint="eastAsia"/>
          <w:kern w:val="0"/>
          <w:szCs w:val="32"/>
        </w:rPr>
        <w:t>“三公”经费</w:t>
      </w:r>
      <w:r>
        <w:rPr>
          <w:rFonts w:hint="eastAsia"/>
          <w:kern w:val="0"/>
          <w:szCs w:val="32"/>
          <w:lang w:eastAsia="zh-CN"/>
        </w:rPr>
        <w:t>。</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pPr>
        <w:ind w:firstLine="640" w:firstLineChars="200"/>
        <w:rPr>
          <w:kern w:val="0"/>
          <w:szCs w:val="32"/>
        </w:rPr>
      </w:pPr>
      <w:r>
        <w:rPr>
          <w:kern w:val="0"/>
          <w:szCs w:val="32"/>
        </w:rPr>
        <w:t>本</w:t>
      </w:r>
      <w:r>
        <w:rPr>
          <w:rFonts w:hint="eastAsia"/>
          <w:kern w:val="0"/>
          <w:szCs w:val="32"/>
          <w:lang w:val="en-US" w:eastAsia="zh-CN"/>
        </w:rPr>
        <w:t>单位</w:t>
      </w:r>
      <w:r>
        <w:rPr>
          <w:kern w:val="0"/>
          <w:szCs w:val="32"/>
        </w:rPr>
        <w:t>无政府性基金预算拨款。</w:t>
      </w:r>
    </w:p>
    <w:p>
      <w:pPr>
        <w:ind w:firstLine="640" w:firstLineChars="200"/>
        <w:rPr>
          <w:rFonts w:eastAsia="楷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kern w:val="0"/>
          <w:szCs w:val="32"/>
        </w:rPr>
      </w:pPr>
      <w:r>
        <w:rPr>
          <w:kern w:val="0"/>
          <w:szCs w:val="32"/>
        </w:rPr>
        <w:t>本</w:t>
      </w:r>
      <w:r>
        <w:rPr>
          <w:rFonts w:hint="eastAsia"/>
          <w:kern w:val="0"/>
          <w:szCs w:val="32"/>
          <w:lang w:val="en-US" w:eastAsia="zh-CN"/>
        </w:rPr>
        <w:t>单位</w:t>
      </w:r>
      <w:r>
        <w:rPr>
          <w:kern w:val="0"/>
          <w:szCs w:val="32"/>
        </w:rPr>
        <w:t>无</w:t>
      </w:r>
      <w:r>
        <w:rPr>
          <w:rFonts w:hint="eastAsia"/>
          <w:kern w:val="0"/>
          <w:szCs w:val="32"/>
        </w:rPr>
        <w:t>国有资本经营</w:t>
      </w:r>
      <w:r>
        <w:rPr>
          <w:kern w:val="0"/>
          <w:szCs w:val="32"/>
        </w:rPr>
        <w:t>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highlight w:val="yellow"/>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w:t>
      </w:r>
      <w:r>
        <w:rPr>
          <w:rFonts w:hint="eastAsia"/>
          <w:szCs w:val="32"/>
          <w:highlight w:val="none"/>
          <w:lang w:val="en-US" w:eastAsia="zh-CN"/>
        </w:rPr>
        <w:t>本单位</w:t>
      </w:r>
      <w:r>
        <w:rPr>
          <w:szCs w:val="32"/>
          <w:highlight w:val="none"/>
        </w:rPr>
        <w:t>行机关运行经费财政拨款预算</w:t>
      </w:r>
      <w:r>
        <w:rPr>
          <w:rFonts w:hint="eastAsia"/>
          <w:szCs w:val="32"/>
          <w:highlight w:val="none"/>
          <w:lang w:val="en-US" w:eastAsia="zh-CN"/>
        </w:rPr>
        <w:t>28.09</w:t>
      </w:r>
      <w:r>
        <w:rPr>
          <w:szCs w:val="32"/>
          <w:highlight w:val="none"/>
        </w:rPr>
        <w:t>万元，比20</w:t>
      </w:r>
      <w:r>
        <w:rPr>
          <w:rFonts w:hint="eastAsia"/>
          <w:szCs w:val="32"/>
          <w:highlight w:val="none"/>
        </w:rPr>
        <w:t>2</w:t>
      </w:r>
      <w:r>
        <w:rPr>
          <w:rFonts w:hint="eastAsia"/>
          <w:szCs w:val="32"/>
          <w:highlight w:val="none"/>
          <w:lang w:val="en-US" w:eastAsia="zh-CN"/>
        </w:rPr>
        <w:t>4</w:t>
      </w:r>
      <w:r>
        <w:rPr>
          <w:szCs w:val="32"/>
          <w:highlight w:val="none"/>
        </w:rPr>
        <w:t>年预算增加</w:t>
      </w:r>
      <w:r>
        <w:rPr>
          <w:rFonts w:hint="eastAsia"/>
          <w:szCs w:val="32"/>
          <w:highlight w:val="none"/>
          <w:lang w:val="en-US" w:eastAsia="zh-CN"/>
        </w:rPr>
        <w:t>2.52</w:t>
      </w:r>
      <w:r>
        <w:rPr>
          <w:szCs w:val="32"/>
          <w:highlight w:val="none"/>
        </w:rPr>
        <w:t>万元，增长</w:t>
      </w:r>
      <w:r>
        <w:rPr>
          <w:rFonts w:hint="eastAsia"/>
          <w:szCs w:val="32"/>
          <w:highlight w:val="none"/>
          <w:lang w:val="en-US" w:eastAsia="zh-CN"/>
        </w:rPr>
        <w:t>9.86</w:t>
      </w:r>
      <w:r>
        <w:rPr>
          <w:szCs w:val="32"/>
          <w:highlight w:val="none"/>
        </w:rPr>
        <w:t>%</w:t>
      </w:r>
      <w:r>
        <w:rPr>
          <w:rFonts w:hint="eastAsia"/>
          <w:szCs w:val="32"/>
          <w:highlight w:val="none"/>
        </w:rPr>
        <w:t>，主要原因是</w:t>
      </w:r>
      <w:r>
        <w:rPr>
          <w:rFonts w:hint="eastAsia"/>
          <w:szCs w:val="32"/>
          <w:highlight w:val="none"/>
          <w:lang w:val="en-US" w:eastAsia="zh-CN"/>
        </w:rPr>
        <w:t>本年度新增公务员1人，公用经费中其他交通费用预算增加</w:t>
      </w:r>
      <w:r>
        <w:rPr>
          <w:szCs w:val="32"/>
          <w:highlight w:val="none"/>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本单位无</w:t>
      </w:r>
      <w:r>
        <w:rPr>
          <w:szCs w:val="32"/>
        </w:rPr>
        <w:t>政府采购预算。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lang w:val="en-US" w:eastAsia="zh-CN"/>
        </w:rPr>
        <w:t>2025年</w:t>
      </w:r>
      <w:r>
        <w:rPr>
          <w:rFonts w:hint="eastAsia"/>
          <w:szCs w:val="32"/>
        </w:rPr>
        <w:t>本单位无国有资产占有使用情况。</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5</w:t>
      </w:r>
      <w:r>
        <w:t>年部门项目支出</w:t>
      </w:r>
      <w:r>
        <w:rPr>
          <w:rFonts w:hint="eastAsia"/>
          <w:szCs w:val="32"/>
          <w:lang w:val="en-US" w:eastAsia="zh-CN"/>
        </w:rPr>
        <w:t>22.68</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22.68</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w:t>
      </w:r>
      <w:r>
        <w:rPr>
          <w:rFonts w:hint="eastAsia"/>
          <w:szCs w:val="32"/>
          <w:lang w:val="en-US" w:eastAsia="zh-CN"/>
        </w:rPr>
        <w:t>2025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22.68</w:t>
      </w:r>
      <w:r>
        <w:rPr>
          <w:rFonts w:hint="eastAsia" w:ascii="宋体" w:hAnsi="宋体"/>
        </w:rPr>
        <w:t>万元。</w:t>
      </w:r>
    </w:p>
    <w:p>
      <w:pPr>
        <w:spacing w:line="540" w:lineRule="exact"/>
        <w:rPr>
          <w:rFonts w:eastAsia="楷体"/>
          <w:szCs w:val="32"/>
        </w:rPr>
      </w:pPr>
      <w:r>
        <w:rPr>
          <w:rFonts w:eastAsia="楷体"/>
          <w:szCs w:val="32"/>
        </w:rPr>
        <w:br w:type="page"/>
      </w: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为保障行政单位（包括参照公务员法管理的事业单位）运行用于购买货物和服务的各项资金，包括办公及印刷费、差旅费、会议费、</w:t>
      </w:r>
      <w:r>
        <w:rPr>
          <w:rFonts w:hint="eastAsia"/>
          <w:szCs w:val="32"/>
          <w:lang w:val="en-US" w:eastAsia="zh-CN"/>
        </w:rPr>
        <w:t>培训费、工会经费、</w:t>
      </w:r>
      <w:r>
        <w:rPr>
          <w:szCs w:val="32"/>
        </w:rPr>
        <w:t>福利费、</w:t>
      </w:r>
      <w:r>
        <w:rPr>
          <w:rFonts w:hint="eastAsia"/>
          <w:szCs w:val="32"/>
          <w:lang w:val="en-US" w:eastAsia="zh-CN"/>
        </w:rPr>
        <w:t>其他交通费用、其他商品和服务支出</w:t>
      </w:r>
      <w:bookmarkStart w:id="0" w:name="_GoBack"/>
      <w:bookmarkEnd w:id="0"/>
      <w:r>
        <w:rPr>
          <w:szCs w:val="32"/>
        </w:rPr>
        <w:t>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AAAC23-B7FF-463F-B2B7-BADB194D56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BD7284-92E7-4444-8568-2EEA0DC77BEC}"/>
  </w:font>
  <w:font w:name="仿宋_GB2312">
    <w:altName w:val="仿宋"/>
    <w:panose1 w:val="02010609030101010101"/>
    <w:charset w:val="86"/>
    <w:family w:val="modern"/>
    <w:pitch w:val="default"/>
    <w:sig w:usb0="00000000" w:usb1="00000000" w:usb2="00000000" w:usb3="00000000" w:csb0="00040000" w:csb1="00000000"/>
    <w:embedRegular r:id="rId3" w:fontKey="{3886347C-61F0-48E8-91DD-385742F67D72}"/>
  </w:font>
  <w:font w:name="华文细黑">
    <w:altName w:val="微软雅黑"/>
    <w:panose1 w:val="02010600040101010101"/>
    <w:charset w:val="86"/>
    <w:family w:val="auto"/>
    <w:pitch w:val="default"/>
    <w:sig w:usb0="00000000" w:usb1="00000000" w:usb2="00000000" w:usb3="00000000" w:csb0="0004009F" w:csb1="DFD70000"/>
    <w:embedRegular r:id="rId4" w:fontKey="{41B9459D-7D26-4636-8E8E-E9460936ADF9}"/>
  </w:font>
  <w:font w:name="方正小标宋简体">
    <w:panose1 w:val="02000000000000000000"/>
    <w:charset w:val="86"/>
    <w:family w:val="auto"/>
    <w:pitch w:val="default"/>
    <w:sig w:usb0="00000000" w:usb1="00000000" w:usb2="00000000" w:usb3="00000000" w:csb0="00000000" w:csb1="00000000"/>
    <w:embedRegular r:id="rId5" w:fontKey="{0885BD03-51B9-4B03-ADB6-E2513A7E8ABA}"/>
  </w:font>
  <w:font w:name="楷体_GB2312">
    <w:altName w:val="楷体"/>
    <w:panose1 w:val="02010609030101010101"/>
    <w:charset w:val="86"/>
    <w:family w:val="modern"/>
    <w:pitch w:val="default"/>
    <w:sig w:usb0="00000000" w:usb1="00000000" w:usb2="00000000" w:usb3="00000000" w:csb0="00040000" w:csb1="00000000"/>
    <w:embedRegular r:id="rId6" w:fontKey="{18B4DB18-F452-4F05-8672-0426CFE20E04}"/>
  </w:font>
  <w:font w:name="楷体">
    <w:panose1 w:val="02010609060101010101"/>
    <w:charset w:val="86"/>
    <w:family w:val="modern"/>
    <w:pitch w:val="default"/>
    <w:sig w:usb0="800002BF" w:usb1="38CF7CFA" w:usb2="00000016" w:usb3="00000000" w:csb0="00040001" w:csb1="00000000"/>
    <w:embedRegular r:id="rId7" w:fontKey="{D329C167-C139-4A47-836D-8D2DF176D07A}"/>
  </w:font>
  <w:font w:name="仿宋">
    <w:panose1 w:val="02010609060101010101"/>
    <w:charset w:val="86"/>
    <w:family w:val="modern"/>
    <w:pitch w:val="default"/>
    <w:sig w:usb0="800002BF" w:usb1="38CF7CFA" w:usb2="00000016" w:usb3="00000000" w:csb0="00040001" w:csb1="00000000"/>
    <w:embedRegular r:id="rId8" w:fontKey="{64E1E54B-F25C-4F17-A456-ACC7711B4F2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singleLevel"/>
    <w:tmpl w:val="601A1281"/>
    <w:lvl w:ilvl="0" w:tentative="0">
      <w:start w:val="4"/>
      <w:numFmt w:val="chineseCounting"/>
      <w:suff w:val="nothing"/>
      <w:lvlText w:val="（%1）"/>
      <w:lvlJc w:val="left"/>
    </w:lvl>
  </w:abstractNum>
  <w:abstractNum w:abstractNumId="1">
    <w:nsid w:val="6D0E3642"/>
    <w:multiLevelType w:val="singleLevel"/>
    <w:tmpl w:val="6D0E364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4975E9"/>
    <w:rsid w:val="037F2004"/>
    <w:rsid w:val="03D57286"/>
    <w:rsid w:val="042C1B47"/>
    <w:rsid w:val="0486486A"/>
    <w:rsid w:val="04954460"/>
    <w:rsid w:val="04B818D1"/>
    <w:rsid w:val="050D06DA"/>
    <w:rsid w:val="051448F8"/>
    <w:rsid w:val="05310B72"/>
    <w:rsid w:val="05513E94"/>
    <w:rsid w:val="056F5A6D"/>
    <w:rsid w:val="059B3770"/>
    <w:rsid w:val="063949A0"/>
    <w:rsid w:val="06BD5BC7"/>
    <w:rsid w:val="06F008FF"/>
    <w:rsid w:val="077E1262"/>
    <w:rsid w:val="079E5032"/>
    <w:rsid w:val="0806407A"/>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6F2974"/>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864DFC"/>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2BD26B1"/>
    <w:rsid w:val="23135C25"/>
    <w:rsid w:val="23EC61F6"/>
    <w:rsid w:val="244C543C"/>
    <w:rsid w:val="24624768"/>
    <w:rsid w:val="24A8271E"/>
    <w:rsid w:val="254029E1"/>
    <w:rsid w:val="259B5BC5"/>
    <w:rsid w:val="25EF7FBC"/>
    <w:rsid w:val="25F62C4E"/>
    <w:rsid w:val="26643D6C"/>
    <w:rsid w:val="26C16DEA"/>
    <w:rsid w:val="26FE109D"/>
    <w:rsid w:val="27073E1E"/>
    <w:rsid w:val="27B04AB3"/>
    <w:rsid w:val="282C3BA1"/>
    <w:rsid w:val="28A63332"/>
    <w:rsid w:val="28C96E8E"/>
    <w:rsid w:val="29527C78"/>
    <w:rsid w:val="29C45F24"/>
    <w:rsid w:val="2C5A4C9C"/>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3F129DE"/>
    <w:rsid w:val="34044A12"/>
    <w:rsid w:val="34555AF5"/>
    <w:rsid w:val="34FF687B"/>
    <w:rsid w:val="354C4987"/>
    <w:rsid w:val="35616772"/>
    <w:rsid w:val="35EA1663"/>
    <w:rsid w:val="363C4E84"/>
    <w:rsid w:val="364C598E"/>
    <w:rsid w:val="368A3622"/>
    <w:rsid w:val="36B543E5"/>
    <w:rsid w:val="36CC2B0F"/>
    <w:rsid w:val="36FC762F"/>
    <w:rsid w:val="3838492F"/>
    <w:rsid w:val="383A009B"/>
    <w:rsid w:val="38861074"/>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D06DD6"/>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93355D"/>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062C6"/>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133E1C"/>
    <w:rsid w:val="614125C2"/>
    <w:rsid w:val="61AA1D1F"/>
    <w:rsid w:val="624C5C52"/>
    <w:rsid w:val="63DF08E4"/>
    <w:rsid w:val="64C04AFD"/>
    <w:rsid w:val="655B219F"/>
    <w:rsid w:val="65DD571B"/>
    <w:rsid w:val="661A7B69"/>
    <w:rsid w:val="66455323"/>
    <w:rsid w:val="664909C1"/>
    <w:rsid w:val="66635AE4"/>
    <w:rsid w:val="66C63EB5"/>
    <w:rsid w:val="67592674"/>
    <w:rsid w:val="679461D3"/>
    <w:rsid w:val="6858287E"/>
    <w:rsid w:val="68593A1E"/>
    <w:rsid w:val="68952D29"/>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6FF75AE2"/>
    <w:rsid w:val="70330B9C"/>
    <w:rsid w:val="709D17BE"/>
    <w:rsid w:val="714213DD"/>
    <w:rsid w:val="717F272E"/>
    <w:rsid w:val="72783A23"/>
    <w:rsid w:val="728027C6"/>
    <w:rsid w:val="72F3798E"/>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3E79A6"/>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5155</Words>
  <Characters>6224</Characters>
  <Lines>71</Lines>
  <Paragraphs>20</Paragraphs>
  <TotalTime>7</TotalTime>
  <ScaleCrop>false</ScaleCrop>
  <LinksUpToDate>false</LinksUpToDate>
  <CharactersWithSpaces>6820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陈晶</cp:lastModifiedBy>
  <cp:lastPrinted>2025-02-11T03:07:00Z</cp:lastPrinted>
  <dcterms:modified xsi:type="dcterms:W3CDTF">2025-02-19T02:53:52Z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DCE2488A59ED425F8330D18FE76F5BBB_13</vt:lpwstr>
  </property>
  <property fmtid="{D5CDD505-2E9C-101B-9397-08002B2CF9AE}" pid="4" name="KSOTemplateDocerSaveRecord">
    <vt:lpwstr>eyJoZGlkIjoiZmY5YTczYmE5MmI4NzMzZmE1NzcxNWYzNzkzMjMyOGYiLCJ1c2VySWQiOiI0Mzk1MzAxOTcifQ==</vt:lpwstr>
  </property>
</Properties>
</file>