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jc w:val="center"/>
        <w:rPr>
          <w:rFonts w:eastAsia="方正小标宋简体"/>
          <w:sz w:val="44"/>
          <w:szCs w:val="44"/>
        </w:rPr>
      </w:pPr>
      <w:r>
        <w:rPr>
          <w:rFonts w:hint="eastAsia" w:eastAsia="方正小标宋简体"/>
          <w:sz w:val="44"/>
          <w:szCs w:val="44"/>
        </w:rPr>
        <w:t>白城市农村社会经济调查队</w:t>
      </w:r>
      <w:r>
        <w:rPr>
          <w:rFonts w:eastAsia="方正小标宋简体"/>
          <w:sz w:val="44"/>
          <w:szCs w:val="44"/>
        </w:rPr>
        <w:t>20</w:t>
      </w:r>
      <w:r>
        <w:rPr>
          <w:rFonts w:hint="eastAsia" w:eastAsia="方正小标宋简体"/>
          <w:sz w:val="44"/>
          <w:szCs w:val="44"/>
        </w:rPr>
        <w:t>22</w:t>
      </w:r>
      <w:r>
        <w:rPr>
          <w:rFonts w:eastAsia="方正小标宋简体"/>
          <w:sz w:val="44"/>
          <w:szCs w:val="44"/>
        </w:rPr>
        <w:t>年</w:t>
      </w:r>
      <w:r>
        <w:rPr>
          <w:rFonts w:hint="eastAsia" w:eastAsia="方正小标宋简体"/>
          <w:sz w:val="44"/>
          <w:szCs w:val="44"/>
        </w:rPr>
        <w:t>单位</w:t>
      </w:r>
      <w:r>
        <w:rPr>
          <w:rFonts w:eastAsia="方正小标宋简体"/>
          <w:sz w:val="44"/>
          <w:szCs w:val="44"/>
        </w:rPr>
        <w:t>预算</w:t>
      </w:r>
    </w:p>
    <w:p>
      <w:pPr>
        <w:jc w:val="left"/>
      </w:pPr>
      <w:r>
        <w:tab/>
      </w:r>
      <w:r>
        <w:tab/>
      </w:r>
      <w:r>
        <w:tab/>
      </w:r>
      <w:r>
        <w:tab/>
      </w:r>
      <w:r>
        <w:tab/>
      </w:r>
      <w:r>
        <w:tab/>
      </w:r>
    </w:p>
    <w:p>
      <w:pPr>
        <w:jc w:val="left"/>
      </w:pPr>
    </w:p>
    <w:p>
      <w:pPr>
        <w:jc w:val="left"/>
      </w:pPr>
    </w:p>
    <w:p>
      <w:pPr>
        <w:jc w:val="left"/>
      </w:pPr>
    </w:p>
    <w:p>
      <w:pPr>
        <w:jc w:val="left"/>
      </w:pPr>
    </w:p>
    <w:p>
      <w:pPr>
        <w:jc w:val="left"/>
      </w:pPr>
      <w:r>
        <w:tab/>
      </w:r>
      <w:r>
        <w:tab/>
      </w:r>
      <w:r>
        <w:tab/>
      </w:r>
      <w:r>
        <w:tab/>
      </w:r>
      <w:r>
        <w:tab/>
      </w:r>
      <w:r>
        <w:tab/>
      </w:r>
    </w:p>
    <w:p>
      <w:pPr>
        <w:jc w:val="left"/>
      </w:pPr>
    </w:p>
    <w:p>
      <w:pPr>
        <w:jc w:val="left"/>
      </w:pPr>
    </w:p>
    <w:p>
      <w:pPr>
        <w:jc w:val="left"/>
      </w:pPr>
    </w:p>
    <w:p>
      <w:pPr>
        <w:jc w:val="center"/>
        <w:rPr>
          <w:rFonts w:eastAsia="华文细黑"/>
          <w:color w:val="FF0000"/>
        </w:rPr>
      </w:pPr>
      <w:r>
        <w:rPr>
          <w:rFonts w:eastAsia="华文细黑"/>
        </w:rPr>
        <w:t>二〇二</w:t>
      </w:r>
      <w:r>
        <w:rPr>
          <w:rFonts w:hint="eastAsia" w:eastAsia="华文细黑"/>
        </w:rPr>
        <w:t>二</w:t>
      </w:r>
      <w:r>
        <w:rPr>
          <w:rFonts w:eastAsia="华文细黑"/>
        </w:rPr>
        <w:t>年</w:t>
      </w:r>
      <w:r>
        <w:rPr>
          <w:rFonts w:hint="eastAsia" w:eastAsia="华文细黑"/>
        </w:rPr>
        <w:t>三</w:t>
      </w:r>
      <w:r>
        <w:rPr>
          <w:rFonts w:eastAsia="华文细黑"/>
        </w:rPr>
        <w:t>月</w:t>
      </w:r>
      <w:r>
        <w:rPr>
          <w:rFonts w:hint="eastAsia" w:eastAsia="华文细黑"/>
        </w:rPr>
        <w:t>四</w:t>
      </w:r>
      <w:r>
        <w:rPr>
          <w:rFonts w:eastAsia="华文细黑"/>
        </w:rPr>
        <w:t>日</w:t>
      </w:r>
    </w:p>
    <w:p>
      <w:pPr>
        <w:rPr>
          <w:rFonts w:eastAsia="黑体"/>
        </w:rPr>
      </w:pPr>
    </w:p>
    <w:p>
      <w:pPr>
        <w:ind w:firstLine="640" w:firstLineChars="200"/>
        <w:rPr>
          <w:rFonts w:eastAsia="黑体"/>
        </w:rPr>
      </w:pPr>
    </w:p>
    <w:p>
      <w:pPr>
        <w:rPr>
          <w:rFonts w:eastAsia="黑体"/>
        </w:rPr>
      </w:pPr>
    </w:p>
    <w:p>
      <w:pPr>
        <w:jc w:val="center"/>
        <w:rPr>
          <w:rFonts w:eastAsia="方正小标宋简体"/>
          <w:sz w:val="44"/>
          <w:szCs w:val="44"/>
        </w:rPr>
      </w:pPr>
    </w:p>
    <w:p>
      <w:pPr>
        <w:jc w:val="center"/>
        <w:rPr>
          <w:rFonts w:eastAsia="方正小标宋简体"/>
          <w:sz w:val="44"/>
          <w:szCs w:val="44"/>
        </w:rPr>
      </w:pPr>
      <w:r>
        <w:rPr>
          <w:rFonts w:eastAsia="方正小标宋简体"/>
          <w:sz w:val="44"/>
          <w:szCs w:val="44"/>
        </w:rPr>
        <w:t>目  录</w:t>
      </w:r>
    </w:p>
    <w:p>
      <w:pPr>
        <w:rPr>
          <w:rFonts w:eastAsia="黑体"/>
        </w:rPr>
      </w:pPr>
      <w:r>
        <w:rPr>
          <w:rFonts w:eastAsia="黑体"/>
        </w:rPr>
        <w:tab/>
      </w:r>
      <w:r>
        <w:rPr>
          <w:rFonts w:eastAsia="黑体"/>
        </w:rPr>
        <w:tab/>
      </w:r>
      <w:r>
        <w:rPr>
          <w:rFonts w:eastAsia="黑体"/>
        </w:rPr>
        <w:tab/>
      </w:r>
      <w:r>
        <w:rPr>
          <w:rFonts w:eastAsia="黑体"/>
        </w:rPr>
        <w:tab/>
      </w:r>
      <w:r>
        <w:rPr>
          <w:rFonts w:eastAsia="黑体"/>
        </w:rPr>
        <w:tab/>
      </w:r>
    </w:p>
    <w:p>
      <w:pPr>
        <w:rPr>
          <w:rFonts w:eastAsia="黑体"/>
        </w:rPr>
      </w:pPr>
      <w:r>
        <w:rPr>
          <w:rFonts w:eastAsia="黑体"/>
        </w:rPr>
        <w:t xml:space="preserve">第一部分  </w:t>
      </w:r>
      <w:r>
        <w:rPr>
          <w:rFonts w:hint="eastAsia" w:eastAsia="黑体"/>
        </w:rPr>
        <w:t>单位</w:t>
      </w:r>
      <w:r>
        <w:rPr>
          <w:rFonts w:eastAsia="黑体"/>
        </w:rPr>
        <w:t>概况</w:t>
      </w:r>
      <w:r>
        <w:rPr>
          <w:rFonts w:eastAsia="黑体"/>
        </w:rPr>
        <w:tab/>
      </w:r>
      <w:r>
        <w:rPr>
          <w:rFonts w:eastAsia="黑体"/>
        </w:rPr>
        <w:tab/>
      </w:r>
      <w:r>
        <w:rPr>
          <w:rFonts w:eastAsia="黑体"/>
        </w:rPr>
        <w:tab/>
      </w:r>
      <w:r>
        <w:rPr>
          <w:rFonts w:eastAsia="黑体"/>
        </w:rPr>
        <w:tab/>
      </w:r>
      <w:r>
        <w:rPr>
          <w:rFonts w:eastAsia="黑体"/>
        </w:rPr>
        <w:tab/>
      </w:r>
    </w:p>
    <w:p>
      <w:pPr>
        <w:ind w:left="320" w:leftChars="100" w:firstLine="320" w:firstLineChars="100"/>
      </w:pPr>
      <w:r>
        <w:t>一、主要职能</w:t>
      </w:r>
    </w:p>
    <w:p>
      <w:pPr>
        <w:ind w:left="320" w:leftChars="100" w:firstLine="320" w:firstLineChars="100"/>
      </w:pPr>
      <w:r>
        <w:t>二、机构设置</w:t>
      </w:r>
    </w:p>
    <w:p>
      <w:pPr>
        <w:rPr>
          <w:rFonts w:eastAsia="黑体"/>
        </w:rPr>
      </w:pPr>
      <w:r>
        <w:rPr>
          <w:rFonts w:eastAsia="黑体"/>
        </w:rPr>
        <w:t>第二部分  预算表格</w:t>
      </w:r>
    </w:p>
    <w:p>
      <w:pPr>
        <w:ind w:left="320" w:leftChars="100" w:firstLine="320" w:firstLineChars="100"/>
      </w:pPr>
      <w:r>
        <w:t>一、收支</w:t>
      </w:r>
      <w:r>
        <w:rPr>
          <w:rFonts w:hint="eastAsia"/>
        </w:rPr>
        <w:t>总</w:t>
      </w:r>
      <w:r>
        <w:t>表</w:t>
      </w:r>
    </w:p>
    <w:p>
      <w:pPr>
        <w:ind w:left="320" w:leftChars="100" w:firstLine="320" w:firstLineChars="100"/>
      </w:pPr>
      <w:r>
        <w:t>二、收入</w:t>
      </w:r>
      <w:r>
        <w:rPr>
          <w:rFonts w:hint="eastAsia"/>
        </w:rPr>
        <w:t>总</w:t>
      </w:r>
      <w:r>
        <w:t>表</w:t>
      </w:r>
    </w:p>
    <w:p>
      <w:pPr>
        <w:ind w:left="320" w:leftChars="100" w:firstLine="320" w:firstLineChars="100"/>
      </w:pPr>
      <w:r>
        <w:t>三、支出</w:t>
      </w:r>
      <w:r>
        <w:rPr>
          <w:rFonts w:hint="eastAsia"/>
        </w:rPr>
        <w:t>总</w:t>
      </w:r>
      <w:r>
        <w:t>表</w:t>
      </w:r>
    </w:p>
    <w:p>
      <w:pPr>
        <w:ind w:left="320" w:leftChars="100" w:firstLine="320" w:firstLineChars="100"/>
      </w:pPr>
      <w:r>
        <w:t>四、财政拨款收支</w:t>
      </w:r>
      <w:r>
        <w:rPr>
          <w:rFonts w:hint="eastAsia"/>
        </w:rPr>
        <w:t>总</w:t>
      </w:r>
      <w:r>
        <w:t>表</w:t>
      </w:r>
    </w:p>
    <w:p>
      <w:pPr>
        <w:ind w:left="320" w:leftChars="100" w:firstLine="320" w:firstLineChars="100"/>
      </w:pPr>
      <w:r>
        <w:t>五、</w:t>
      </w:r>
      <w:r>
        <w:rPr>
          <w:rFonts w:hint="eastAsia"/>
        </w:rPr>
        <w:t>一般公共预算支出表</w:t>
      </w:r>
    </w:p>
    <w:p>
      <w:pPr>
        <w:ind w:left="320" w:leftChars="100" w:firstLine="320" w:firstLineChars="100"/>
      </w:pPr>
      <w:r>
        <w:t>六、</w:t>
      </w:r>
      <w:r>
        <w:rPr>
          <w:rFonts w:hint="eastAsia"/>
        </w:rPr>
        <w:t>一般公共预算基本支出表</w:t>
      </w:r>
    </w:p>
    <w:p>
      <w:pPr>
        <w:ind w:left="320" w:leftChars="100" w:firstLine="320" w:firstLineChars="100"/>
      </w:pPr>
      <w:r>
        <w:t>七、一般公共预算“三公”经费支出表</w:t>
      </w:r>
    </w:p>
    <w:p>
      <w:pPr>
        <w:ind w:left="320" w:leftChars="100" w:firstLine="320" w:firstLineChars="100"/>
      </w:pPr>
      <w:r>
        <w:t>八、政府性基金预算支出表</w:t>
      </w:r>
    </w:p>
    <w:p>
      <w:pPr>
        <w:ind w:left="320" w:leftChars="100" w:firstLine="320" w:firstLineChars="100"/>
      </w:pPr>
      <w:r>
        <w:rPr>
          <w:rFonts w:hint="eastAsia"/>
        </w:rPr>
        <w:t>九、国有资本经营</w:t>
      </w:r>
      <w:r>
        <w:t>预算支出表</w:t>
      </w:r>
    </w:p>
    <w:p>
      <w:pPr>
        <w:ind w:left="320" w:leftChars="100" w:firstLine="320" w:firstLineChars="100"/>
      </w:pPr>
      <w:r>
        <w:rPr>
          <w:rFonts w:hint="eastAsia"/>
        </w:rPr>
        <w:t>十、项目支出表</w:t>
      </w:r>
    </w:p>
    <w:p>
      <w:pPr>
        <w:ind w:left="320" w:leftChars="100" w:firstLine="320" w:firstLineChars="100"/>
      </w:pPr>
      <w:r>
        <w:rPr>
          <w:rFonts w:hint="eastAsia"/>
        </w:rPr>
        <w:t>十一、项目支出绩效目标表</w:t>
      </w:r>
    </w:p>
    <w:p>
      <w:pPr>
        <w:rPr>
          <w:rFonts w:eastAsia="黑体"/>
        </w:rPr>
      </w:pPr>
      <w:r>
        <w:rPr>
          <w:rFonts w:eastAsia="黑体"/>
        </w:rPr>
        <w:t>第三部分  情况说明</w:t>
      </w:r>
    </w:p>
    <w:p>
      <w:pPr>
        <w:rPr>
          <w:rFonts w:eastAsia="黑体"/>
        </w:rPr>
      </w:pPr>
      <w:r>
        <w:rPr>
          <w:rFonts w:eastAsia="黑体"/>
        </w:rPr>
        <w:t>第四部分  名词解释</w:t>
      </w:r>
    </w:p>
    <w:p>
      <w:pPr>
        <w:rPr>
          <w:rFonts w:eastAsia="黑体"/>
        </w:rPr>
      </w:pPr>
      <w:r>
        <w:rPr>
          <w:rFonts w:eastAsia="黑体"/>
        </w:rPr>
        <w:br w:type="page"/>
      </w:r>
    </w:p>
    <w:p>
      <w:pPr>
        <w:ind w:firstLine="640" w:firstLineChars="200"/>
        <w:jc w:val="center"/>
        <w:rPr>
          <w:rFonts w:eastAsia="楷体_GB2312"/>
        </w:rPr>
      </w:pPr>
      <w:r>
        <w:rPr>
          <w:rFonts w:eastAsia="黑体"/>
        </w:rPr>
        <w:t>第一部分</w:t>
      </w:r>
      <w:r>
        <w:rPr>
          <w:rFonts w:eastAsia="黑体"/>
          <w:color w:val="FF0000"/>
        </w:rPr>
        <w:t xml:space="preserve"> </w:t>
      </w:r>
      <w:r>
        <w:rPr>
          <w:rFonts w:hint="eastAsia" w:eastAsia="黑体"/>
        </w:rPr>
        <w:t>单位</w:t>
      </w:r>
      <w:r>
        <w:rPr>
          <w:rFonts w:eastAsia="黑体"/>
        </w:rPr>
        <w:t>概况</w:t>
      </w:r>
    </w:p>
    <w:p>
      <w:pPr>
        <w:numPr>
          <w:ilvl w:val="0"/>
          <w:numId w:val="1"/>
        </w:numPr>
        <w:rPr>
          <w:rFonts w:eastAsia="楷体_GB2312"/>
        </w:rPr>
      </w:pPr>
      <w:r>
        <w:rPr>
          <w:rFonts w:eastAsia="楷体_GB2312"/>
        </w:rPr>
        <w:t>主要职能</w:t>
      </w:r>
    </w:p>
    <w:p>
      <w:pPr>
        <w:ind w:firstLine="640" w:firstLineChars="200"/>
      </w:pPr>
      <w:r>
        <w:rPr>
          <w:rFonts w:hint="eastAsia"/>
        </w:rPr>
        <w:t>为政府决策及社会需求调查提供农村社会经济信息。贯彻执行国家有关统计工作的方针政策。组织实施农村住户、农产量、农村社会经济基本情况等有关调查。为政府决策提供农村社会经济信息等。</w:t>
      </w:r>
    </w:p>
    <w:p>
      <w:pPr>
        <w:ind w:firstLine="640" w:firstLineChars="200"/>
      </w:pPr>
      <w:r>
        <w:rPr>
          <w:rFonts w:eastAsia="楷体_GB2312"/>
        </w:rPr>
        <w:t>二、机构设置</w:t>
      </w:r>
    </w:p>
    <w:p>
      <w:pPr>
        <w:ind w:left="320" w:leftChars="100" w:firstLine="320" w:firstLineChars="100"/>
        <w:rPr>
          <w:rFonts w:hint="eastAsia" w:eastAsia="仿宋_GB2312"/>
          <w:lang w:eastAsia="zh-CN"/>
        </w:rPr>
      </w:pPr>
      <w:r>
        <w:rPr>
          <w:rFonts w:hint="eastAsia"/>
        </w:rPr>
        <w:t>本单位无内设机构及下设预算单位</w:t>
      </w:r>
      <w:r>
        <w:rPr>
          <w:rFonts w:hint="eastAsia"/>
          <w:lang w:eastAsia="zh-CN"/>
        </w:rPr>
        <w:t>。</w:t>
      </w:r>
    </w:p>
    <w:p>
      <w:pPr>
        <w:pStyle w:val="62"/>
        <w:ind w:firstLine="640" w:firstLineChars="200"/>
        <w:rPr>
          <w:rFonts w:hAnsi="楷体" w:eastAsia="楷体"/>
        </w:rPr>
      </w:pPr>
    </w:p>
    <w:p>
      <w:pPr>
        <w:pStyle w:val="62"/>
        <w:ind w:firstLine="640" w:firstLineChars="200"/>
        <w:rPr>
          <w:rFonts w:hAnsi="楷体" w:eastAsia="楷体"/>
        </w:rPr>
      </w:pPr>
    </w:p>
    <w:p>
      <w:pPr>
        <w:pStyle w:val="62"/>
        <w:ind w:firstLine="640" w:firstLineChars="200"/>
        <w:rPr>
          <w:rFonts w:hAnsi="楷体" w:eastAsia="楷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ind w:firstLine="640" w:firstLineChars="200"/>
        <w:rPr>
          <w:rFonts w:eastAsia="黑体"/>
        </w:rPr>
      </w:pPr>
    </w:p>
    <w:p>
      <w:pPr>
        <w:pStyle w:val="62"/>
        <w:rPr>
          <w:rFonts w:eastAsia="黑体"/>
        </w:rPr>
      </w:pPr>
    </w:p>
    <w:p>
      <w:pPr>
        <w:ind w:firstLine="640" w:firstLineChars="200"/>
        <w:jc w:val="center"/>
        <w:rPr>
          <w:rFonts w:eastAsia="黑体"/>
        </w:rPr>
      </w:pPr>
      <w:r>
        <w:rPr>
          <w:rFonts w:eastAsia="黑体"/>
        </w:rPr>
        <w:t>第二部分 预算表格</w:t>
      </w:r>
    </w:p>
    <w:tbl>
      <w:tblPr>
        <w:tblStyle w:val="9"/>
        <w:tblpPr w:leftFromText="180" w:rightFromText="180" w:vertAnchor="text" w:horzAnchor="page" w:tblpX="1126" w:tblpY="698"/>
        <w:tblOverlap w:val="never"/>
        <w:tblW w:w="9908" w:type="dxa"/>
        <w:tblInd w:w="0" w:type="dxa"/>
        <w:tblLayout w:type="fixed"/>
        <w:tblCellMar>
          <w:top w:w="0" w:type="dxa"/>
          <w:left w:w="108" w:type="dxa"/>
          <w:bottom w:w="0" w:type="dxa"/>
          <w:right w:w="108" w:type="dxa"/>
        </w:tblCellMar>
      </w:tblPr>
      <w:tblGrid>
        <w:gridCol w:w="2902"/>
        <w:gridCol w:w="750"/>
        <w:gridCol w:w="765"/>
        <w:gridCol w:w="675"/>
        <w:gridCol w:w="2550"/>
        <w:gridCol w:w="840"/>
        <w:gridCol w:w="840"/>
        <w:gridCol w:w="586"/>
      </w:tblGrid>
      <w:tr>
        <w:tblPrEx>
          <w:tblCellMar>
            <w:top w:w="0" w:type="dxa"/>
            <w:left w:w="108" w:type="dxa"/>
            <w:bottom w:w="0" w:type="dxa"/>
            <w:right w:w="108" w:type="dxa"/>
          </w:tblCellMar>
        </w:tblPrEx>
        <w:trPr>
          <w:trHeight w:val="525" w:hRule="atLeast"/>
        </w:trPr>
        <w:tc>
          <w:tcPr>
            <w:tcW w:w="9908" w:type="dxa"/>
            <w:gridSpan w:val="8"/>
            <w:tcBorders>
              <w:top w:val="nil"/>
              <w:left w:val="nil"/>
              <w:bottom w:val="nil"/>
              <w:right w:val="nil"/>
            </w:tcBorders>
            <w:vAlign w:val="center"/>
          </w:tcPr>
          <w:p>
            <w:pPr>
              <w:widowControl/>
              <w:jc w:val="center"/>
              <w:rPr>
                <w:rFonts w:eastAsia="方正小标宋简体"/>
                <w:kern w:val="0"/>
                <w:sz w:val="44"/>
                <w:szCs w:val="44"/>
              </w:rPr>
            </w:pPr>
            <w:r>
              <w:rPr>
                <w:rFonts w:eastAsia="方正小标宋简体"/>
                <w:kern w:val="0"/>
                <w:sz w:val="44"/>
                <w:szCs w:val="44"/>
              </w:rPr>
              <w:t>收支</w:t>
            </w:r>
            <w:r>
              <w:rPr>
                <w:rFonts w:hint="eastAsia" w:eastAsia="方正小标宋简体"/>
                <w:kern w:val="0"/>
                <w:sz w:val="44"/>
                <w:szCs w:val="44"/>
              </w:rPr>
              <w:t>总</w:t>
            </w:r>
            <w:r>
              <w:rPr>
                <w:rFonts w:eastAsia="方正小标宋简体"/>
                <w:kern w:val="0"/>
                <w:sz w:val="44"/>
                <w:szCs w:val="44"/>
              </w:rPr>
              <w:t>表</w:t>
            </w:r>
          </w:p>
        </w:tc>
      </w:tr>
      <w:tr>
        <w:trPr>
          <w:trHeight w:val="315" w:hRule="atLeast"/>
        </w:trPr>
        <w:tc>
          <w:tcPr>
            <w:tcW w:w="4417" w:type="dxa"/>
            <w:gridSpan w:val="3"/>
            <w:tcBorders>
              <w:top w:val="nil"/>
              <w:left w:val="nil"/>
              <w:bottom w:val="nil"/>
              <w:right w:val="nil"/>
            </w:tcBorders>
            <w:vAlign w:val="center"/>
          </w:tcPr>
          <w:p>
            <w:pPr>
              <w:widowControl/>
              <w:jc w:val="center"/>
              <w:rPr>
                <w:rFonts w:eastAsia="宋体"/>
                <w:kern w:val="0"/>
                <w:sz w:val="20"/>
              </w:rPr>
            </w:pPr>
          </w:p>
        </w:tc>
        <w:tc>
          <w:tcPr>
            <w:tcW w:w="675" w:type="dxa"/>
            <w:tcBorders>
              <w:top w:val="nil"/>
              <w:left w:val="nil"/>
              <w:bottom w:val="nil"/>
              <w:right w:val="nil"/>
            </w:tcBorders>
            <w:vAlign w:val="center"/>
          </w:tcPr>
          <w:p>
            <w:pPr>
              <w:widowControl/>
              <w:jc w:val="center"/>
              <w:rPr>
                <w:rFonts w:eastAsia="宋体"/>
                <w:kern w:val="0"/>
                <w:sz w:val="20"/>
              </w:rPr>
            </w:pPr>
          </w:p>
        </w:tc>
        <w:tc>
          <w:tcPr>
            <w:tcW w:w="3390" w:type="dxa"/>
            <w:gridSpan w:val="2"/>
            <w:tcBorders>
              <w:top w:val="nil"/>
              <w:left w:val="nil"/>
              <w:bottom w:val="nil"/>
              <w:right w:val="nil"/>
            </w:tcBorders>
            <w:vAlign w:val="center"/>
          </w:tcPr>
          <w:p>
            <w:pPr>
              <w:widowControl/>
              <w:jc w:val="center"/>
              <w:rPr>
                <w:rFonts w:eastAsia="宋体"/>
                <w:kern w:val="0"/>
                <w:sz w:val="20"/>
              </w:rPr>
            </w:pPr>
          </w:p>
        </w:tc>
        <w:tc>
          <w:tcPr>
            <w:tcW w:w="1426" w:type="dxa"/>
            <w:gridSpan w:val="2"/>
            <w:tcBorders>
              <w:top w:val="nil"/>
              <w:left w:val="nil"/>
              <w:bottom w:val="nil"/>
              <w:right w:val="nil"/>
            </w:tcBorders>
            <w:vAlign w:val="center"/>
          </w:tcPr>
          <w:p>
            <w:pPr>
              <w:widowControl/>
              <w:jc w:val="center"/>
              <w:rPr>
                <w:rFonts w:eastAsia="宋体"/>
                <w:kern w:val="0"/>
                <w:sz w:val="20"/>
              </w:rPr>
            </w:pPr>
            <w:r>
              <w:rPr>
                <w:rFonts w:eastAsia="宋体"/>
                <w:kern w:val="0"/>
                <w:sz w:val="20"/>
              </w:rPr>
              <w:t>单位：万元</w:t>
            </w:r>
          </w:p>
        </w:tc>
      </w:tr>
      <w:tr>
        <w:tblPrEx>
          <w:tblCellMar>
            <w:top w:w="0" w:type="dxa"/>
            <w:left w:w="108" w:type="dxa"/>
            <w:bottom w:w="0" w:type="dxa"/>
            <w:right w:w="108" w:type="dxa"/>
          </w:tblCellMar>
        </w:tblPrEx>
        <w:trPr>
          <w:trHeight w:val="435" w:hRule="atLeast"/>
        </w:trPr>
        <w:tc>
          <w:tcPr>
            <w:tcW w:w="50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16"/>
                <w:szCs w:val="16"/>
              </w:rPr>
            </w:pPr>
            <w:r>
              <w:rPr>
                <w:rFonts w:eastAsia="宋体"/>
                <w:kern w:val="0"/>
                <w:sz w:val="16"/>
                <w:szCs w:val="16"/>
              </w:rPr>
              <w:t>收       入</w:t>
            </w:r>
          </w:p>
        </w:tc>
        <w:tc>
          <w:tcPr>
            <w:tcW w:w="4816" w:type="dxa"/>
            <w:gridSpan w:val="4"/>
            <w:tcBorders>
              <w:top w:val="single" w:color="auto" w:sz="4" w:space="0"/>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 xml:space="preserve">支 </w:t>
            </w:r>
            <w:r>
              <w:rPr>
                <w:rFonts w:eastAsia="宋体"/>
                <w:kern w:val="0"/>
                <w:sz w:val="16"/>
                <w:szCs w:val="16"/>
              </w:rPr>
              <w:t xml:space="preserve">       </w:t>
            </w:r>
            <w:r>
              <w:rPr>
                <w:rFonts w:hint="eastAsia" w:eastAsia="宋体"/>
                <w:kern w:val="0"/>
                <w:sz w:val="16"/>
                <w:szCs w:val="16"/>
              </w:rPr>
              <w:t>出</w:t>
            </w:r>
          </w:p>
        </w:tc>
      </w:tr>
      <w:tr>
        <w:tblPrEx>
          <w:tblCellMar>
            <w:top w:w="0" w:type="dxa"/>
            <w:left w:w="108" w:type="dxa"/>
            <w:bottom w:w="0" w:type="dxa"/>
            <w:right w:w="108" w:type="dxa"/>
          </w:tblCellMar>
        </w:tblPrEx>
        <w:trPr>
          <w:trHeight w:val="435" w:hRule="atLeast"/>
        </w:trPr>
        <w:tc>
          <w:tcPr>
            <w:tcW w:w="290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16"/>
                <w:szCs w:val="16"/>
              </w:rPr>
            </w:pPr>
            <w:r>
              <w:rPr>
                <w:rFonts w:eastAsia="宋体"/>
                <w:kern w:val="0"/>
                <w:sz w:val="16"/>
                <w:szCs w:val="16"/>
              </w:rPr>
              <w:t>项  目</w:t>
            </w:r>
          </w:p>
        </w:tc>
        <w:tc>
          <w:tcPr>
            <w:tcW w:w="750"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2</w:t>
            </w:r>
            <w:r>
              <w:rPr>
                <w:rFonts w:eastAsia="宋体"/>
                <w:kern w:val="0"/>
                <w:sz w:val="16"/>
                <w:szCs w:val="16"/>
              </w:rPr>
              <w:t>022</w:t>
            </w:r>
            <w:r>
              <w:rPr>
                <w:rFonts w:hint="eastAsia" w:eastAsia="宋体"/>
                <w:kern w:val="0"/>
                <w:sz w:val="16"/>
                <w:szCs w:val="16"/>
              </w:rPr>
              <w:t>年</w:t>
            </w:r>
            <w:r>
              <w:rPr>
                <w:rFonts w:eastAsia="宋体"/>
                <w:kern w:val="0"/>
                <w:sz w:val="16"/>
                <w:szCs w:val="16"/>
              </w:rPr>
              <w:t>预算数</w:t>
            </w:r>
          </w:p>
        </w:tc>
        <w:tc>
          <w:tcPr>
            <w:tcW w:w="765"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当年</w:t>
            </w:r>
          </w:p>
          <w:p>
            <w:pPr>
              <w:widowControl/>
              <w:jc w:val="center"/>
              <w:rPr>
                <w:rFonts w:eastAsia="宋体"/>
                <w:kern w:val="0"/>
                <w:sz w:val="16"/>
                <w:szCs w:val="16"/>
              </w:rPr>
            </w:pPr>
            <w:r>
              <w:rPr>
                <w:rFonts w:hint="eastAsia" w:eastAsia="宋体"/>
                <w:kern w:val="0"/>
                <w:sz w:val="16"/>
                <w:szCs w:val="16"/>
              </w:rPr>
              <w:t>预算</w:t>
            </w:r>
          </w:p>
        </w:tc>
        <w:tc>
          <w:tcPr>
            <w:tcW w:w="675"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上年结转</w:t>
            </w:r>
          </w:p>
        </w:tc>
        <w:tc>
          <w:tcPr>
            <w:tcW w:w="2550"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eastAsia="宋体"/>
                <w:kern w:val="0"/>
                <w:sz w:val="16"/>
                <w:szCs w:val="16"/>
              </w:rPr>
              <w:t>项  目</w:t>
            </w:r>
          </w:p>
        </w:tc>
        <w:tc>
          <w:tcPr>
            <w:tcW w:w="840"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2</w:t>
            </w:r>
            <w:r>
              <w:rPr>
                <w:rFonts w:eastAsia="宋体"/>
                <w:kern w:val="0"/>
                <w:sz w:val="16"/>
                <w:szCs w:val="16"/>
              </w:rPr>
              <w:t>022</w:t>
            </w:r>
            <w:r>
              <w:rPr>
                <w:rFonts w:hint="eastAsia" w:eastAsia="宋体"/>
                <w:kern w:val="0"/>
                <w:sz w:val="16"/>
                <w:szCs w:val="16"/>
              </w:rPr>
              <w:t>年预算数</w:t>
            </w:r>
          </w:p>
        </w:tc>
        <w:tc>
          <w:tcPr>
            <w:tcW w:w="840"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当年</w:t>
            </w:r>
          </w:p>
          <w:p>
            <w:pPr>
              <w:widowControl/>
              <w:jc w:val="center"/>
              <w:rPr>
                <w:rFonts w:eastAsia="宋体"/>
                <w:kern w:val="0"/>
                <w:sz w:val="16"/>
                <w:szCs w:val="16"/>
              </w:rPr>
            </w:pPr>
            <w:r>
              <w:rPr>
                <w:rFonts w:eastAsia="宋体"/>
                <w:kern w:val="0"/>
                <w:sz w:val="16"/>
                <w:szCs w:val="16"/>
              </w:rPr>
              <w:t>预算</w:t>
            </w: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r>
              <w:rPr>
                <w:rFonts w:hint="eastAsia" w:eastAsia="宋体"/>
                <w:kern w:val="0"/>
                <w:sz w:val="16"/>
                <w:szCs w:val="16"/>
              </w:rPr>
              <w:t>上年结转</w:t>
            </w: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rPr>
                <w:rFonts w:eastAsia="宋体"/>
                <w:sz w:val="16"/>
                <w:szCs w:val="16"/>
              </w:rPr>
            </w:pPr>
            <w:r>
              <w:rPr>
                <w:rFonts w:hint="eastAsia" w:eastAsia="宋体"/>
                <w:sz w:val="16"/>
                <w:szCs w:val="16"/>
              </w:rPr>
              <w:t>一、财政拨款收入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rPr>
                <w:rFonts w:eastAsia="宋体"/>
                <w:color w:val="000000"/>
                <w:kern w:val="0"/>
                <w:sz w:val="16"/>
                <w:szCs w:val="16"/>
              </w:rPr>
            </w:pPr>
            <w:r>
              <w:rPr>
                <w:rFonts w:eastAsia="宋体"/>
                <w:color w:val="000000"/>
                <w:kern w:val="0"/>
                <w:sz w:val="16"/>
                <w:szCs w:val="16"/>
              </w:rPr>
              <w:t>一、一般公共服务</w:t>
            </w:r>
            <w:r>
              <w:rPr>
                <w:rFonts w:hint="eastAsia" w:eastAsia="宋体"/>
                <w:color w:val="000000"/>
                <w:kern w:val="0"/>
                <w:sz w:val="16"/>
                <w:szCs w:val="16"/>
              </w:rPr>
              <w:t>支出</w:t>
            </w: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68.36</w:t>
            </w:r>
          </w:p>
        </w:tc>
        <w:tc>
          <w:tcPr>
            <w:tcW w:w="840" w:type="dxa"/>
            <w:tcBorders>
              <w:top w:val="nil"/>
              <w:left w:val="nil"/>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68.36</w:t>
            </w: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一般公共预算拨款收入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r>
              <w:rPr>
                <w:rFonts w:hint="eastAsia" w:eastAsia="宋体"/>
                <w:kern w:val="0"/>
                <w:sz w:val="16"/>
                <w:szCs w:val="16"/>
              </w:rPr>
              <w:t>84.72</w:t>
            </w: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autoSpaceDN w:val="0"/>
              <w:textAlignment w:val="center"/>
              <w:rPr>
                <w:rFonts w:eastAsia="宋体"/>
                <w:color w:val="000000"/>
                <w:kern w:val="0"/>
                <w:sz w:val="16"/>
                <w:szCs w:val="16"/>
              </w:rPr>
            </w:pPr>
            <w:r>
              <w:rPr>
                <w:rFonts w:eastAsia="宋体"/>
                <w:color w:val="000000"/>
                <w:sz w:val="16"/>
                <w:szCs w:val="16"/>
              </w:rPr>
              <w:t>二、</w:t>
            </w:r>
            <w:r>
              <w:rPr>
                <w:rFonts w:hint="eastAsia" w:eastAsia="宋体"/>
                <w:color w:val="000000"/>
                <w:sz w:val="16"/>
                <w:szCs w:val="16"/>
              </w:rPr>
              <w:t>社会保障和就业支出</w:t>
            </w:r>
          </w:p>
        </w:tc>
        <w:tc>
          <w:tcPr>
            <w:tcW w:w="840"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7.65</w:t>
            </w:r>
          </w:p>
        </w:tc>
        <w:tc>
          <w:tcPr>
            <w:tcW w:w="840" w:type="dxa"/>
            <w:tcBorders>
              <w:top w:val="nil"/>
              <w:left w:val="nil"/>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7.65</w:t>
            </w: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政府性基金预算拨款收入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autoSpaceDN w:val="0"/>
              <w:textAlignment w:val="center"/>
              <w:rPr>
                <w:rFonts w:eastAsia="宋体"/>
                <w:color w:val="000000"/>
                <w:kern w:val="0"/>
                <w:sz w:val="16"/>
                <w:szCs w:val="16"/>
              </w:rPr>
            </w:pPr>
            <w:r>
              <w:rPr>
                <w:rFonts w:eastAsia="宋体"/>
                <w:color w:val="000000"/>
                <w:sz w:val="16"/>
                <w:szCs w:val="16"/>
              </w:rPr>
              <w:t>三、</w:t>
            </w:r>
            <w:r>
              <w:rPr>
                <w:rFonts w:hint="eastAsia" w:eastAsia="宋体"/>
                <w:color w:val="000000"/>
                <w:sz w:val="16"/>
                <w:szCs w:val="16"/>
              </w:rPr>
              <w:t>卫生健康支出</w:t>
            </w:r>
          </w:p>
        </w:tc>
        <w:tc>
          <w:tcPr>
            <w:tcW w:w="840"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3.02</w:t>
            </w:r>
          </w:p>
        </w:tc>
        <w:tc>
          <w:tcPr>
            <w:tcW w:w="840" w:type="dxa"/>
            <w:tcBorders>
              <w:top w:val="nil"/>
              <w:left w:val="nil"/>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3.02</w:t>
            </w: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国有资本经营预算拨款收入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autoSpaceDN w:val="0"/>
              <w:textAlignment w:val="center"/>
              <w:rPr>
                <w:rFonts w:eastAsia="宋体"/>
                <w:color w:val="000000"/>
                <w:kern w:val="0"/>
                <w:sz w:val="16"/>
                <w:szCs w:val="16"/>
              </w:rPr>
            </w:pPr>
            <w:r>
              <w:rPr>
                <w:rFonts w:hint="eastAsia" w:eastAsia="宋体"/>
                <w:color w:val="000000"/>
                <w:kern w:val="0"/>
                <w:sz w:val="16"/>
                <w:szCs w:val="16"/>
              </w:rPr>
              <w:t>四、住房保障支出</w:t>
            </w:r>
          </w:p>
        </w:tc>
        <w:tc>
          <w:tcPr>
            <w:tcW w:w="840"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5.69</w:t>
            </w:r>
          </w:p>
        </w:tc>
        <w:tc>
          <w:tcPr>
            <w:tcW w:w="840" w:type="dxa"/>
            <w:tcBorders>
              <w:top w:val="nil"/>
              <w:left w:val="nil"/>
              <w:bottom w:val="single" w:color="auto" w:sz="4" w:space="0"/>
              <w:right w:val="single" w:color="auto" w:sz="4" w:space="0"/>
            </w:tcBorders>
            <w:vAlign w:val="center"/>
          </w:tcPr>
          <w:p>
            <w:pPr>
              <w:autoSpaceDN w:val="0"/>
              <w:jc w:val="right"/>
              <w:textAlignment w:val="center"/>
              <w:rPr>
                <w:rFonts w:eastAsia="宋体"/>
                <w:color w:val="000000"/>
                <w:kern w:val="0"/>
                <w:sz w:val="16"/>
                <w:szCs w:val="16"/>
              </w:rPr>
            </w:pPr>
            <w:r>
              <w:rPr>
                <w:rFonts w:hint="eastAsia" w:eastAsia="宋体"/>
                <w:color w:val="000000"/>
                <w:kern w:val="0"/>
                <w:sz w:val="16"/>
                <w:szCs w:val="16"/>
              </w:rPr>
              <w:t>5.69</w:t>
            </w: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shd w:val="solid" w:color="FFFFFF" w:fill="auto"/>
            <w:vAlign w:val="center"/>
          </w:tcPr>
          <w:p>
            <w:pPr>
              <w:rPr>
                <w:rFonts w:eastAsia="宋体"/>
                <w:sz w:val="16"/>
                <w:szCs w:val="16"/>
              </w:rPr>
            </w:pPr>
            <w:r>
              <w:rPr>
                <w:rFonts w:hint="eastAsia" w:eastAsia="宋体"/>
                <w:sz w:val="16"/>
                <w:szCs w:val="16"/>
              </w:rPr>
              <w:t>二、财政专户管理资金收入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shd w:val="clear" w:color="auto" w:fill="FFFFFF"/>
            <w:vAlign w:val="center"/>
          </w:tcPr>
          <w:p>
            <w:pPr>
              <w:rPr>
                <w:rFonts w:eastAsia="宋体"/>
                <w:sz w:val="16"/>
                <w:szCs w:val="16"/>
              </w:rPr>
            </w:pPr>
            <w:r>
              <w:rPr>
                <w:rFonts w:hint="eastAsia" w:eastAsia="宋体"/>
                <w:sz w:val="16"/>
                <w:szCs w:val="16"/>
              </w:rPr>
              <w:t>三、单位资金收入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事业收入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事业单位经营收入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上级补助收入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附属单位上缴收入</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840"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ind w:firstLine="320" w:firstLineChars="200"/>
              <w:rPr>
                <w:rFonts w:eastAsia="宋体"/>
                <w:sz w:val="16"/>
                <w:szCs w:val="16"/>
              </w:rPr>
            </w:pPr>
            <w:r>
              <w:rPr>
                <w:rFonts w:hint="eastAsia" w:eastAsia="宋体"/>
                <w:sz w:val="16"/>
                <w:szCs w:val="16"/>
              </w:rPr>
              <w:t>其他收入</w:t>
            </w:r>
          </w:p>
        </w:tc>
        <w:tc>
          <w:tcPr>
            <w:tcW w:w="750" w:type="dxa"/>
            <w:tcBorders>
              <w:top w:val="nil"/>
              <w:left w:val="nil"/>
              <w:bottom w:val="single" w:color="auto" w:sz="4" w:space="0"/>
              <w:right w:val="single" w:color="auto" w:sz="4" w:space="0"/>
            </w:tcBorders>
            <w:vAlign w:val="center"/>
          </w:tcPr>
          <w:p>
            <w:pPr>
              <w:jc w:val="right"/>
              <w:rPr>
                <w:rFonts w:eastAsia="宋体"/>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sz w:val="16"/>
                <w:szCs w:val="16"/>
              </w:rPr>
            </w:pPr>
          </w:p>
        </w:tc>
        <w:tc>
          <w:tcPr>
            <w:tcW w:w="2550" w:type="dxa"/>
            <w:tcBorders>
              <w:top w:val="nil"/>
              <w:left w:val="single" w:color="auto" w:sz="4" w:space="0"/>
              <w:bottom w:val="single" w:color="auto" w:sz="4" w:space="0"/>
              <w:right w:val="single" w:color="auto" w:sz="4" w:space="0"/>
            </w:tcBorders>
            <w:vAlign w:val="center"/>
          </w:tcPr>
          <w:p>
            <w:pPr>
              <w:jc w:val="center"/>
              <w:rPr>
                <w:rFonts w:eastAsia="宋体"/>
                <w:sz w:val="16"/>
                <w:szCs w:val="16"/>
              </w:rPr>
            </w:pPr>
          </w:p>
        </w:tc>
        <w:tc>
          <w:tcPr>
            <w:tcW w:w="840" w:type="dxa"/>
            <w:tcBorders>
              <w:top w:val="nil"/>
              <w:left w:val="single" w:color="auto" w:sz="4" w:space="0"/>
              <w:bottom w:val="single" w:color="auto" w:sz="4" w:space="0"/>
              <w:right w:val="single" w:color="auto" w:sz="4" w:space="0"/>
            </w:tcBorders>
            <w:vAlign w:val="center"/>
          </w:tcPr>
          <w:p>
            <w:pPr>
              <w:jc w:val="right"/>
              <w:rPr>
                <w:rFonts w:eastAsia="宋体"/>
                <w:sz w:val="16"/>
                <w:szCs w:val="16"/>
              </w:rPr>
            </w:pPr>
          </w:p>
        </w:tc>
        <w:tc>
          <w:tcPr>
            <w:tcW w:w="840" w:type="dxa"/>
            <w:tcBorders>
              <w:top w:val="nil"/>
              <w:left w:val="nil"/>
              <w:bottom w:val="single" w:color="auto" w:sz="4" w:space="0"/>
              <w:right w:val="single" w:color="auto" w:sz="4" w:space="0"/>
            </w:tcBorders>
            <w:vAlign w:val="center"/>
          </w:tcPr>
          <w:p>
            <w:pPr>
              <w:jc w:val="right"/>
              <w:rPr>
                <w:rFonts w:eastAsia="宋体"/>
                <w:sz w:val="16"/>
                <w:szCs w:val="16"/>
              </w:rPr>
            </w:pPr>
          </w:p>
        </w:tc>
        <w:tc>
          <w:tcPr>
            <w:tcW w:w="586" w:type="dxa"/>
            <w:tcBorders>
              <w:top w:val="nil"/>
              <w:left w:val="nil"/>
              <w:bottom w:val="single" w:color="auto" w:sz="4" w:space="0"/>
              <w:right w:val="single" w:color="auto" w:sz="4" w:space="0"/>
            </w:tcBorders>
            <w:vAlign w:val="center"/>
          </w:tcPr>
          <w:p>
            <w:pPr>
              <w:jc w:val="center"/>
              <w:rPr>
                <w:rFonts w:eastAsia="宋体"/>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16"/>
                <w:szCs w:val="16"/>
              </w:rPr>
            </w:pPr>
            <w:r>
              <w:rPr>
                <w:rFonts w:eastAsia="宋体"/>
                <w:b/>
                <w:bCs/>
                <w:kern w:val="0"/>
                <w:sz w:val="16"/>
                <w:szCs w:val="16"/>
              </w:rPr>
              <w:t>本年收入合计</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16"/>
                <w:szCs w:val="16"/>
              </w:rPr>
            </w:pPr>
            <w:r>
              <w:rPr>
                <w:rFonts w:eastAsia="宋体"/>
                <w:b/>
                <w:bCs/>
                <w:kern w:val="0"/>
                <w:sz w:val="16"/>
                <w:szCs w:val="16"/>
              </w:rPr>
              <w:t>本年支出合计</w:t>
            </w: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bCs/>
                <w:kern w:val="0"/>
                <w:sz w:val="16"/>
                <w:szCs w:val="16"/>
              </w:rPr>
            </w:pPr>
            <w:r>
              <w:rPr>
                <w:rFonts w:hint="eastAsia" w:eastAsia="宋体"/>
                <w:kern w:val="0"/>
                <w:sz w:val="16"/>
                <w:szCs w:val="16"/>
              </w:rPr>
              <w:t>84.72</w:t>
            </w: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rPr>
                <w:rFonts w:eastAsia="宋体"/>
                <w:sz w:val="16"/>
                <w:szCs w:val="16"/>
              </w:rPr>
            </w:pPr>
            <w:r>
              <w:rPr>
                <w:rFonts w:hint="eastAsia" w:eastAsia="宋体"/>
                <w:sz w:val="16"/>
                <w:szCs w:val="16"/>
              </w:rPr>
              <w:t>财政拨款结转</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rPr>
                <w:rFonts w:eastAsia="宋体"/>
                <w:kern w:val="0"/>
                <w:sz w:val="16"/>
                <w:szCs w:val="16"/>
              </w:rPr>
            </w:pPr>
            <w:r>
              <w:rPr>
                <w:rFonts w:eastAsia="宋体"/>
                <w:kern w:val="0"/>
                <w:sz w:val="16"/>
                <w:szCs w:val="16"/>
              </w:rPr>
              <w:t>结转下年</w:t>
            </w:r>
            <w:r>
              <w:rPr>
                <w:rFonts w:hint="eastAsia" w:eastAsia="宋体"/>
                <w:kern w:val="0"/>
                <w:sz w:val="16"/>
                <w:szCs w:val="16"/>
              </w:rPr>
              <w:t>支出</w:t>
            </w: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840" w:type="dxa"/>
            <w:tcBorders>
              <w:top w:val="nil"/>
              <w:left w:val="nil"/>
              <w:bottom w:val="single" w:color="auto" w:sz="4" w:space="0"/>
              <w:right w:val="single" w:color="auto" w:sz="4" w:space="0"/>
            </w:tcBorders>
            <w:vAlign w:val="center"/>
          </w:tcPr>
          <w:p>
            <w:pPr>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rPr>
                <w:rFonts w:eastAsia="宋体"/>
                <w:sz w:val="16"/>
                <w:szCs w:val="16"/>
              </w:rPr>
            </w:pPr>
            <w:r>
              <w:rPr>
                <w:rFonts w:hint="eastAsia" w:eastAsia="宋体"/>
                <w:sz w:val="16"/>
                <w:szCs w:val="16"/>
              </w:rPr>
              <w:t>其他收入结转结余</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rPr>
                <w:rFonts w:eastAsia="宋体"/>
                <w:sz w:val="16"/>
                <w:szCs w:val="16"/>
              </w:rPr>
            </w:pPr>
            <w:r>
              <w:rPr>
                <w:rFonts w:hint="eastAsia" w:eastAsia="宋体"/>
                <w:sz w:val="16"/>
                <w:szCs w:val="16"/>
              </w:rPr>
              <w:t>用事业基金弥补收支差额</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16"/>
                <w:szCs w:val="16"/>
              </w:rPr>
            </w:pP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r>
        <w:tblPrEx>
          <w:tblCellMar>
            <w:top w:w="0" w:type="dxa"/>
            <w:left w:w="108" w:type="dxa"/>
            <w:bottom w:w="0" w:type="dxa"/>
            <w:right w:w="108" w:type="dxa"/>
          </w:tblCellMar>
        </w:tblPrEx>
        <w:trPr>
          <w:trHeight w:val="360" w:hRule="atLeast"/>
        </w:trPr>
        <w:tc>
          <w:tcPr>
            <w:tcW w:w="2902" w:type="dxa"/>
            <w:tcBorders>
              <w:top w:val="nil"/>
              <w:left w:val="single" w:color="auto" w:sz="4" w:space="0"/>
              <w:bottom w:val="single" w:color="auto" w:sz="4" w:space="0"/>
              <w:right w:val="single" w:color="auto" w:sz="4" w:space="0"/>
            </w:tcBorders>
            <w:vAlign w:val="center"/>
          </w:tcPr>
          <w:p>
            <w:pPr>
              <w:jc w:val="center"/>
              <w:rPr>
                <w:rFonts w:eastAsia="宋体"/>
                <w:sz w:val="16"/>
                <w:szCs w:val="16"/>
              </w:rPr>
            </w:pPr>
            <w:r>
              <w:rPr>
                <w:rFonts w:eastAsia="黑体"/>
                <w:b/>
                <w:bCs/>
                <w:kern w:val="0"/>
                <w:sz w:val="16"/>
                <w:szCs w:val="16"/>
              </w:rPr>
              <w:t>收入总计</w:t>
            </w:r>
          </w:p>
        </w:tc>
        <w:tc>
          <w:tcPr>
            <w:tcW w:w="75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675" w:type="dxa"/>
            <w:tcBorders>
              <w:top w:val="nil"/>
              <w:left w:val="single" w:color="auto" w:sz="4" w:space="0"/>
              <w:bottom w:val="single" w:color="auto" w:sz="4" w:space="0"/>
              <w:right w:val="nil"/>
            </w:tcBorders>
            <w:vAlign w:val="center"/>
          </w:tcPr>
          <w:p>
            <w:pPr>
              <w:widowControl/>
              <w:jc w:val="center"/>
              <w:rPr>
                <w:rFonts w:eastAsia="宋体"/>
                <w:kern w:val="0"/>
                <w:sz w:val="16"/>
                <w:szCs w:val="16"/>
              </w:rPr>
            </w:pPr>
          </w:p>
        </w:tc>
        <w:tc>
          <w:tcPr>
            <w:tcW w:w="255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16"/>
                <w:szCs w:val="16"/>
              </w:rPr>
            </w:pPr>
            <w:r>
              <w:rPr>
                <w:rFonts w:eastAsia="黑体"/>
                <w:b/>
                <w:bCs/>
                <w:kern w:val="0"/>
                <w:sz w:val="16"/>
                <w:szCs w:val="16"/>
              </w:rPr>
              <w:t>支出总计</w:t>
            </w:r>
          </w:p>
        </w:tc>
        <w:tc>
          <w:tcPr>
            <w:tcW w:w="840"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840" w:type="dxa"/>
            <w:tcBorders>
              <w:top w:val="nil"/>
              <w:left w:val="nil"/>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586" w:type="dxa"/>
            <w:tcBorders>
              <w:top w:val="nil"/>
              <w:left w:val="nil"/>
              <w:bottom w:val="single" w:color="auto" w:sz="4" w:space="0"/>
              <w:right w:val="single" w:color="auto" w:sz="4" w:space="0"/>
            </w:tcBorders>
            <w:vAlign w:val="center"/>
          </w:tcPr>
          <w:p>
            <w:pPr>
              <w:widowControl/>
              <w:jc w:val="center"/>
              <w:rPr>
                <w:rFonts w:eastAsia="宋体"/>
                <w:kern w:val="0"/>
                <w:sz w:val="16"/>
                <w:szCs w:val="16"/>
              </w:rPr>
            </w:pPr>
          </w:p>
        </w:tc>
      </w:tr>
    </w:tbl>
    <w:p>
      <w:pPr>
        <w:ind w:firstLine="640" w:firstLineChars="200"/>
        <w:rPr>
          <w:rFonts w:eastAsia="楷体_GB2312"/>
          <w:strike/>
        </w:rPr>
      </w:pPr>
    </w:p>
    <w:p>
      <w:pPr>
        <w:ind w:firstLine="640" w:firstLineChars="200"/>
        <w:rPr>
          <w:rFonts w:eastAsia="楷体_GB2312"/>
        </w:rPr>
      </w:pPr>
    </w:p>
    <w:p>
      <w:pPr>
        <w:rPr>
          <w:rFonts w:hAnsi="楷体" w:eastAsia="楷体"/>
        </w:rPr>
      </w:pPr>
    </w:p>
    <w:p>
      <w:pPr>
        <w:rPr>
          <w:rFonts w:hAnsi="楷体" w:eastAsia="楷体"/>
        </w:rPr>
      </w:pPr>
    </w:p>
    <w:p>
      <w:pPr>
        <w:rPr>
          <w:rFonts w:hAnsi="楷体" w:eastAsia="楷体"/>
        </w:rPr>
      </w:pPr>
    </w:p>
    <w:p>
      <w:pPr>
        <w:rPr>
          <w:rFonts w:eastAsia="楷体"/>
        </w:rPr>
      </w:pPr>
    </w:p>
    <w:p>
      <w:pPr>
        <w:jc w:val="center"/>
        <w:rPr>
          <w:rFonts w:eastAsia="方正小标宋简体"/>
          <w:sz w:val="44"/>
        </w:rPr>
      </w:pPr>
      <w:r>
        <w:rPr>
          <w:rFonts w:eastAsia="方正小标宋简体"/>
          <w:sz w:val="44"/>
        </w:rPr>
        <w:t>收入</w:t>
      </w:r>
      <w:r>
        <w:rPr>
          <w:rFonts w:hint="eastAsia" w:eastAsia="方正小标宋简体"/>
          <w:sz w:val="44"/>
        </w:rPr>
        <w:t>总</w:t>
      </w:r>
      <w:r>
        <w:rPr>
          <w:rFonts w:eastAsia="方正小标宋简体"/>
          <w:sz w:val="44"/>
        </w:rPr>
        <w:t>表</w:t>
      </w:r>
    </w:p>
    <w:tbl>
      <w:tblPr>
        <w:tblStyle w:val="9"/>
        <w:tblW w:w="9062" w:type="dxa"/>
        <w:jc w:val="center"/>
        <w:tblLayout w:type="fixed"/>
        <w:tblCellMar>
          <w:top w:w="0" w:type="dxa"/>
          <w:left w:w="108" w:type="dxa"/>
          <w:bottom w:w="0" w:type="dxa"/>
          <w:right w:w="108" w:type="dxa"/>
        </w:tblCellMar>
      </w:tblPr>
      <w:tblGrid>
        <w:gridCol w:w="428"/>
        <w:gridCol w:w="882"/>
        <w:gridCol w:w="690"/>
        <w:gridCol w:w="711"/>
        <w:gridCol w:w="736"/>
        <w:gridCol w:w="374"/>
        <w:gridCol w:w="374"/>
        <w:gridCol w:w="363"/>
        <w:gridCol w:w="11"/>
        <w:gridCol w:w="374"/>
        <w:gridCol w:w="374"/>
        <w:gridCol w:w="302"/>
        <w:gridCol w:w="72"/>
        <w:gridCol w:w="374"/>
        <w:gridCol w:w="274"/>
        <w:gridCol w:w="100"/>
        <w:gridCol w:w="374"/>
        <w:gridCol w:w="374"/>
        <w:gridCol w:w="25"/>
        <w:gridCol w:w="349"/>
        <w:gridCol w:w="374"/>
        <w:gridCol w:w="374"/>
        <w:gridCol w:w="374"/>
        <w:gridCol w:w="379"/>
      </w:tblGrid>
      <w:tr>
        <w:tblPrEx>
          <w:tblCellMar>
            <w:top w:w="0" w:type="dxa"/>
            <w:left w:w="108" w:type="dxa"/>
            <w:bottom w:w="0" w:type="dxa"/>
            <w:right w:w="108" w:type="dxa"/>
          </w:tblCellMar>
        </w:tblPrEx>
        <w:trPr>
          <w:trHeight w:val="441" w:hRule="atLeast"/>
          <w:jc w:val="center"/>
        </w:trPr>
        <w:tc>
          <w:tcPr>
            <w:tcW w:w="428" w:type="dxa"/>
            <w:tcBorders>
              <w:bottom w:val="single" w:color="000000" w:sz="4" w:space="0"/>
            </w:tcBorders>
          </w:tcPr>
          <w:p>
            <w:pPr>
              <w:autoSpaceDN w:val="0"/>
              <w:jc w:val="left"/>
              <w:textAlignment w:val="center"/>
              <w:rPr>
                <w:rFonts w:eastAsia="华文细黑"/>
                <w:color w:val="000000"/>
                <w:sz w:val="20"/>
              </w:rPr>
            </w:pPr>
          </w:p>
        </w:tc>
        <w:tc>
          <w:tcPr>
            <w:tcW w:w="4130" w:type="dxa"/>
            <w:gridSpan w:val="7"/>
            <w:tcBorders>
              <w:bottom w:val="single" w:color="000000" w:sz="4" w:space="0"/>
            </w:tcBorders>
            <w:vAlign w:val="center"/>
          </w:tcPr>
          <w:p>
            <w:pPr>
              <w:autoSpaceDN w:val="0"/>
              <w:jc w:val="left"/>
              <w:textAlignment w:val="center"/>
              <w:rPr>
                <w:rFonts w:eastAsia="华文细黑"/>
                <w:color w:val="000000"/>
                <w:sz w:val="20"/>
              </w:rPr>
            </w:pPr>
          </w:p>
        </w:tc>
        <w:tc>
          <w:tcPr>
            <w:tcW w:w="1061" w:type="dxa"/>
            <w:gridSpan w:val="4"/>
            <w:vAlign w:val="center"/>
          </w:tcPr>
          <w:p>
            <w:pPr>
              <w:autoSpaceDN w:val="0"/>
              <w:jc w:val="left"/>
              <w:textAlignment w:val="center"/>
              <w:rPr>
                <w:rFonts w:eastAsia="华文细黑"/>
                <w:color w:val="000000"/>
                <w:sz w:val="20"/>
              </w:rPr>
            </w:pPr>
          </w:p>
        </w:tc>
        <w:tc>
          <w:tcPr>
            <w:tcW w:w="720" w:type="dxa"/>
            <w:gridSpan w:val="3"/>
            <w:vAlign w:val="center"/>
          </w:tcPr>
          <w:p>
            <w:pPr>
              <w:autoSpaceDN w:val="0"/>
              <w:jc w:val="left"/>
              <w:textAlignment w:val="center"/>
              <w:rPr>
                <w:rFonts w:eastAsia="华文细黑"/>
                <w:color w:val="000000"/>
                <w:sz w:val="20"/>
              </w:rPr>
            </w:pPr>
          </w:p>
        </w:tc>
        <w:tc>
          <w:tcPr>
            <w:tcW w:w="474" w:type="dxa"/>
            <w:gridSpan w:val="2"/>
            <w:vAlign w:val="center"/>
          </w:tcPr>
          <w:p>
            <w:pPr>
              <w:autoSpaceDN w:val="0"/>
              <w:jc w:val="left"/>
              <w:textAlignment w:val="center"/>
              <w:rPr>
                <w:rFonts w:eastAsia="华文细黑"/>
                <w:color w:val="000000"/>
                <w:sz w:val="20"/>
              </w:rPr>
            </w:pPr>
          </w:p>
        </w:tc>
        <w:tc>
          <w:tcPr>
            <w:tcW w:w="399" w:type="dxa"/>
            <w:gridSpan w:val="2"/>
            <w:vAlign w:val="bottom"/>
          </w:tcPr>
          <w:p>
            <w:pPr>
              <w:autoSpaceDN w:val="0"/>
              <w:jc w:val="left"/>
              <w:textAlignment w:val="bottom"/>
              <w:rPr>
                <w:rFonts w:eastAsia="宋体"/>
                <w:color w:val="000000"/>
                <w:sz w:val="20"/>
              </w:rPr>
            </w:pPr>
          </w:p>
        </w:tc>
        <w:tc>
          <w:tcPr>
            <w:tcW w:w="1850" w:type="dxa"/>
            <w:gridSpan w:val="5"/>
          </w:tcPr>
          <w:p>
            <w:pPr>
              <w:wordWrap w:val="0"/>
              <w:autoSpaceDN w:val="0"/>
              <w:jc w:val="right"/>
              <w:textAlignment w:val="center"/>
              <w:rPr>
                <w:rFonts w:eastAsia="宋体"/>
                <w:color w:val="000000"/>
                <w:sz w:val="20"/>
              </w:rPr>
            </w:pPr>
            <w:r>
              <w:rPr>
                <w:rFonts w:eastAsia="宋体"/>
                <w:color w:val="000000"/>
                <w:sz w:val="20"/>
              </w:rPr>
              <w:t xml:space="preserve">  单位：万元</w:t>
            </w:r>
          </w:p>
        </w:tc>
      </w:tr>
      <w:tr>
        <w:tblPrEx>
          <w:tblCellMar>
            <w:top w:w="0" w:type="dxa"/>
            <w:left w:w="108" w:type="dxa"/>
            <w:bottom w:w="0" w:type="dxa"/>
            <w:right w:w="108" w:type="dxa"/>
          </w:tblCellMar>
        </w:tblPrEx>
        <w:trPr>
          <w:trHeight w:val="418" w:hRule="atLeast"/>
          <w:jc w:val="center"/>
        </w:trPr>
        <w:tc>
          <w:tcPr>
            <w:tcW w:w="131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部门       （单位）</w:t>
            </w:r>
          </w:p>
        </w:tc>
        <w:tc>
          <w:tcPr>
            <w:tcW w:w="690" w:type="dxa"/>
            <w:vMerge w:val="restart"/>
            <w:tcBorders>
              <w:top w:val="single" w:color="000000" w:sz="4" w:space="0"/>
              <w:left w:val="single" w:color="000000" w:sz="4" w:space="0"/>
              <w:right w:val="single" w:color="000000" w:sz="4" w:space="0"/>
            </w:tcBorders>
            <w:vAlign w:val="center"/>
          </w:tcPr>
          <w:p>
            <w:pPr>
              <w:shd w:val="solid" w:color="FFFFFF" w:fill="auto"/>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总计</w:t>
            </w:r>
          </w:p>
        </w:tc>
        <w:tc>
          <w:tcPr>
            <w:tcW w:w="4813" w:type="dxa"/>
            <w:gridSpan w:val="1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当年预算</w:t>
            </w:r>
          </w:p>
        </w:tc>
        <w:tc>
          <w:tcPr>
            <w:tcW w:w="2249" w:type="dxa"/>
            <w:gridSpan w:val="7"/>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上年结转结余</w:t>
            </w:r>
          </w:p>
        </w:tc>
      </w:tr>
      <w:tr>
        <w:tblPrEx>
          <w:tblCellMar>
            <w:top w:w="0" w:type="dxa"/>
            <w:left w:w="108" w:type="dxa"/>
            <w:bottom w:w="0" w:type="dxa"/>
            <w:right w:w="108" w:type="dxa"/>
          </w:tblCellMar>
        </w:tblPrEx>
        <w:trPr>
          <w:trHeight w:val="1157" w:hRule="atLeast"/>
          <w:jc w:val="center"/>
        </w:trPr>
        <w:tc>
          <w:tcPr>
            <w:tcW w:w="1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16"/>
                <w:szCs w:val="16"/>
              </w:rPr>
            </w:pPr>
          </w:p>
        </w:tc>
        <w:tc>
          <w:tcPr>
            <w:tcW w:w="690" w:type="dxa"/>
            <w:vMerge w:val="continue"/>
            <w:tcBorders>
              <w:left w:val="single" w:color="000000" w:sz="4" w:space="0"/>
              <w:bottom w:val="single" w:color="000000" w:sz="4" w:space="0"/>
              <w:right w:val="single" w:color="000000" w:sz="4" w:space="0"/>
            </w:tcBorders>
            <w:shd w:val="clear" w:color="auto" w:fill="auto"/>
            <w:vAlign w:val="center"/>
          </w:tcPr>
          <w:p>
            <w:pPr>
              <w:autoSpaceDN w:val="0"/>
              <w:jc w:val="center"/>
              <w:rPr>
                <w:rFonts w:ascii="宋体" w:hAnsi="宋体" w:eastAsia="宋体" w:cs="宋体"/>
                <w:sz w:val="16"/>
                <w:szCs w:val="16"/>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小计</w:t>
            </w: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一</w:t>
            </w:r>
          </w:p>
          <w:p>
            <w:pPr>
              <w:autoSpaceDN w:val="0"/>
              <w:jc w:val="center"/>
              <w:rPr>
                <w:rFonts w:ascii="宋体" w:hAnsi="宋体" w:eastAsia="宋体" w:cs="宋体"/>
                <w:sz w:val="16"/>
                <w:szCs w:val="16"/>
              </w:rPr>
            </w:pPr>
            <w:r>
              <w:rPr>
                <w:rFonts w:hint="eastAsia" w:ascii="宋体" w:hAnsi="宋体" w:eastAsia="宋体" w:cs="宋体"/>
                <w:sz w:val="16"/>
                <w:szCs w:val="16"/>
              </w:rPr>
              <w:t>般</w:t>
            </w:r>
          </w:p>
          <w:p>
            <w:pPr>
              <w:autoSpaceDN w:val="0"/>
              <w:jc w:val="center"/>
              <w:rPr>
                <w:rFonts w:ascii="宋体" w:hAnsi="宋体" w:eastAsia="宋体" w:cs="宋体"/>
                <w:sz w:val="16"/>
                <w:szCs w:val="16"/>
              </w:rPr>
            </w:pPr>
            <w:r>
              <w:rPr>
                <w:rFonts w:hint="eastAsia" w:ascii="宋体" w:hAnsi="宋体" w:eastAsia="宋体" w:cs="宋体"/>
                <w:sz w:val="16"/>
                <w:szCs w:val="16"/>
              </w:rPr>
              <w:t>公</w:t>
            </w:r>
            <w:r>
              <w:rPr>
                <w:rFonts w:hint="eastAsia" w:ascii="宋体" w:hAnsi="宋体" w:eastAsia="宋体" w:cs="宋体"/>
                <w:sz w:val="16"/>
                <w:szCs w:val="16"/>
              </w:rPr>
              <w:br w:type="textWrapping"/>
            </w:r>
            <w:r>
              <w:rPr>
                <w:rFonts w:hint="eastAsia" w:ascii="宋体" w:hAnsi="宋体" w:eastAsia="宋体" w:cs="宋体"/>
                <w:sz w:val="16"/>
                <w:szCs w:val="16"/>
              </w:rPr>
              <w:t>共</w:t>
            </w:r>
          </w:p>
          <w:p>
            <w:pPr>
              <w:autoSpaceDN w:val="0"/>
              <w:jc w:val="center"/>
              <w:rPr>
                <w:rFonts w:ascii="宋体" w:hAnsi="宋体" w:eastAsia="宋体" w:cs="宋体"/>
                <w:sz w:val="16"/>
                <w:szCs w:val="16"/>
              </w:rPr>
            </w:pPr>
            <w:r>
              <w:rPr>
                <w:rFonts w:hint="eastAsia" w:ascii="宋体" w:hAnsi="宋体" w:eastAsia="宋体" w:cs="宋体"/>
                <w:sz w:val="16"/>
                <w:szCs w:val="16"/>
              </w:rPr>
              <w:t>预</w:t>
            </w:r>
          </w:p>
          <w:p>
            <w:pPr>
              <w:autoSpaceDN w:val="0"/>
              <w:jc w:val="center"/>
              <w:rPr>
                <w:rFonts w:ascii="宋体" w:hAnsi="宋体" w:eastAsia="宋体" w:cs="宋体"/>
                <w:sz w:val="16"/>
                <w:szCs w:val="16"/>
              </w:rPr>
            </w:pPr>
            <w:r>
              <w:rPr>
                <w:rFonts w:hint="eastAsia" w:ascii="宋体" w:hAnsi="宋体" w:eastAsia="宋体" w:cs="宋体"/>
                <w:sz w:val="16"/>
                <w:szCs w:val="16"/>
              </w:rPr>
              <w:t>算</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政府性基金预算</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国有资本经营预算</w:t>
            </w: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财政专户管理资金</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事业收入</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事业单位经营收入</w:t>
            </w: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上级补助收入</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附属单位上缴收入</w:t>
            </w: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其他收入</w:t>
            </w: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color w:val="000000"/>
                <w:kern w:val="0"/>
                <w:sz w:val="16"/>
                <w:szCs w:val="16"/>
              </w:rPr>
              <w:t>小计</w:t>
            </w:r>
          </w:p>
        </w:tc>
        <w:tc>
          <w:tcPr>
            <w:tcW w:w="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一般公共预算拨款结转</w:t>
            </w:r>
          </w:p>
        </w:tc>
        <w:tc>
          <w:tcPr>
            <w:tcW w:w="3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政府性基金预算拨款结转</w:t>
            </w:r>
          </w:p>
        </w:tc>
        <w:tc>
          <w:tcPr>
            <w:tcW w:w="374" w:type="dxa"/>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国有资本经营预算拨款结转</w:t>
            </w:r>
          </w:p>
        </w:tc>
        <w:tc>
          <w:tcPr>
            <w:tcW w:w="374" w:type="dxa"/>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财政专户管理资金结转结余</w:t>
            </w:r>
          </w:p>
        </w:tc>
        <w:tc>
          <w:tcPr>
            <w:tcW w:w="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单位资金结转结余</w:t>
            </w:r>
          </w:p>
        </w:tc>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eastAsia="宋体" w:cs="宋体"/>
                <w:sz w:val="16"/>
                <w:szCs w:val="16"/>
              </w:rPr>
            </w:pPr>
            <w:r>
              <w:rPr>
                <w:rFonts w:hint="eastAsia" w:ascii="宋体" w:hAnsi="宋体" w:eastAsia="宋体" w:cs="宋体"/>
                <w:sz w:val="16"/>
                <w:szCs w:val="16"/>
              </w:rPr>
              <w:t>用事业基</w:t>
            </w:r>
            <w:r>
              <w:rPr>
                <w:rFonts w:hint="eastAsia" w:ascii="宋体" w:hAnsi="宋体" w:eastAsia="宋体" w:cs="宋体"/>
                <w:sz w:val="16"/>
                <w:szCs w:val="16"/>
              </w:rPr>
              <w:br w:type="textWrapping"/>
            </w:r>
            <w:r>
              <w:rPr>
                <w:rFonts w:hint="eastAsia" w:ascii="宋体" w:hAnsi="宋体" w:eastAsia="宋体" w:cs="宋体"/>
                <w:sz w:val="16"/>
                <w:szCs w:val="16"/>
              </w:rPr>
              <w:t>金弥补收</w:t>
            </w:r>
            <w:r>
              <w:rPr>
                <w:rFonts w:hint="eastAsia" w:ascii="宋体" w:hAnsi="宋体" w:eastAsia="宋体" w:cs="宋体"/>
                <w:sz w:val="16"/>
                <w:szCs w:val="16"/>
              </w:rPr>
              <w:br w:type="textWrapping"/>
            </w:r>
            <w:r>
              <w:rPr>
                <w:rFonts w:hint="eastAsia" w:ascii="宋体" w:hAnsi="宋体" w:eastAsia="宋体" w:cs="宋体"/>
                <w:sz w:val="16"/>
                <w:szCs w:val="16"/>
              </w:rPr>
              <w:t>支差额</w:t>
            </w:r>
          </w:p>
        </w:tc>
      </w:tr>
      <w:tr>
        <w:tblPrEx>
          <w:tblCellMar>
            <w:top w:w="0" w:type="dxa"/>
            <w:left w:w="108" w:type="dxa"/>
            <w:bottom w:w="0" w:type="dxa"/>
            <w:right w:w="108" w:type="dxa"/>
          </w:tblCellMar>
        </w:tblPrEx>
        <w:trPr>
          <w:trHeight w:val="523" w:hRule="atLeast"/>
          <w:jc w:val="center"/>
        </w:trPr>
        <w:tc>
          <w:tcPr>
            <w:tcW w:w="1310" w:type="dxa"/>
            <w:gridSpan w:val="2"/>
            <w:tcBorders>
              <w:left w:val="single" w:color="000000" w:sz="4" w:space="0"/>
              <w:right w:val="single" w:color="000000" w:sz="4" w:space="0"/>
            </w:tcBorders>
            <w:vAlign w:val="center"/>
          </w:tcPr>
          <w:p>
            <w:pPr>
              <w:widowControl/>
              <w:jc w:val="left"/>
              <w:rPr>
                <w:rFonts w:eastAsia="宋体"/>
                <w:color w:val="000000"/>
                <w:sz w:val="16"/>
                <w:szCs w:val="16"/>
              </w:rPr>
            </w:pPr>
            <w:r>
              <w:rPr>
                <w:rFonts w:hint="eastAsia" w:eastAsia="宋体"/>
                <w:color w:val="000000"/>
                <w:sz w:val="16"/>
                <w:szCs w:val="16"/>
              </w:rPr>
              <w:t>白城市农村社会经济调查队</w:t>
            </w:r>
          </w:p>
        </w:tc>
        <w:tc>
          <w:tcPr>
            <w:tcW w:w="690"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16"/>
                <w:szCs w:val="16"/>
              </w:rPr>
            </w:pPr>
            <w:r>
              <w:rPr>
                <w:rFonts w:hint="eastAsia" w:eastAsia="宋体"/>
                <w:color w:val="000000"/>
                <w:sz w:val="16"/>
                <w:szCs w:val="16"/>
              </w:rPr>
              <w:t>84.72</w:t>
            </w:r>
          </w:p>
        </w:tc>
        <w:tc>
          <w:tcPr>
            <w:tcW w:w="711"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16"/>
                <w:szCs w:val="16"/>
              </w:rPr>
            </w:pPr>
            <w:r>
              <w:rPr>
                <w:rFonts w:hint="eastAsia" w:eastAsia="宋体"/>
                <w:color w:val="000000"/>
                <w:sz w:val="16"/>
                <w:szCs w:val="16"/>
              </w:rPr>
              <w:t>84.72</w:t>
            </w:r>
          </w:p>
        </w:tc>
        <w:tc>
          <w:tcPr>
            <w:tcW w:w="736"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16"/>
                <w:szCs w:val="16"/>
              </w:rPr>
            </w:pPr>
            <w:r>
              <w:rPr>
                <w:rFonts w:hint="eastAsia" w:eastAsia="宋体"/>
                <w:color w:val="000000"/>
                <w:sz w:val="16"/>
                <w:szCs w:val="16"/>
              </w:rPr>
              <w:t>84.72</w:t>
            </w:r>
          </w:p>
        </w:tc>
        <w:tc>
          <w:tcPr>
            <w:tcW w:w="374" w:type="dxa"/>
            <w:tcBorders>
              <w:top w:val="single" w:color="000000" w:sz="4" w:space="0"/>
              <w:left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gridSpan w:val="2"/>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gridSpan w:val="2"/>
            <w:tcBorders>
              <w:top w:val="single" w:color="000000" w:sz="4" w:space="0"/>
              <w:left w:val="single" w:color="000000" w:sz="4" w:space="0"/>
              <w:right w:val="single" w:color="000000" w:sz="4" w:space="0"/>
            </w:tcBorders>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379"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r>
      <w:tr>
        <w:tblPrEx>
          <w:tblCellMar>
            <w:top w:w="0" w:type="dxa"/>
            <w:left w:w="108" w:type="dxa"/>
            <w:bottom w:w="0" w:type="dxa"/>
            <w:right w:w="108" w:type="dxa"/>
          </w:tblCellMar>
        </w:tblPrEx>
        <w:trPr>
          <w:trHeight w:val="481"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56"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0"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71"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1"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5"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widowControl/>
              <w:jc w:val="center"/>
              <w:rPr>
                <w:rFonts w:eastAsia="宋体"/>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0"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left"/>
              <w:textAlignment w:val="center"/>
              <w:rPr>
                <w:rFonts w:eastAsia="华文细黑"/>
                <w:color w:val="000000"/>
                <w:sz w:val="20"/>
                <w:shd w:val="clear" w:color="auto" w:fill="FFFFFF"/>
              </w:rPr>
            </w:pP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trHeight w:val="438" w:hRule="atLeast"/>
          <w:jc w:val="center"/>
        </w:trPr>
        <w:tc>
          <w:tcPr>
            <w:tcW w:w="1310" w:type="dxa"/>
            <w:gridSpan w:val="2"/>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华文细黑"/>
                <w:color w:val="000000"/>
                <w:sz w:val="20"/>
                <w:shd w:val="clear" w:color="auto" w:fill="FFFFFF"/>
              </w:rPr>
            </w:pPr>
            <w:r>
              <w:rPr>
                <w:rFonts w:eastAsia="宋体"/>
                <w:kern w:val="0"/>
                <w:sz w:val="16"/>
                <w:szCs w:val="16"/>
              </w:rPr>
              <w:t>合计</w:t>
            </w:r>
          </w:p>
        </w:tc>
        <w:tc>
          <w:tcPr>
            <w:tcW w:w="6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16"/>
                <w:szCs w:val="16"/>
                <w:shd w:val="clear" w:color="auto" w:fill="FFFFFF"/>
              </w:rPr>
            </w:pPr>
            <w:r>
              <w:rPr>
                <w:rFonts w:hint="eastAsia" w:eastAsia="宋体"/>
                <w:color w:val="000000"/>
                <w:sz w:val="16"/>
                <w:szCs w:val="16"/>
              </w:rPr>
              <w:t>84.72</w:t>
            </w:r>
          </w:p>
        </w:tc>
        <w:tc>
          <w:tcPr>
            <w:tcW w:w="7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16"/>
                <w:szCs w:val="16"/>
                <w:shd w:val="clear" w:color="auto" w:fill="FFFFFF"/>
              </w:rPr>
            </w:pPr>
            <w:r>
              <w:rPr>
                <w:rFonts w:hint="eastAsia" w:eastAsia="宋体"/>
                <w:color w:val="000000"/>
                <w:sz w:val="16"/>
                <w:szCs w:val="16"/>
              </w:rPr>
              <w:t>84.72</w:t>
            </w:r>
          </w:p>
        </w:tc>
        <w:tc>
          <w:tcPr>
            <w:tcW w:w="7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16"/>
                <w:szCs w:val="16"/>
                <w:shd w:val="clear" w:color="auto" w:fill="FFFFFF"/>
              </w:rPr>
            </w:pPr>
            <w:r>
              <w:rPr>
                <w:rFonts w:hint="eastAsia" w:eastAsia="宋体"/>
                <w:color w:val="000000"/>
                <w:sz w:val="16"/>
                <w:szCs w:val="16"/>
              </w:rPr>
              <w:t>84.72</w:t>
            </w:r>
          </w:p>
        </w:tc>
        <w:tc>
          <w:tcPr>
            <w:tcW w:w="37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16"/>
                <w:szCs w:val="16"/>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r>
    </w:tbl>
    <w:p/>
    <w:p>
      <w:pPr>
        <w:ind w:firstLine="640" w:firstLineChars="200"/>
      </w:pPr>
    </w:p>
    <w:p>
      <w:pPr>
        <w:ind w:firstLine="640" w:firstLineChars="200"/>
        <w:rPr>
          <w:rFonts w:hAnsi="楷体" w:eastAsia="楷体"/>
        </w:rPr>
      </w:pPr>
    </w:p>
    <w:p>
      <w:pPr>
        <w:rPr>
          <w:rFonts w:eastAsia="楷体"/>
        </w:rPr>
      </w:pPr>
      <w:r>
        <w:rPr>
          <w:rFonts w:hAnsi="楷体" w:eastAsia="楷体"/>
        </w:rPr>
        <w:br w:type="page"/>
      </w:r>
    </w:p>
    <w:tbl>
      <w:tblPr>
        <w:tblStyle w:val="9"/>
        <w:tblW w:w="10453" w:type="dxa"/>
        <w:jc w:val="center"/>
        <w:tblLayout w:type="fixed"/>
        <w:tblCellMar>
          <w:top w:w="0" w:type="dxa"/>
          <w:left w:w="108" w:type="dxa"/>
          <w:bottom w:w="0" w:type="dxa"/>
          <w:right w:w="108" w:type="dxa"/>
        </w:tblCellMar>
      </w:tblPr>
      <w:tblGrid>
        <w:gridCol w:w="10453"/>
      </w:tblGrid>
      <w:tr>
        <w:tblPrEx>
          <w:tblCellMar>
            <w:top w:w="0" w:type="dxa"/>
            <w:left w:w="108" w:type="dxa"/>
            <w:bottom w:w="0" w:type="dxa"/>
            <w:right w:w="108" w:type="dxa"/>
          </w:tblCellMar>
        </w:tblPrEx>
        <w:trPr>
          <w:trHeight w:val="615" w:hRule="atLeast"/>
          <w:jc w:val="center"/>
        </w:trPr>
        <w:tc>
          <w:tcPr>
            <w:tcW w:w="10453" w:type="dxa"/>
            <w:tcBorders>
              <w:top w:val="nil"/>
              <w:left w:val="nil"/>
              <w:bottom w:val="nil"/>
              <w:right w:val="nil"/>
            </w:tcBorders>
            <w:vAlign w:val="bottom"/>
          </w:tcPr>
          <w:p>
            <w:pPr>
              <w:widowControl/>
              <w:jc w:val="center"/>
              <w:rPr>
                <w:rFonts w:eastAsia="方正小标宋简体"/>
                <w:kern w:val="0"/>
                <w:sz w:val="44"/>
                <w:szCs w:val="44"/>
              </w:rPr>
            </w:pPr>
            <w:r>
              <w:rPr>
                <w:rFonts w:eastAsia="方正小标宋简体"/>
                <w:kern w:val="0"/>
                <w:sz w:val="44"/>
                <w:szCs w:val="44"/>
              </w:rPr>
              <w:t>支出</w:t>
            </w:r>
            <w:r>
              <w:rPr>
                <w:rFonts w:hint="eastAsia" w:eastAsia="方正小标宋简体"/>
                <w:kern w:val="0"/>
                <w:sz w:val="44"/>
                <w:szCs w:val="44"/>
              </w:rPr>
              <w:t>总</w:t>
            </w:r>
            <w:r>
              <w:rPr>
                <w:rFonts w:eastAsia="方正小标宋简体"/>
                <w:kern w:val="0"/>
                <w:sz w:val="44"/>
                <w:szCs w:val="44"/>
              </w:rPr>
              <w:t>表</w:t>
            </w:r>
          </w:p>
          <w:tbl>
            <w:tblPr>
              <w:tblStyle w:val="9"/>
              <w:tblW w:w="9843" w:type="dxa"/>
              <w:tblInd w:w="445" w:type="dxa"/>
              <w:tblLayout w:type="fixed"/>
              <w:tblCellMar>
                <w:top w:w="15" w:type="dxa"/>
                <w:left w:w="15" w:type="dxa"/>
                <w:bottom w:w="15" w:type="dxa"/>
                <w:right w:w="15" w:type="dxa"/>
              </w:tblCellMar>
            </w:tblPr>
            <w:tblGrid>
              <w:gridCol w:w="3365"/>
              <w:gridCol w:w="1005"/>
              <w:gridCol w:w="930"/>
              <w:gridCol w:w="1065"/>
              <w:gridCol w:w="1230"/>
              <w:gridCol w:w="812"/>
              <w:gridCol w:w="193"/>
              <w:gridCol w:w="1104"/>
              <w:gridCol w:w="139"/>
            </w:tblGrid>
            <w:tr>
              <w:tblPrEx>
                <w:tblCellMar>
                  <w:top w:w="15" w:type="dxa"/>
                  <w:left w:w="15" w:type="dxa"/>
                  <w:bottom w:w="15" w:type="dxa"/>
                  <w:right w:w="15" w:type="dxa"/>
                </w:tblCellMar>
              </w:tblPrEx>
              <w:trPr>
                <w:gridAfter w:val="1"/>
                <w:wAfter w:w="139" w:type="dxa"/>
                <w:trHeight w:val="390" w:hRule="atLeast"/>
              </w:trPr>
              <w:tc>
                <w:tcPr>
                  <w:tcW w:w="6365" w:type="dxa"/>
                  <w:gridSpan w:val="4"/>
                  <w:tcBorders>
                    <w:bottom w:val="single" w:color="000000" w:sz="4" w:space="0"/>
                  </w:tcBorders>
                  <w:vAlign w:val="center"/>
                </w:tcPr>
                <w:p>
                  <w:pPr>
                    <w:widowControl/>
                    <w:jc w:val="left"/>
                    <w:rPr>
                      <w:rFonts w:eastAsia="华文细黑"/>
                      <w:color w:val="000000"/>
                      <w:kern w:val="0"/>
                      <w:sz w:val="20"/>
                    </w:rPr>
                  </w:pPr>
                </w:p>
              </w:tc>
              <w:tc>
                <w:tcPr>
                  <w:tcW w:w="1230" w:type="dxa"/>
                  <w:tcBorders>
                    <w:bottom w:val="single" w:color="000000" w:sz="4" w:space="0"/>
                  </w:tcBorders>
                  <w:vAlign w:val="center"/>
                </w:tcPr>
                <w:p>
                  <w:pPr>
                    <w:widowControl/>
                    <w:jc w:val="right"/>
                    <w:rPr>
                      <w:rFonts w:eastAsia="华文细黑"/>
                      <w:color w:val="000000"/>
                      <w:kern w:val="0"/>
                      <w:sz w:val="20"/>
                    </w:rPr>
                  </w:pPr>
                </w:p>
              </w:tc>
              <w:tc>
                <w:tcPr>
                  <w:tcW w:w="812" w:type="dxa"/>
                  <w:tcBorders>
                    <w:bottom w:val="single" w:color="000000" w:sz="4" w:space="0"/>
                  </w:tcBorders>
                  <w:vAlign w:val="center"/>
                </w:tcPr>
                <w:p>
                  <w:pPr>
                    <w:widowControl/>
                    <w:jc w:val="right"/>
                    <w:rPr>
                      <w:rFonts w:eastAsia="华文细黑"/>
                      <w:color w:val="000000"/>
                      <w:kern w:val="0"/>
                      <w:sz w:val="20"/>
                    </w:rPr>
                  </w:pPr>
                </w:p>
              </w:tc>
              <w:tc>
                <w:tcPr>
                  <w:tcW w:w="1297" w:type="dxa"/>
                  <w:gridSpan w:val="2"/>
                  <w:tcBorders>
                    <w:bottom w:val="single" w:color="000000" w:sz="4" w:space="0"/>
                  </w:tcBorders>
                  <w:vAlign w:val="center"/>
                </w:tcPr>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3365" w:type="dxa"/>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005"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总计</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p>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基本</w:t>
                  </w:r>
                </w:p>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支出</w:t>
                  </w:r>
                </w:p>
                <w:p>
                  <w:pPr>
                    <w:widowControl/>
                    <w:jc w:val="center"/>
                    <w:rPr>
                      <w:rFonts w:ascii="宋体" w:hAnsi="宋体" w:eastAsia="宋体" w:cs="宋体"/>
                      <w:color w:val="000000"/>
                      <w:kern w:val="0"/>
                      <w:sz w:val="16"/>
                      <w:szCs w:val="16"/>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                                                               支出</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事业单位</w:t>
                  </w:r>
                </w:p>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经营支出</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上缴                                            上级                                                         支出</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对附属                                           单位补                                      助支出</w:t>
                  </w: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16"/>
                      <w:szCs w:val="16"/>
                    </w:rPr>
                  </w:pPr>
                  <w:r>
                    <w:rPr>
                      <w:rFonts w:eastAsia="宋体"/>
                      <w:color w:val="000000"/>
                      <w:kern w:val="0"/>
                      <w:sz w:val="16"/>
                      <w:szCs w:val="16"/>
                    </w:rPr>
                    <w:t>一、一般公共服务</w:t>
                  </w:r>
                  <w:r>
                    <w:rPr>
                      <w:rFonts w:hint="eastAsia" w:eastAsia="宋体"/>
                      <w:color w:val="000000"/>
                      <w:kern w:val="0"/>
                      <w:sz w:val="16"/>
                      <w:szCs w:val="16"/>
                    </w:rPr>
                    <w:t>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统计信息事务</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行政运行</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rPr>
                      <w:rFonts w:ascii="宋体" w:hAnsi="宋体" w:eastAsia="宋体" w:cs="宋体"/>
                      <w:color w:val="000000"/>
                      <w:kern w:val="0"/>
                      <w:sz w:val="16"/>
                      <w:szCs w:val="16"/>
                    </w:rPr>
                  </w:pPr>
                  <w:r>
                    <w:rPr>
                      <w:rFonts w:hint="eastAsia" w:ascii="宋体" w:hAnsi="宋体" w:eastAsia="宋体" w:cs="宋体"/>
                      <w:color w:val="000000"/>
                      <w:kern w:val="0"/>
                      <w:sz w:val="16"/>
                      <w:szCs w:val="16"/>
                    </w:rPr>
                    <w:t>二、社会保障和就业支出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480" w:firstLineChars="300"/>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rPr>
                      <w:rFonts w:ascii="宋体" w:hAnsi="宋体" w:eastAsia="宋体" w:cs="宋体"/>
                      <w:color w:val="000000"/>
                      <w:kern w:val="0"/>
                      <w:sz w:val="16"/>
                      <w:szCs w:val="16"/>
                    </w:rPr>
                  </w:pPr>
                  <w:r>
                    <w:rPr>
                      <w:rFonts w:hint="eastAsia" w:ascii="宋体" w:hAnsi="宋体" w:eastAsia="宋体" w:cs="宋体"/>
                      <w:color w:val="000000"/>
                      <w:kern w:val="0"/>
                      <w:sz w:val="16"/>
                      <w:szCs w:val="16"/>
                    </w:rPr>
                    <w:t>行政单位离退休</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0.44</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0.44</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rPr>
                      <w:rFonts w:ascii="宋体" w:hAnsi="宋体" w:eastAsia="宋体" w:cs="宋体"/>
                      <w:color w:val="000000"/>
                      <w:kern w:val="0"/>
                      <w:sz w:val="16"/>
                      <w:szCs w:val="16"/>
                    </w:rPr>
                  </w:pPr>
                  <w:r>
                    <w:rPr>
                      <w:rFonts w:hint="eastAsia" w:ascii="宋体" w:hAnsi="宋体" w:eastAsia="宋体" w:cs="宋体"/>
                      <w:color w:val="000000"/>
                      <w:kern w:val="0"/>
                      <w:sz w:val="16"/>
                      <w:szCs w:val="16"/>
                    </w:rPr>
                    <w:t>机关事业单位基本养老保险缴费支出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7.21</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7.21</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三、卫生健康支出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行政事业单位医疗</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行政单位医疗</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四、住房保障支出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住房改革支出</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住房公积金</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62" w:hRule="atLeast"/>
              </w:trPr>
              <w:tc>
                <w:tcPr>
                  <w:tcW w:w="3365"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16"/>
                      <w:szCs w:val="16"/>
                    </w:rPr>
                    <w:t>合计</w:t>
                  </w:r>
                </w:p>
              </w:tc>
              <w:tc>
                <w:tcPr>
                  <w:tcW w:w="100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84.72</w:t>
                  </w:r>
                </w:p>
              </w:tc>
              <w:tc>
                <w:tcPr>
                  <w:tcW w:w="9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84.72</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widowControl/>
              <w:jc w:val="center"/>
              <w:rPr>
                <w:rFonts w:eastAsia="方正小标宋简体"/>
                <w:kern w:val="0"/>
                <w:sz w:val="44"/>
                <w:szCs w:val="44"/>
              </w:rPr>
            </w:pPr>
          </w:p>
        </w:tc>
      </w:tr>
    </w:tbl>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rPr>
          <w:rFonts w:hAnsi="楷体" w:eastAsia="楷体"/>
        </w:rPr>
      </w:pPr>
    </w:p>
    <w:p>
      <w:pPr>
        <w:tabs>
          <w:tab w:val="left" w:pos="2516"/>
          <w:tab w:val="right" w:pos="8731"/>
        </w:tabs>
        <w:spacing w:line="240" w:lineRule="atLeast"/>
        <w:rPr>
          <w:rFonts w:eastAsia="方正小标宋简体"/>
          <w:kern w:val="0"/>
          <w:sz w:val="44"/>
          <w:szCs w:val="44"/>
        </w:rPr>
      </w:pPr>
      <w:r>
        <w:rPr>
          <w:rFonts w:hint="eastAsia" w:hAnsi="楷体" w:eastAsia="楷体"/>
        </w:rPr>
        <w:tab/>
      </w:r>
      <w:r>
        <w:rPr>
          <w:rFonts w:hint="eastAsia" w:eastAsia="方正小标宋简体"/>
          <w:kern w:val="0"/>
          <w:sz w:val="44"/>
          <w:szCs w:val="44"/>
        </w:rPr>
        <w:t>财政拨款收支总表</w:t>
      </w:r>
      <w:r>
        <w:rPr>
          <w:rFonts w:hint="eastAsia" w:eastAsia="方正小标宋简体"/>
          <w:kern w:val="0"/>
          <w:sz w:val="44"/>
          <w:szCs w:val="44"/>
        </w:rPr>
        <w:tab/>
      </w:r>
    </w:p>
    <w:p>
      <w:pPr>
        <w:tabs>
          <w:tab w:val="left" w:pos="2516"/>
          <w:tab w:val="right" w:pos="8731"/>
        </w:tabs>
        <w:spacing w:line="240" w:lineRule="atLeast"/>
        <w:ind w:firstLine="7800" w:firstLineChars="3900"/>
        <w:rPr>
          <w:rFonts w:hAnsi="楷体" w:eastAsia="楷体"/>
        </w:rPr>
      </w:pPr>
      <w:r>
        <w:rPr>
          <w:rFonts w:eastAsia="华文细黑"/>
          <w:color w:val="000000"/>
          <w:kern w:val="0"/>
          <w:sz w:val="20"/>
        </w:rPr>
        <w:t>单位：万元</w:t>
      </w:r>
    </w:p>
    <w:tbl>
      <w:tblPr>
        <w:tblStyle w:val="9"/>
        <w:tblW w:w="0" w:type="auto"/>
        <w:jc w:val="center"/>
        <w:tblLayout w:type="fixed"/>
        <w:tblCellMar>
          <w:top w:w="0" w:type="dxa"/>
          <w:left w:w="108" w:type="dxa"/>
          <w:bottom w:w="0" w:type="dxa"/>
          <w:right w:w="108" w:type="dxa"/>
        </w:tblCellMar>
      </w:tblPr>
      <w:tblGrid>
        <w:gridCol w:w="10123"/>
      </w:tblGrid>
      <w:tr>
        <w:trPr>
          <w:trHeight w:val="873" w:hRule="atLeast"/>
          <w:jc w:val="center"/>
        </w:trPr>
        <w:tc>
          <w:tcPr>
            <w:tcW w:w="10123" w:type="dxa"/>
            <w:tcBorders>
              <w:top w:val="nil"/>
              <w:left w:val="nil"/>
              <w:bottom w:val="nil"/>
              <w:right w:val="nil"/>
            </w:tcBorders>
            <w:vAlign w:val="bottom"/>
          </w:tcPr>
          <w:tbl>
            <w:tblPr>
              <w:tblStyle w:val="9"/>
              <w:tblpPr w:leftFromText="180" w:rightFromText="180" w:vertAnchor="page" w:horzAnchor="page" w:tblpX="208" w:tblpY="134"/>
              <w:tblOverlap w:val="never"/>
              <w:tblW w:w="9479" w:type="dxa"/>
              <w:tblInd w:w="0" w:type="dxa"/>
              <w:tblLayout w:type="fixed"/>
              <w:tblCellMar>
                <w:top w:w="0" w:type="dxa"/>
                <w:left w:w="108" w:type="dxa"/>
                <w:bottom w:w="0" w:type="dxa"/>
                <w:right w:w="108" w:type="dxa"/>
              </w:tblCellMar>
            </w:tblPr>
            <w:tblGrid>
              <w:gridCol w:w="2310"/>
              <w:gridCol w:w="750"/>
              <w:gridCol w:w="765"/>
              <w:gridCol w:w="735"/>
              <w:gridCol w:w="2775"/>
              <w:gridCol w:w="714"/>
              <w:gridCol w:w="714"/>
              <w:gridCol w:w="716"/>
            </w:tblGrid>
            <w:tr>
              <w:tblPrEx>
                <w:tblCellMar>
                  <w:top w:w="0" w:type="dxa"/>
                  <w:left w:w="108" w:type="dxa"/>
                  <w:bottom w:w="0" w:type="dxa"/>
                  <w:right w:w="108" w:type="dxa"/>
                </w:tblCellMar>
              </w:tblPrEx>
              <w:trPr>
                <w:trHeight w:val="755" w:hRule="atLeast"/>
              </w:trPr>
              <w:tc>
                <w:tcPr>
                  <w:tcW w:w="45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收      入</w:t>
                  </w:r>
                </w:p>
              </w:tc>
              <w:tc>
                <w:tcPr>
                  <w:tcW w:w="49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支   出</w:t>
                  </w:r>
                </w:p>
              </w:tc>
            </w:tr>
            <w:tr>
              <w:tblPrEx>
                <w:tblCellMar>
                  <w:top w:w="0" w:type="dxa"/>
                  <w:left w:w="108" w:type="dxa"/>
                  <w:bottom w:w="0" w:type="dxa"/>
                  <w:right w:w="108" w:type="dxa"/>
                </w:tblCellMar>
              </w:tblPrEx>
              <w:trPr>
                <w:trHeight w:val="2088"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项  目</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2022年预算数</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当年</w:t>
                  </w:r>
                </w:p>
                <w:p>
                  <w:pPr>
                    <w:widowControl/>
                    <w:jc w:val="center"/>
                    <w:rPr>
                      <w:rFonts w:ascii="宋体" w:hAnsi="宋体" w:eastAsia="宋体" w:cs="宋体"/>
                      <w:kern w:val="0"/>
                      <w:sz w:val="16"/>
                      <w:szCs w:val="16"/>
                    </w:rPr>
                  </w:pPr>
                  <w:r>
                    <w:rPr>
                      <w:rFonts w:hint="eastAsia" w:ascii="宋体" w:hAnsi="宋体" w:eastAsia="宋体" w:cs="宋体"/>
                      <w:kern w:val="0"/>
                      <w:sz w:val="16"/>
                      <w:szCs w:val="16"/>
                    </w:rPr>
                    <w:t>预算</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上年</w:t>
                  </w:r>
                </w:p>
                <w:p>
                  <w:pPr>
                    <w:widowControl/>
                    <w:jc w:val="center"/>
                    <w:rPr>
                      <w:rFonts w:ascii="宋体" w:hAnsi="宋体" w:eastAsia="宋体" w:cs="宋体"/>
                      <w:kern w:val="0"/>
                      <w:sz w:val="16"/>
                      <w:szCs w:val="16"/>
                    </w:rPr>
                  </w:pPr>
                  <w:r>
                    <w:rPr>
                      <w:rFonts w:hint="eastAsia" w:ascii="宋体" w:hAnsi="宋体" w:eastAsia="宋体" w:cs="宋体"/>
                      <w:kern w:val="0"/>
                      <w:sz w:val="16"/>
                      <w:szCs w:val="16"/>
                    </w:rPr>
                    <w:t>结转</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项  目</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2022年预</w:t>
                  </w:r>
                </w:p>
                <w:p>
                  <w:pPr>
                    <w:widowControl/>
                    <w:jc w:val="center"/>
                    <w:rPr>
                      <w:rFonts w:ascii="宋体" w:hAnsi="宋体" w:eastAsia="宋体" w:cs="宋体"/>
                      <w:kern w:val="0"/>
                      <w:sz w:val="16"/>
                      <w:szCs w:val="16"/>
                    </w:rPr>
                  </w:pPr>
                  <w:r>
                    <w:rPr>
                      <w:rFonts w:hint="eastAsia" w:ascii="宋体" w:hAnsi="宋体" w:eastAsia="宋体" w:cs="宋体"/>
                      <w:kern w:val="0"/>
                      <w:sz w:val="16"/>
                      <w:szCs w:val="16"/>
                    </w:rPr>
                    <w:t>算数</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当年</w:t>
                  </w:r>
                </w:p>
                <w:p>
                  <w:pPr>
                    <w:widowControl/>
                    <w:jc w:val="center"/>
                    <w:rPr>
                      <w:rFonts w:ascii="宋体" w:hAnsi="宋体" w:eastAsia="宋体" w:cs="宋体"/>
                      <w:kern w:val="0"/>
                      <w:sz w:val="16"/>
                      <w:szCs w:val="16"/>
                    </w:rPr>
                  </w:pPr>
                  <w:r>
                    <w:rPr>
                      <w:rFonts w:hint="eastAsia" w:ascii="宋体" w:hAnsi="宋体" w:eastAsia="宋体" w:cs="宋体"/>
                      <w:kern w:val="0"/>
                      <w:sz w:val="16"/>
                      <w:szCs w:val="16"/>
                    </w:rPr>
                    <w:t>预算</w:t>
                  </w:r>
                </w:p>
              </w:tc>
              <w:tc>
                <w:tcPr>
                  <w:tcW w:w="716" w:type="dxa"/>
                  <w:tcBorders>
                    <w:top w:val="single" w:color="auto" w:sz="4" w:space="0"/>
                    <w:left w:val="single" w:color="auto" w:sz="4" w:space="0"/>
                    <w:bottom w:val="single" w:color="auto" w:sz="4" w:space="0"/>
                    <w:right w:val="single" w:color="auto" w:sz="4" w:space="0"/>
                  </w:tcBorders>
                  <w:vAlign w:val="center"/>
                </w:tcPr>
                <w:p>
                  <w:pPr>
                    <w:widowControl/>
                    <w:tabs>
                      <w:tab w:val="left" w:pos="262"/>
                    </w:tabs>
                    <w:jc w:val="left"/>
                    <w:rPr>
                      <w:rFonts w:ascii="宋体" w:hAnsi="宋体" w:eastAsia="宋体" w:cs="宋体"/>
                      <w:kern w:val="0"/>
                      <w:sz w:val="16"/>
                      <w:szCs w:val="16"/>
                    </w:rPr>
                  </w:pPr>
                  <w:r>
                    <w:rPr>
                      <w:rFonts w:hint="eastAsia" w:ascii="宋体" w:hAnsi="宋体" w:eastAsia="宋体" w:cs="宋体"/>
                      <w:kern w:val="0"/>
                      <w:sz w:val="16"/>
                      <w:szCs w:val="16"/>
                    </w:rPr>
                    <w:t>上年</w:t>
                  </w:r>
                </w:p>
                <w:p>
                  <w:pPr>
                    <w:widowControl/>
                    <w:tabs>
                      <w:tab w:val="left" w:pos="262"/>
                    </w:tabs>
                    <w:jc w:val="left"/>
                    <w:rPr>
                      <w:rFonts w:ascii="宋体" w:hAnsi="宋体" w:eastAsia="宋体" w:cs="宋体"/>
                      <w:kern w:val="0"/>
                      <w:sz w:val="16"/>
                      <w:szCs w:val="16"/>
                    </w:rPr>
                  </w:pPr>
                  <w:r>
                    <w:rPr>
                      <w:rFonts w:hint="eastAsia" w:ascii="宋体" w:hAnsi="宋体" w:eastAsia="宋体" w:cs="宋体"/>
                      <w:kern w:val="0"/>
                      <w:sz w:val="16"/>
                      <w:szCs w:val="16"/>
                    </w:rPr>
                    <w:t>结转</w:t>
                  </w:r>
                </w:p>
              </w:tc>
            </w:tr>
            <w:tr>
              <w:tblPrEx>
                <w:tblCellMar>
                  <w:top w:w="0" w:type="dxa"/>
                  <w:left w:w="108" w:type="dxa"/>
                  <w:bottom w:w="0" w:type="dxa"/>
                  <w:right w:w="108" w:type="dxa"/>
                </w:tblCellMar>
              </w:tblPrEx>
              <w:trPr>
                <w:trHeight w:val="678"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一、本年收入</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一、本年支出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678"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一般公共预算拨款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一般公共服务支出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68.36</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68.36</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678"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政府性基金预算拨款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社会保障和就业支出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7.65</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7.65</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9"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国有资本经营预算拨款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卫生健康支出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9" w:hRule="atLeast"/>
              </w:trPr>
              <w:tc>
                <w:tcPr>
                  <w:tcW w:w="231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ascii="宋体" w:hAnsi="宋体" w:eastAsia="宋体" w:cs="宋体"/>
                      <w:sz w:val="16"/>
                      <w:szCs w:val="16"/>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住房保障支出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370" w:hRule="atLeast"/>
              </w:trPr>
              <w:tc>
                <w:tcPr>
                  <w:tcW w:w="231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ascii="宋体" w:hAnsi="宋体" w:eastAsia="宋体" w:cs="宋体"/>
                      <w:sz w:val="16"/>
                      <w:szCs w:val="16"/>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ind w:left="311"/>
                    <w:jc w:val="left"/>
                    <w:rPr>
                      <w:rFonts w:ascii="宋体" w:hAnsi="宋体" w:eastAsia="宋体" w:cs="宋体"/>
                      <w:color w:val="000000"/>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370" w:hRule="atLeast"/>
              </w:trPr>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6"/>
                      <w:szCs w:val="16"/>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ind w:left="311"/>
                    <w:jc w:val="left"/>
                    <w:rPr>
                      <w:rFonts w:ascii="宋体" w:hAnsi="宋体" w:eastAsia="宋体" w:cs="宋体"/>
                      <w:color w:val="000000"/>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370" w:hRule="atLeast"/>
              </w:trPr>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6"/>
                      <w:szCs w:val="16"/>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ind w:left="311"/>
                    <w:jc w:val="left"/>
                    <w:rPr>
                      <w:rFonts w:ascii="宋体" w:hAnsi="宋体" w:eastAsia="宋体" w:cs="宋体"/>
                      <w:color w:val="000000"/>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370" w:hRule="atLeast"/>
              </w:trPr>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6"/>
                      <w:szCs w:val="16"/>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ind w:left="311"/>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3" w:hRule="atLeast"/>
              </w:trPr>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6"/>
                      <w:szCs w:val="16"/>
                    </w:rPr>
                  </w:pPr>
                  <w:r>
                    <w:rPr>
                      <w:rFonts w:hint="eastAsia" w:ascii="宋体" w:hAnsi="宋体" w:eastAsia="宋体" w:cs="宋体"/>
                      <w:sz w:val="16"/>
                      <w:szCs w:val="16"/>
                    </w:rPr>
                    <w:t>二、上年结转</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9" w:hRule="atLeast"/>
              </w:trPr>
              <w:tc>
                <w:tcPr>
                  <w:tcW w:w="2310"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宋体" w:hAnsi="宋体" w:eastAsia="宋体" w:cs="宋体"/>
                      <w:sz w:val="16"/>
                      <w:szCs w:val="16"/>
                    </w:rPr>
                  </w:pPr>
                  <w:r>
                    <w:rPr>
                      <w:rFonts w:hint="eastAsia" w:ascii="宋体" w:hAnsi="宋体" w:eastAsia="宋体" w:cs="宋体"/>
                      <w:sz w:val="16"/>
                      <w:szCs w:val="16"/>
                    </w:rPr>
                    <w:t>一般公共预算拨款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9" w:hRule="atLeast"/>
              </w:trPr>
              <w:tc>
                <w:tcPr>
                  <w:tcW w:w="2310"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宋体" w:hAnsi="宋体" w:eastAsia="宋体" w:cs="宋体"/>
                      <w:sz w:val="16"/>
                      <w:szCs w:val="16"/>
                    </w:rPr>
                  </w:pPr>
                  <w:r>
                    <w:rPr>
                      <w:rFonts w:hint="eastAsia" w:ascii="宋体" w:hAnsi="宋体" w:eastAsia="宋体" w:cs="宋体"/>
                      <w:sz w:val="16"/>
                      <w:szCs w:val="16"/>
                    </w:rPr>
                    <w:t>政府性基金预算拨款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59" w:hRule="atLeast"/>
              </w:trPr>
              <w:tc>
                <w:tcPr>
                  <w:tcW w:w="2310"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宋体" w:hAnsi="宋体" w:eastAsia="宋体" w:cs="宋体"/>
                      <w:sz w:val="16"/>
                      <w:szCs w:val="16"/>
                    </w:rPr>
                  </w:pPr>
                  <w:r>
                    <w:rPr>
                      <w:rFonts w:hint="eastAsia" w:ascii="宋体" w:hAnsi="宋体" w:eastAsia="宋体" w:cs="宋体"/>
                      <w:sz w:val="16"/>
                      <w:szCs w:val="16"/>
                    </w:rPr>
                    <w:t>国有资本经营预算拨款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35"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宋体" w:hAnsi="宋体" w:eastAsia="宋体" w:cs="宋体"/>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6"/>
                      <w:szCs w:val="16"/>
                    </w:rPr>
                  </w:pPr>
                  <w:r>
                    <w:rPr>
                      <w:rFonts w:hint="eastAsia" w:ascii="宋体" w:hAnsi="宋体" w:eastAsia="宋体" w:cs="宋体"/>
                      <w:sz w:val="16"/>
                      <w:szCs w:val="16"/>
                    </w:rPr>
                    <w:t>二、结转下年</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16"/>
                      <w:szCs w:val="16"/>
                    </w:rPr>
                  </w:pPr>
                </w:p>
              </w:tc>
            </w:tr>
            <w:tr>
              <w:tblPrEx>
                <w:tblCellMar>
                  <w:top w:w="0" w:type="dxa"/>
                  <w:left w:w="108" w:type="dxa"/>
                  <w:bottom w:w="0" w:type="dxa"/>
                  <w:right w:w="108" w:type="dxa"/>
                </w:tblCellMar>
              </w:tblPrEx>
              <w:trPr>
                <w:trHeight w:val="448" w:hRule="atLeast"/>
              </w:trPr>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收入总计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支出总计</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7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eastAsia="宋体" w:cs="宋体"/>
                      <w:kern w:val="0"/>
                      <w:sz w:val="16"/>
                      <w:szCs w:val="16"/>
                    </w:rPr>
                  </w:pPr>
                </w:p>
              </w:tc>
            </w:tr>
          </w:tbl>
          <w:p>
            <w:pPr>
              <w:widowControl/>
              <w:rPr>
                <w:rFonts w:eastAsia="方正小标宋简体"/>
                <w:kern w:val="0"/>
                <w:sz w:val="44"/>
                <w:szCs w:val="44"/>
              </w:rPr>
            </w:pPr>
          </w:p>
        </w:tc>
      </w:tr>
    </w:tbl>
    <w:p>
      <w:pPr>
        <w:ind w:firstLine="640" w:firstLineChars="200"/>
        <w:rPr>
          <w:rFonts w:hAnsi="楷体" w:eastAsia="楷体"/>
        </w:rPr>
      </w:pPr>
    </w:p>
    <w:p>
      <w:pPr>
        <w:ind w:firstLine="640" w:firstLineChars="200"/>
        <w:rPr>
          <w:rFonts w:eastAsia="楷体"/>
        </w:rPr>
      </w:pPr>
    </w:p>
    <w:tbl>
      <w:tblPr>
        <w:tblStyle w:val="9"/>
        <w:tblW w:w="10387" w:type="dxa"/>
        <w:jc w:val="center"/>
        <w:tblLayout w:type="fixed"/>
        <w:tblCellMar>
          <w:top w:w="0" w:type="dxa"/>
          <w:left w:w="108" w:type="dxa"/>
          <w:bottom w:w="0" w:type="dxa"/>
          <w:right w:w="108" w:type="dxa"/>
        </w:tblCellMar>
      </w:tblPr>
      <w:tblGrid>
        <w:gridCol w:w="10387"/>
      </w:tblGrid>
      <w:tr>
        <w:tblPrEx>
          <w:tblCellMar>
            <w:top w:w="0" w:type="dxa"/>
            <w:left w:w="108" w:type="dxa"/>
            <w:bottom w:w="0" w:type="dxa"/>
            <w:right w:w="108" w:type="dxa"/>
          </w:tblCellMar>
        </w:tblPrEx>
        <w:trPr>
          <w:trHeight w:val="615" w:hRule="atLeast"/>
          <w:jc w:val="center"/>
        </w:trPr>
        <w:tc>
          <w:tcPr>
            <w:tcW w:w="10387" w:type="dxa"/>
            <w:tcBorders>
              <w:top w:val="nil"/>
              <w:left w:val="nil"/>
              <w:bottom w:val="nil"/>
              <w:right w:val="nil"/>
            </w:tcBorders>
            <w:vAlign w:val="bottom"/>
          </w:tcPr>
          <w:p>
            <w:pPr>
              <w:widowControl/>
              <w:rPr>
                <w:rFonts w:eastAsia="方正小标宋简体"/>
                <w:kern w:val="0"/>
                <w:sz w:val="44"/>
                <w:szCs w:val="44"/>
              </w:rPr>
            </w:pPr>
          </w:p>
          <w:tbl>
            <w:tblPr>
              <w:tblStyle w:val="9"/>
              <w:tblW w:w="0" w:type="auto"/>
              <w:tblInd w:w="735" w:type="dxa"/>
              <w:tblLayout w:type="fixed"/>
              <w:tblCellMar>
                <w:top w:w="15" w:type="dxa"/>
                <w:left w:w="15" w:type="dxa"/>
                <w:bottom w:w="15" w:type="dxa"/>
                <w:right w:w="15" w:type="dxa"/>
              </w:tblCellMar>
            </w:tblPr>
            <w:tblGrid>
              <w:gridCol w:w="3300"/>
              <w:gridCol w:w="1035"/>
              <w:gridCol w:w="1065"/>
              <w:gridCol w:w="990"/>
              <w:gridCol w:w="1020"/>
              <w:gridCol w:w="1515"/>
            </w:tblGrid>
            <w:tr>
              <w:tblPrEx>
                <w:tblCellMar>
                  <w:top w:w="15" w:type="dxa"/>
                  <w:left w:w="15" w:type="dxa"/>
                  <w:bottom w:w="15" w:type="dxa"/>
                  <w:right w:w="15" w:type="dxa"/>
                </w:tblCellMar>
              </w:tblPrEx>
              <w:trPr>
                <w:trHeight w:val="390" w:hRule="atLeast"/>
              </w:trPr>
              <w:tc>
                <w:tcPr>
                  <w:tcW w:w="8925" w:type="dxa"/>
                  <w:gridSpan w:val="6"/>
                  <w:tcBorders>
                    <w:bottom w:val="single" w:color="000000" w:sz="4" w:space="0"/>
                  </w:tcBorders>
                  <w:vAlign w:val="center"/>
                </w:tcPr>
                <w:p>
                  <w:pPr>
                    <w:widowControl/>
                    <w:jc w:val="center"/>
                    <w:rPr>
                      <w:rFonts w:eastAsia="华文细黑"/>
                      <w:color w:val="000000"/>
                      <w:kern w:val="0"/>
                      <w:sz w:val="20"/>
                    </w:rPr>
                  </w:pPr>
                  <w:r>
                    <w:rPr>
                      <w:rFonts w:eastAsia="方正小标宋简体"/>
                      <w:kern w:val="0"/>
                      <w:sz w:val="44"/>
                      <w:szCs w:val="44"/>
                    </w:rPr>
                    <w:t>一般公共预算</w:t>
                  </w:r>
                  <w:r>
                    <w:rPr>
                      <w:rFonts w:hint="eastAsia" w:eastAsia="方正小标宋简体"/>
                      <w:kern w:val="0"/>
                      <w:sz w:val="44"/>
                      <w:szCs w:val="44"/>
                    </w:rPr>
                    <w:t>支出</w:t>
                  </w:r>
                  <w:r>
                    <w:rPr>
                      <w:rFonts w:eastAsia="方正小标宋简体"/>
                      <w:kern w:val="0"/>
                      <w:sz w:val="44"/>
                      <w:szCs w:val="44"/>
                    </w:rPr>
                    <w:t>表</w:t>
                  </w: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330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16"/>
                      <w:szCs w:val="16"/>
                    </w:rPr>
                  </w:pPr>
                  <w:r>
                    <w:rPr>
                      <w:rFonts w:eastAsia="宋体"/>
                      <w:color w:val="000000"/>
                      <w:sz w:val="16"/>
                      <w:szCs w:val="16"/>
                    </w:rPr>
                    <w:t>功能分类</w:t>
                  </w:r>
                </w:p>
                <w:p>
                  <w:pPr>
                    <w:widowControl/>
                    <w:jc w:val="center"/>
                    <w:rPr>
                      <w:rFonts w:eastAsia="华文细黑"/>
                      <w:color w:val="000000"/>
                      <w:kern w:val="0"/>
                      <w:sz w:val="16"/>
                      <w:szCs w:val="16"/>
                    </w:rPr>
                  </w:pPr>
                  <w:r>
                    <w:rPr>
                      <w:rFonts w:eastAsia="宋体"/>
                      <w:color w:val="000000"/>
                      <w:sz w:val="16"/>
                      <w:szCs w:val="16"/>
                    </w:rPr>
                    <w:t>科目名称</w:t>
                  </w:r>
                </w:p>
              </w:tc>
              <w:tc>
                <w:tcPr>
                  <w:tcW w:w="1035" w:type="dxa"/>
                  <w:vMerge w:val="restart"/>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总计</w:t>
                  </w:r>
                </w:p>
              </w:tc>
              <w:tc>
                <w:tcPr>
                  <w:tcW w:w="30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基本支出</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项目                                                               支出</w:t>
                  </w:r>
                </w:p>
              </w:tc>
            </w:tr>
            <w:tr>
              <w:tblPrEx>
                <w:tblCellMar>
                  <w:top w:w="15" w:type="dxa"/>
                  <w:left w:w="15" w:type="dxa"/>
                  <w:bottom w:w="15" w:type="dxa"/>
                  <w:right w:w="15" w:type="dxa"/>
                </w:tblCellMar>
              </w:tblPrEx>
              <w:trPr>
                <w:trHeight w:val="281" w:hRule="atLeast"/>
              </w:trPr>
              <w:tc>
                <w:tcPr>
                  <w:tcW w:w="3300"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035"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307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630" w:hRule="atLeast"/>
              </w:trPr>
              <w:tc>
                <w:tcPr>
                  <w:tcW w:w="3300"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035"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合计</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人员经费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16"/>
                      <w:szCs w:val="16"/>
                    </w:rPr>
                  </w:pPr>
                  <w:r>
                    <w:rPr>
                      <w:rFonts w:eastAsia="华文细黑"/>
                      <w:color w:val="000000"/>
                      <w:kern w:val="0"/>
                      <w:sz w:val="16"/>
                      <w:szCs w:val="16"/>
                    </w:rPr>
                    <w:t>公用经费</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354" w:hRule="atLeast"/>
              </w:trPr>
              <w:tc>
                <w:tcPr>
                  <w:tcW w:w="3300"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16"/>
                      <w:szCs w:val="16"/>
                    </w:rPr>
                  </w:pPr>
                  <w:r>
                    <w:rPr>
                      <w:rFonts w:eastAsia="宋体"/>
                      <w:color w:val="000000"/>
                      <w:kern w:val="0"/>
                      <w:sz w:val="16"/>
                      <w:szCs w:val="16"/>
                    </w:rPr>
                    <w:t>一、一般公共服务</w:t>
                  </w:r>
                  <w:r>
                    <w:rPr>
                      <w:rFonts w:hint="eastAsia" w:eastAsia="宋体"/>
                      <w:color w:val="000000"/>
                      <w:kern w:val="0"/>
                      <w:sz w:val="16"/>
                      <w:szCs w:val="16"/>
                    </w:rPr>
                    <w:t>支出</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49.51</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18.85</w:t>
                  </w:r>
                </w:p>
              </w:tc>
              <w:tc>
                <w:tcPr>
                  <w:tcW w:w="151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000000" w:sz="4" w:space="0"/>
                    <w:left w:val="single" w:color="000000" w:sz="4" w:space="0"/>
                    <w:bottom w:val="single" w:color="000000" w:sz="4" w:space="0"/>
                  </w:tcBorders>
                  <w:shd w:val="clear" w:color="000000" w:fill="FFFFFF"/>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统计信息事务</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49.51</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18.85</w:t>
                  </w:r>
                </w:p>
              </w:tc>
              <w:tc>
                <w:tcPr>
                  <w:tcW w:w="151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000000" w:sz="4" w:space="0"/>
                    <w:left w:val="single" w:color="000000" w:sz="4" w:space="0"/>
                    <w:bottom w:val="single" w:color="000000" w:sz="4" w:space="0"/>
                  </w:tcBorders>
                  <w:shd w:val="clear" w:color="000000" w:fill="FFFFFF"/>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行政运行</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68.36</w:t>
                  </w:r>
                </w:p>
              </w:tc>
              <w:tc>
                <w:tcPr>
                  <w:tcW w:w="9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49.51</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18.85</w:t>
                  </w:r>
                </w:p>
              </w:tc>
              <w:tc>
                <w:tcPr>
                  <w:tcW w:w="151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000000" w:sz="4" w:space="0"/>
                    <w:left w:val="single" w:color="000000" w:sz="4" w:space="0"/>
                    <w:bottom w:val="single" w:color="000000" w:sz="4" w:space="0"/>
                  </w:tcBorders>
                  <w:shd w:val="clear" w:color="000000" w:fill="FFFFFF"/>
                  <w:vAlign w:val="center"/>
                </w:tcPr>
                <w:p>
                  <w:pPr>
                    <w:widowControl/>
                    <w:rPr>
                      <w:rFonts w:ascii="宋体" w:hAnsi="宋体" w:eastAsia="宋体" w:cs="宋体"/>
                      <w:color w:val="000000"/>
                      <w:kern w:val="0"/>
                      <w:sz w:val="16"/>
                      <w:szCs w:val="16"/>
                    </w:rPr>
                  </w:pPr>
                  <w:r>
                    <w:rPr>
                      <w:rFonts w:hint="eastAsia" w:ascii="宋体" w:hAnsi="宋体" w:eastAsia="宋体" w:cs="宋体"/>
                      <w:color w:val="000000"/>
                      <w:kern w:val="0"/>
                      <w:sz w:val="16"/>
                      <w:szCs w:val="16"/>
                    </w:rPr>
                    <w:t>二、社会保障和就业支出</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9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p>
              </w:tc>
              <w:tc>
                <w:tcPr>
                  <w:tcW w:w="151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000000" w:sz="4" w:space="0"/>
                    <w:left w:val="single" w:color="000000" w:sz="4" w:space="0"/>
                    <w:bottom w:val="single" w:color="auto" w:sz="4" w:space="0"/>
                  </w:tcBorders>
                  <w:shd w:val="clear" w:color="000000" w:fill="FFFFFF"/>
                  <w:vAlign w:val="center"/>
                </w:tcPr>
                <w:p>
                  <w:pPr>
                    <w:widowControl/>
                    <w:ind w:firstLine="480" w:firstLineChars="300"/>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1035"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65"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990"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jc w:val="right"/>
                    <w:rPr>
                      <w:rFonts w:eastAsia="宋体"/>
                      <w:kern w:val="0"/>
                      <w:sz w:val="16"/>
                      <w:szCs w:val="16"/>
                    </w:rPr>
                  </w:pPr>
                  <w:r>
                    <w:rPr>
                      <w:rFonts w:hint="eastAsia" w:eastAsia="宋体"/>
                      <w:kern w:val="0"/>
                      <w:sz w:val="16"/>
                      <w:szCs w:val="16"/>
                    </w:rPr>
                    <w:t>7.65</w:t>
                  </w:r>
                </w:p>
              </w:tc>
              <w:tc>
                <w:tcPr>
                  <w:tcW w:w="1020"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jc w:val="right"/>
                    <w:rPr>
                      <w:rFonts w:eastAsia="宋体"/>
                      <w:color w:val="000000"/>
                      <w:kern w:val="0"/>
                      <w:sz w:val="16"/>
                      <w:szCs w:val="16"/>
                    </w:rPr>
                  </w:pPr>
                </w:p>
              </w:tc>
              <w:tc>
                <w:tcPr>
                  <w:tcW w:w="1515"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640" w:firstLineChars="400"/>
                    <w:rPr>
                      <w:rFonts w:ascii="宋体" w:hAnsi="宋体" w:eastAsia="宋体" w:cs="宋体"/>
                      <w:color w:val="000000"/>
                      <w:kern w:val="0"/>
                      <w:sz w:val="16"/>
                      <w:szCs w:val="16"/>
                    </w:rPr>
                  </w:pPr>
                  <w:r>
                    <w:rPr>
                      <w:rFonts w:hint="eastAsia" w:ascii="宋体" w:hAnsi="宋体" w:eastAsia="宋体" w:cs="宋体"/>
                      <w:color w:val="000000"/>
                      <w:kern w:val="0"/>
                      <w:sz w:val="16"/>
                      <w:szCs w:val="16"/>
                    </w:rPr>
                    <w:t>行政单位离退休</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0.44</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0.44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0.44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640" w:firstLineChars="400"/>
                    <w:rPr>
                      <w:rFonts w:ascii="宋体" w:hAnsi="宋体" w:eastAsia="宋体" w:cs="宋体"/>
                      <w:color w:val="000000"/>
                      <w:kern w:val="0"/>
                      <w:sz w:val="16"/>
                      <w:szCs w:val="16"/>
                    </w:rPr>
                  </w:pPr>
                  <w:r>
                    <w:rPr>
                      <w:rFonts w:hint="eastAsia" w:ascii="宋体" w:hAnsi="宋体" w:eastAsia="宋体" w:cs="宋体"/>
                      <w:color w:val="000000"/>
                      <w:kern w:val="0"/>
                      <w:sz w:val="16"/>
                      <w:szCs w:val="16"/>
                    </w:rPr>
                    <w:t>机关事业单位基本养老保险缴费支出</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7.21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7.21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7.21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三、卫生健康支出</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行政事业单位医疗</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行政单位医疗</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3.02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四、住房保障支出</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480" w:firstLineChars="3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住房改革支出</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ind w:firstLine="640" w:firstLineChars="4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住房公积金</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5.69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15" w:type="dxa"/>
                  <w:left w:w="15" w:type="dxa"/>
                  <w:bottom w:w="15" w:type="dxa"/>
                  <w:right w:w="15" w:type="dxa"/>
                </w:tblCellMar>
              </w:tblPrEx>
              <w:trPr>
                <w:trHeight w:val="354" w:hRule="atLeast"/>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华文细黑"/>
                      <w:color w:val="000000"/>
                      <w:kern w:val="0"/>
                      <w:sz w:val="20"/>
                    </w:rPr>
                    <w:t>合计</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16"/>
                      <w:szCs w:val="16"/>
                    </w:rPr>
                  </w:pPr>
                  <w:r>
                    <w:rPr>
                      <w:rFonts w:hint="eastAsia" w:eastAsia="宋体"/>
                      <w:kern w:val="0"/>
                      <w:sz w:val="16"/>
                      <w:szCs w:val="16"/>
                    </w:rPr>
                    <w:t>84.72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65.87</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18.85</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bl>
          <w:p>
            <w:pPr>
              <w:widowControl/>
              <w:jc w:val="center"/>
              <w:rPr>
                <w:rFonts w:eastAsia="方正小标宋简体"/>
                <w:kern w:val="0"/>
                <w:sz w:val="44"/>
                <w:szCs w:val="44"/>
              </w:rPr>
            </w:pPr>
          </w:p>
        </w:tc>
      </w:tr>
    </w:tbl>
    <w:p>
      <w:pPr>
        <w:ind w:firstLine="640" w:firstLineChars="200"/>
      </w:pPr>
    </w:p>
    <w:p>
      <w:pPr>
        <w:ind w:firstLine="640" w:firstLineChars="200"/>
        <w:rPr>
          <w:rFonts w:eastAsia="楷体"/>
        </w:rPr>
      </w:pPr>
    </w:p>
    <w:p>
      <w:pPr>
        <w:ind w:firstLine="640" w:firstLineChars="200"/>
        <w:rPr>
          <w:rFonts w:eastAsia="楷体"/>
        </w:rPr>
      </w:pPr>
    </w:p>
    <w:p>
      <w:pPr>
        <w:ind w:firstLine="640" w:firstLineChars="200"/>
        <w:rPr>
          <w:rFonts w:eastAsia="楷体"/>
        </w:rPr>
      </w:pPr>
    </w:p>
    <w:p>
      <w:pPr>
        <w:rPr>
          <w:rFonts w:eastAsia="楷体"/>
        </w:rPr>
      </w:pPr>
    </w:p>
    <w:tbl>
      <w:tblPr>
        <w:tblStyle w:val="9"/>
        <w:tblW w:w="0" w:type="auto"/>
        <w:jc w:val="center"/>
        <w:tblLayout w:type="fixed"/>
        <w:tblCellMar>
          <w:top w:w="0" w:type="dxa"/>
          <w:left w:w="108" w:type="dxa"/>
          <w:bottom w:w="0" w:type="dxa"/>
          <w:right w:w="108" w:type="dxa"/>
        </w:tblCellMar>
      </w:tblPr>
      <w:tblGrid>
        <w:gridCol w:w="3176"/>
        <w:gridCol w:w="2220"/>
        <w:gridCol w:w="1704"/>
        <w:gridCol w:w="1831"/>
      </w:tblGrid>
      <w:tr>
        <w:tblPrEx>
          <w:tblCellMar>
            <w:top w:w="0" w:type="dxa"/>
            <w:left w:w="108" w:type="dxa"/>
            <w:bottom w:w="0" w:type="dxa"/>
            <w:right w:w="108" w:type="dxa"/>
          </w:tblCellMar>
        </w:tblPrEx>
        <w:trPr>
          <w:trHeight w:val="615" w:hRule="atLeast"/>
          <w:jc w:val="center"/>
        </w:trPr>
        <w:tc>
          <w:tcPr>
            <w:tcW w:w="8931" w:type="dxa"/>
            <w:gridSpan w:val="4"/>
            <w:tcBorders>
              <w:top w:val="nil"/>
              <w:left w:val="nil"/>
              <w:bottom w:val="nil"/>
              <w:right w:val="nil"/>
            </w:tcBorders>
            <w:vAlign w:val="bottom"/>
          </w:tcPr>
          <w:p>
            <w:pPr>
              <w:widowControl/>
              <w:jc w:val="center"/>
              <w:rPr>
                <w:rFonts w:eastAsia="方正小标宋简体"/>
                <w:kern w:val="0"/>
                <w:sz w:val="44"/>
                <w:szCs w:val="44"/>
              </w:rPr>
            </w:pPr>
          </w:p>
          <w:p>
            <w:pPr>
              <w:widowControl/>
              <w:jc w:val="center"/>
              <w:rPr>
                <w:rFonts w:eastAsia="方正小标宋简体"/>
                <w:kern w:val="0"/>
                <w:sz w:val="44"/>
                <w:szCs w:val="44"/>
              </w:rPr>
            </w:pPr>
          </w:p>
          <w:p>
            <w:pPr>
              <w:widowControl/>
              <w:jc w:val="center"/>
              <w:rPr>
                <w:rFonts w:eastAsia="方正小标宋简体"/>
                <w:kern w:val="0"/>
                <w:sz w:val="44"/>
                <w:szCs w:val="44"/>
              </w:rPr>
            </w:pPr>
            <w:r>
              <w:rPr>
                <w:rFonts w:eastAsia="方正小标宋简体"/>
                <w:kern w:val="0"/>
                <w:sz w:val="44"/>
                <w:szCs w:val="44"/>
              </w:rPr>
              <w:t>一般公共预算</w:t>
            </w:r>
            <w:r>
              <w:rPr>
                <w:rFonts w:hint="eastAsia" w:eastAsia="方正小标宋简体"/>
                <w:kern w:val="0"/>
                <w:sz w:val="44"/>
                <w:szCs w:val="44"/>
              </w:rPr>
              <w:t>基本</w:t>
            </w:r>
            <w:r>
              <w:rPr>
                <w:rFonts w:eastAsia="方正小标宋简体"/>
                <w:kern w:val="0"/>
                <w:sz w:val="44"/>
                <w:szCs w:val="44"/>
              </w:rPr>
              <w:t>支出表</w:t>
            </w:r>
          </w:p>
        </w:tc>
      </w:tr>
      <w:tr>
        <w:tblPrEx>
          <w:tblCellMar>
            <w:top w:w="0" w:type="dxa"/>
            <w:left w:w="108" w:type="dxa"/>
            <w:bottom w:w="0" w:type="dxa"/>
            <w:right w:w="108" w:type="dxa"/>
          </w:tblCellMar>
        </w:tblPrEx>
        <w:trPr>
          <w:trHeight w:val="390" w:hRule="atLeast"/>
          <w:jc w:val="center"/>
        </w:trPr>
        <w:tc>
          <w:tcPr>
            <w:tcW w:w="3176" w:type="dxa"/>
            <w:tcBorders>
              <w:top w:val="nil"/>
              <w:left w:val="nil"/>
              <w:bottom w:val="single" w:color="auto" w:sz="4" w:space="0"/>
              <w:right w:val="nil"/>
            </w:tcBorders>
            <w:vAlign w:val="center"/>
          </w:tcPr>
          <w:p>
            <w:pPr>
              <w:widowControl/>
              <w:jc w:val="left"/>
              <w:rPr>
                <w:rFonts w:eastAsia="宋体"/>
                <w:kern w:val="0"/>
                <w:sz w:val="20"/>
              </w:rPr>
            </w:pPr>
            <w:r>
              <w:rPr>
                <w:rFonts w:eastAsia="宋体"/>
                <w:kern w:val="0"/>
                <w:sz w:val="20"/>
              </w:rPr>
              <w:t>　</w:t>
            </w:r>
          </w:p>
        </w:tc>
        <w:tc>
          <w:tcPr>
            <w:tcW w:w="2220" w:type="dxa"/>
            <w:tcBorders>
              <w:top w:val="nil"/>
              <w:left w:val="nil"/>
              <w:bottom w:val="single" w:color="auto" w:sz="4" w:space="0"/>
              <w:right w:val="nil"/>
            </w:tcBorders>
            <w:vAlign w:val="center"/>
          </w:tcPr>
          <w:p>
            <w:pPr>
              <w:widowControl/>
              <w:jc w:val="right"/>
              <w:rPr>
                <w:rFonts w:eastAsia="宋体"/>
                <w:kern w:val="0"/>
                <w:sz w:val="20"/>
              </w:rPr>
            </w:pPr>
            <w:r>
              <w:rPr>
                <w:rFonts w:eastAsia="宋体"/>
                <w:kern w:val="0"/>
                <w:sz w:val="20"/>
              </w:rPr>
              <w:t>　</w:t>
            </w:r>
          </w:p>
        </w:tc>
        <w:tc>
          <w:tcPr>
            <w:tcW w:w="3535" w:type="dxa"/>
            <w:gridSpan w:val="2"/>
            <w:tcBorders>
              <w:top w:val="nil"/>
              <w:left w:val="nil"/>
              <w:bottom w:val="single" w:color="auto" w:sz="4" w:space="0"/>
              <w:right w:val="nil"/>
            </w:tcBorders>
            <w:vAlign w:val="center"/>
          </w:tcPr>
          <w:p>
            <w:pPr>
              <w:widowControl/>
              <w:jc w:val="right"/>
              <w:rPr>
                <w:rFonts w:eastAsia="华文细黑"/>
                <w:kern w:val="0"/>
                <w:sz w:val="20"/>
              </w:rPr>
            </w:pPr>
            <w:r>
              <w:rPr>
                <w:rFonts w:hAnsi="华文细黑" w:eastAsia="华文细黑"/>
                <w:kern w:val="0"/>
                <w:sz w:val="20"/>
              </w:rPr>
              <w:t>　</w:t>
            </w:r>
            <w:r>
              <w:rPr>
                <w:rFonts w:hint="eastAsia" w:hAnsi="华文细黑" w:eastAsia="华文细黑"/>
                <w:kern w:val="0"/>
                <w:sz w:val="20"/>
              </w:rPr>
              <w:t>单位：万元</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经济分类科目</w:t>
            </w:r>
          </w:p>
        </w:tc>
        <w:tc>
          <w:tcPr>
            <w:tcW w:w="2220"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16"/>
                <w:szCs w:val="16"/>
              </w:rPr>
            </w:pPr>
            <w:r>
              <w:rPr>
                <w:rFonts w:hint="eastAsia" w:ascii="宋体" w:hAnsi="宋体" w:eastAsia="宋体" w:cs="宋体"/>
                <w:color w:val="000000"/>
                <w:kern w:val="0"/>
                <w:sz w:val="16"/>
                <w:szCs w:val="16"/>
              </w:rPr>
              <w:t>合计</w:t>
            </w:r>
          </w:p>
        </w:tc>
        <w:tc>
          <w:tcPr>
            <w:tcW w:w="1704"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sz w:val="16"/>
                <w:szCs w:val="16"/>
              </w:rPr>
            </w:pPr>
            <w:r>
              <w:rPr>
                <w:rFonts w:hint="eastAsia" w:ascii="宋体" w:hAnsi="宋体" w:eastAsia="宋体" w:cs="宋体"/>
                <w:color w:val="000000"/>
                <w:kern w:val="0"/>
                <w:sz w:val="16"/>
                <w:szCs w:val="16"/>
              </w:rPr>
              <w:t>人员经费</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16"/>
                <w:szCs w:val="16"/>
              </w:rPr>
            </w:pPr>
            <w:r>
              <w:rPr>
                <w:rFonts w:hint="eastAsia" w:ascii="宋体" w:hAnsi="宋体" w:eastAsia="宋体" w:cs="宋体"/>
                <w:color w:val="000000"/>
                <w:kern w:val="0"/>
                <w:sz w:val="16"/>
                <w:szCs w:val="16"/>
              </w:rPr>
              <w:t>公用经费</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rPr>
              <w:t>一、工资福利支出</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65.08</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65.08</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rPr>
              <w:t>基本工资</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25.39</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25.39</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rPr>
              <w:t>津贴补贴</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19.51</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19.51</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rPr>
              <w:t>奖金</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1.96</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1.96</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color w:val="000000"/>
                <w:sz w:val="16"/>
                <w:szCs w:val="16"/>
              </w:rPr>
              <w:t>机关事业单位基本养老保险</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7.21</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7.21</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color w:val="000000"/>
                <w:sz w:val="16"/>
                <w:szCs w:val="16"/>
              </w:rPr>
              <w:t>职工基本医疗保险缴费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2.88</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2.88</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其他社会保障缴费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0.92</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0.92</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住房公积金</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5.69</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5.69</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医疗费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0.70</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0.70</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其他工资福利支出</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0.82</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0.82</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textAlignment w:val="center"/>
              <w:rPr>
                <w:rFonts w:ascii="宋体" w:hAnsi="宋体" w:eastAsia="宋体" w:cs="宋体"/>
                <w:kern w:val="0"/>
                <w:sz w:val="16"/>
                <w:szCs w:val="16"/>
              </w:rPr>
            </w:pPr>
            <w:r>
              <w:rPr>
                <w:rFonts w:hint="eastAsia" w:ascii="宋体" w:hAnsi="宋体" w:eastAsia="宋体" w:cs="宋体"/>
                <w:color w:val="000000"/>
                <w:sz w:val="16"/>
                <w:szCs w:val="16"/>
              </w:rPr>
              <w:t>二、商品和服务支出</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17.67</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17.67</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color w:val="000000"/>
                <w:sz w:val="16"/>
                <w:szCs w:val="16"/>
              </w:rPr>
              <w:t>办公费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1.67</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1.67</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印刷费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0.12</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color w:val="000000"/>
                <w:kern w:val="0"/>
                <w:sz w:val="16"/>
                <w:szCs w:val="16"/>
              </w:rPr>
            </w:pPr>
            <w:r>
              <w:rPr>
                <w:rFonts w:hint="eastAsia" w:eastAsia="宋体"/>
                <w:color w:val="000000"/>
                <w:kern w:val="0"/>
                <w:sz w:val="16"/>
                <w:szCs w:val="16"/>
              </w:rPr>
              <w:t>0.12</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邮电费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0.53</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0.53</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差旅费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5.56</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5.56</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会议费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0.15</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0.15</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培训费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0.68</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0.68</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公务接待费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16"/>
                <w:szCs w:val="16"/>
              </w:rPr>
            </w:pPr>
            <w:r>
              <w:rPr>
                <w:rFonts w:hint="eastAsia" w:eastAsia="宋体"/>
                <w:color w:val="000000"/>
                <w:kern w:val="0"/>
                <w:sz w:val="16"/>
                <w:szCs w:val="16"/>
              </w:rPr>
              <w:t>0.17</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sz w:val="16"/>
                <w:szCs w:val="16"/>
              </w:rPr>
            </w:pPr>
            <w:r>
              <w:rPr>
                <w:rFonts w:hint="eastAsia" w:eastAsia="宋体"/>
                <w:color w:val="000000"/>
                <w:kern w:val="0"/>
                <w:sz w:val="16"/>
                <w:szCs w:val="16"/>
              </w:rPr>
              <w:t>0.17</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工会经费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0.90</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0.90</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福利费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2.15</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2.15</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其他交通费用</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5.10</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5.10</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其他商品和服务支出</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0.64</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0.64</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eastAsia="宋体" w:cs="宋体"/>
                <w:kern w:val="0"/>
                <w:sz w:val="16"/>
                <w:szCs w:val="16"/>
              </w:rPr>
            </w:pPr>
            <w:r>
              <w:rPr>
                <w:rFonts w:hint="eastAsia" w:ascii="宋体" w:hAnsi="宋体" w:eastAsia="宋体" w:cs="宋体"/>
                <w:kern w:val="0"/>
                <w:sz w:val="16"/>
                <w:szCs w:val="16"/>
              </w:rPr>
              <w:t>三、对个人和家庭的补助</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0.79</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0.79</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退休费</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0.44</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0.44</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其他对个人和家庭的补助</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0.35</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0.35</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eastAsia="宋体" w:cs="宋体"/>
                <w:kern w:val="0"/>
                <w:sz w:val="16"/>
                <w:szCs w:val="16"/>
              </w:rPr>
            </w:pPr>
            <w:r>
              <w:rPr>
                <w:rFonts w:hint="eastAsia" w:ascii="宋体" w:hAnsi="宋体" w:eastAsia="宋体" w:cs="宋体"/>
                <w:kern w:val="0"/>
                <w:sz w:val="16"/>
                <w:szCs w:val="16"/>
              </w:rPr>
              <w:t>四、资本性支出</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1.18</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1.18</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320" w:firstLineChars="200"/>
              <w:jc w:val="left"/>
              <w:textAlignment w:val="center"/>
              <w:rPr>
                <w:rFonts w:ascii="宋体" w:hAnsi="宋体" w:eastAsia="宋体" w:cs="宋体"/>
                <w:kern w:val="0"/>
                <w:sz w:val="16"/>
                <w:szCs w:val="16"/>
              </w:rPr>
            </w:pPr>
            <w:r>
              <w:rPr>
                <w:rFonts w:hint="eastAsia" w:ascii="宋体" w:hAnsi="宋体" w:eastAsia="宋体" w:cs="宋体"/>
                <w:kern w:val="0"/>
                <w:sz w:val="16"/>
                <w:szCs w:val="16"/>
              </w:rPr>
              <w:t>办公设备购置</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1.18</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1.18</w:t>
            </w:r>
          </w:p>
        </w:tc>
      </w:tr>
      <w:tr>
        <w:tblPrEx>
          <w:tblCellMar>
            <w:top w:w="0" w:type="dxa"/>
            <w:left w:w="108" w:type="dxa"/>
            <w:bottom w:w="0" w:type="dxa"/>
            <w:right w:w="108" w:type="dxa"/>
          </w:tblCellMar>
        </w:tblPrEx>
        <w:trPr>
          <w:trHeight w:val="369"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eastAsia="宋体" w:cs="宋体"/>
                <w:kern w:val="0"/>
                <w:sz w:val="16"/>
                <w:szCs w:val="16"/>
              </w:rPr>
            </w:pPr>
            <w:r>
              <w:rPr>
                <w:rFonts w:hint="eastAsia" w:ascii="宋体" w:hAnsi="宋体" w:eastAsia="宋体" w:cs="宋体"/>
                <w:kern w:val="0"/>
                <w:sz w:val="16"/>
                <w:szCs w:val="16"/>
              </w:rPr>
              <w:t>合计</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84.72</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65.87</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18.85</w:t>
            </w:r>
          </w:p>
        </w:tc>
      </w:tr>
    </w:tbl>
    <w:p>
      <w:pPr>
        <w:rPr>
          <w:rFonts w:eastAsia="楷体"/>
        </w:rPr>
      </w:pPr>
    </w:p>
    <w:tbl>
      <w:tblPr>
        <w:tblStyle w:val="9"/>
        <w:tblW w:w="0" w:type="auto"/>
        <w:jc w:val="center"/>
        <w:tblLayout w:type="fixed"/>
        <w:tblCellMar>
          <w:top w:w="0" w:type="dxa"/>
          <w:left w:w="108" w:type="dxa"/>
          <w:bottom w:w="0" w:type="dxa"/>
          <w:right w:w="108" w:type="dxa"/>
        </w:tblCellMar>
      </w:tblPr>
      <w:tblGrid>
        <w:gridCol w:w="4783"/>
        <w:gridCol w:w="1646"/>
        <w:gridCol w:w="1378"/>
        <w:gridCol w:w="1307"/>
      </w:tblGrid>
      <w:tr>
        <w:tblPrEx>
          <w:tblCellMar>
            <w:top w:w="0" w:type="dxa"/>
            <w:left w:w="108" w:type="dxa"/>
            <w:bottom w:w="0" w:type="dxa"/>
            <w:right w:w="108" w:type="dxa"/>
          </w:tblCellMar>
        </w:tblPrEx>
        <w:trPr>
          <w:trHeight w:val="1200" w:hRule="atLeast"/>
          <w:jc w:val="center"/>
        </w:trPr>
        <w:tc>
          <w:tcPr>
            <w:tcW w:w="9114" w:type="dxa"/>
            <w:gridSpan w:val="4"/>
            <w:tcBorders>
              <w:top w:val="nil"/>
              <w:left w:val="nil"/>
              <w:right w:val="nil"/>
            </w:tcBorders>
            <w:vAlign w:val="center"/>
          </w:tcPr>
          <w:p>
            <w:pPr>
              <w:widowControl/>
              <w:jc w:val="center"/>
              <w:rPr>
                <w:rFonts w:eastAsia="宋体"/>
                <w:color w:val="000000"/>
                <w:kern w:val="0"/>
                <w:sz w:val="44"/>
                <w:szCs w:val="44"/>
              </w:rPr>
            </w:pPr>
            <w:r>
              <w:rPr>
                <w:rFonts w:eastAsia="方正小标宋简体"/>
                <w:color w:val="000000"/>
                <w:kern w:val="0"/>
                <w:sz w:val="44"/>
                <w:szCs w:val="44"/>
              </w:rPr>
              <w:t>一般公共预算“三公”经费支出表</w:t>
            </w:r>
          </w:p>
        </w:tc>
      </w:tr>
      <w:tr>
        <w:tblPrEx>
          <w:tblCellMar>
            <w:top w:w="0" w:type="dxa"/>
            <w:left w:w="108" w:type="dxa"/>
            <w:bottom w:w="0" w:type="dxa"/>
            <w:right w:w="108" w:type="dxa"/>
          </w:tblCellMar>
        </w:tblPrEx>
        <w:trPr>
          <w:trHeight w:val="424" w:hRule="atLeast"/>
          <w:jc w:val="center"/>
        </w:trPr>
        <w:tc>
          <w:tcPr>
            <w:tcW w:w="9114" w:type="dxa"/>
            <w:gridSpan w:val="4"/>
            <w:tcBorders>
              <w:bottom w:val="single" w:color="auto" w:sz="4" w:space="0"/>
            </w:tcBorders>
            <w:vAlign w:val="center"/>
          </w:tcPr>
          <w:p>
            <w:pPr>
              <w:widowControl/>
              <w:jc w:val="right"/>
              <w:rPr>
                <w:rFonts w:eastAsia="华文细黑"/>
                <w:color w:val="000000"/>
                <w:kern w:val="0"/>
                <w:sz w:val="20"/>
              </w:rPr>
            </w:pPr>
            <w:r>
              <w:rPr>
                <w:rFonts w:hAnsi="华文细黑" w:eastAsia="华文细黑"/>
                <w:color w:val="000000"/>
                <w:kern w:val="0"/>
                <w:sz w:val="20"/>
              </w:rPr>
              <w:t>单位：万元</w:t>
            </w:r>
          </w:p>
        </w:tc>
      </w:tr>
      <w:tr>
        <w:tblPrEx>
          <w:tblCellMar>
            <w:top w:w="0" w:type="dxa"/>
            <w:left w:w="108" w:type="dxa"/>
            <w:bottom w:w="0" w:type="dxa"/>
            <w:right w:w="108" w:type="dxa"/>
          </w:tblCellMar>
        </w:tblPrEx>
        <w:trPr>
          <w:trHeight w:val="810" w:hRule="atLeast"/>
          <w:jc w:val="center"/>
        </w:trPr>
        <w:tc>
          <w:tcPr>
            <w:tcW w:w="47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164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2022年预算数</w:t>
            </w:r>
          </w:p>
        </w:tc>
        <w:tc>
          <w:tcPr>
            <w:tcW w:w="137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当年预算</w:t>
            </w:r>
          </w:p>
        </w:tc>
        <w:tc>
          <w:tcPr>
            <w:tcW w:w="13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上年结转</w:t>
            </w:r>
          </w:p>
        </w:tc>
      </w:tr>
      <w:tr>
        <w:tblPrEx>
          <w:tblCellMar>
            <w:top w:w="0" w:type="dxa"/>
            <w:left w:w="108" w:type="dxa"/>
            <w:bottom w:w="0" w:type="dxa"/>
            <w:right w:w="108" w:type="dxa"/>
          </w:tblCellMar>
        </w:tblPrEx>
        <w:trPr>
          <w:trHeight w:val="489"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    计</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0.17</w:t>
            </w: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16"/>
                <w:szCs w:val="16"/>
              </w:rPr>
            </w:pPr>
            <w:r>
              <w:rPr>
                <w:rFonts w:hint="eastAsia" w:eastAsia="宋体"/>
                <w:color w:val="000000"/>
                <w:kern w:val="0"/>
                <w:sz w:val="16"/>
                <w:szCs w:val="16"/>
              </w:rPr>
              <w:t>0.17</w:t>
            </w:r>
            <w:r>
              <w:rPr>
                <w:rFonts w:eastAsia="宋体"/>
                <w:color w:val="000000"/>
                <w:kern w:val="0"/>
                <w:sz w:val="16"/>
                <w:szCs w:val="16"/>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6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1、因公出国（境）费用</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4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2、公务接待费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16"/>
                <w:szCs w:val="16"/>
              </w:rPr>
            </w:pPr>
            <w:r>
              <w:rPr>
                <w:rFonts w:hint="eastAsia" w:eastAsia="宋体"/>
                <w:color w:val="000000"/>
                <w:kern w:val="0"/>
                <w:sz w:val="16"/>
                <w:szCs w:val="16"/>
              </w:rPr>
              <w:t>0.17</w:t>
            </w: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16"/>
                <w:szCs w:val="16"/>
              </w:rPr>
            </w:pPr>
            <w:r>
              <w:rPr>
                <w:rFonts w:hint="eastAsia" w:eastAsia="宋体"/>
                <w:color w:val="000000"/>
                <w:kern w:val="0"/>
                <w:sz w:val="16"/>
                <w:szCs w:val="16"/>
              </w:rPr>
              <w:t>0.17</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5"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3、公务用车费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16"/>
                <w:szCs w:val="16"/>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16"/>
                <w:szCs w:val="16"/>
              </w:rPr>
            </w:pP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7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320" w:firstLineChars="2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其中：（1）公务用车运行维护费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16"/>
                <w:szCs w:val="16"/>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16"/>
                <w:szCs w:val="16"/>
              </w:rPr>
            </w:pP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7"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（2）公务用车购置</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1275" w:hRule="atLeast"/>
          <w:jc w:val="center"/>
        </w:trPr>
        <w:tc>
          <w:tcPr>
            <w:tcW w:w="9114" w:type="dxa"/>
            <w:gridSpan w:val="4"/>
            <w:tcBorders>
              <w:top w:val="single" w:color="auto" w:sz="4" w:space="0"/>
              <w:left w:val="nil"/>
              <w:bottom w:val="nil"/>
              <w:right w:val="nil"/>
            </w:tcBorders>
            <w:vAlign w:val="center"/>
          </w:tcPr>
          <w:p>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r>
            <w:r>
              <w:rPr>
                <w:color w:val="000000"/>
                <w:kern w:val="0"/>
                <w:sz w:val="28"/>
                <w:szCs w:val="28"/>
              </w:rPr>
              <w:br w:type="textWrapping"/>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22</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w:t>
            </w:r>
            <w:r>
              <w:rPr>
                <w:rFonts w:hint="eastAsia"/>
                <w:color w:val="000000"/>
                <w:kern w:val="0"/>
                <w:sz w:val="28"/>
                <w:szCs w:val="28"/>
              </w:rPr>
              <w:t>单位本级1</w:t>
            </w:r>
            <w:r>
              <w:rPr>
                <w:color w:val="000000"/>
                <w:kern w:val="0"/>
                <w:sz w:val="28"/>
                <w:szCs w:val="28"/>
              </w:rPr>
              <w:t>个预算单位。</w:t>
            </w:r>
            <w:r>
              <w:rPr>
                <w:rFonts w:eastAsia="宋体"/>
                <w:color w:val="000000"/>
                <w:kern w:val="0"/>
                <w:sz w:val="28"/>
                <w:szCs w:val="28"/>
              </w:rPr>
              <w:t xml:space="preserve">   </w:t>
            </w:r>
            <w:r>
              <w:rPr>
                <w:rFonts w:eastAsia="宋体"/>
                <w:color w:val="000000"/>
                <w:kern w:val="0"/>
                <w:sz w:val="28"/>
                <w:szCs w:val="28"/>
              </w:rPr>
              <w:br w:type="textWrapping"/>
            </w:r>
            <w:r>
              <w:rPr>
                <w:rFonts w:eastAsia="宋体"/>
                <w:color w:val="000000"/>
                <w:kern w:val="0"/>
                <w:sz w:val="28"/>
                <w:szCs w:val="28"/>
              </w:rPr>
              <w:t xml:space="preserve">       2</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22</w:t>
            </w:r>
            <w:r>
              <w:rPr>
                <w:color w:val="000000"/>
                <w:kern w:val="0"/>
                <w:sz w:val="28"/>
                <w:szCs w:val="28"/>
              </w:rPr>
              <w:t>年预算数</w:t>
            </w:r>
            <w:r>
              <w:rPr>
                <w:rFonts w:eastAsia="宋体"/>
                <w:color w:val="000000"/>
                <w:kern w:val="0"/>
                <w:sz w:val="28"/>
                <w:szCs w:val="28"/>
              </w:rPr>
              <w:t>”</w:t>
            </w:r>
            <w:r>
              <w:rPr>
                <w:color w:val="000000"/>
                <w:kern w:val="0"/>
                <w:sz w:val="28"/>
                <w:szCs w:val="28"/>
              </w:rPr>
              <w:t>的</w:t>
            </w:r>
            <w:r>
              <w:rPr>
                <w:kern w:val="0"/>
                <w:sz w:val="28"/>
                <w:szCs w:val="28"/>
              </w:rPr>
              <w:t>实有人员</w:t>
            </w:r>
            <w:r>
              <w:rPr>
                <w:rFonts w:eastAsia="宋体"/>
                <w:kern w:val="0"/>
                <w:sz w:val="28"/>
                <w:szCs w:val="28"/>
              </w:rPr>
              <w:t xml:space="preserve"> </w:t>
            </w:r>
            <w:r>
              <w:rPr>
                <w:rFonts w:hint="eastAsia" w:eastAsia="宋体"/>
                <w:kern w:val="0"/>
                <w:sz w:val="28"/>
                <w:szCs w:val="28"/>
              </w:rPr>
              <w:t>11</w:t>
            </w:r>
            <w:r>
              <w:rPr>
                <w:kern w:val="0"/>
                <w:sz w:val="28"/>
                <w:szCs w:val="28"/>
              </w:rPr>
              <w:t>人</w:t>
            </w:r>
            <w:r>
              <w:rPr>
                <w:color w:val="000000"/>
                <w:kern w:val="0"/>
                <w:sz w:val="28"/>
                <w:szCs w:val="28"/>
              </w:rPr>
              <w:t>，其中：在职人员</w:t>
            </w:r>
            <w:r>
              <w:rPr>
                <w:rFonts w:eastAsia="宋体"/>
                <w:color w:val="000000"/>
                <w:kern w:val="0"/>
                <w:sz w:val="28"/>
                <w:szCs w:val="28"/>
              </w:rPr>
              <w:t xml:space="preserve"> </w:t>
            </w:r>
            <w:r>
              <w:rPr>
                <w:rFonts w:hint="eastAsia" w:eastAsia="宋体"/>
                <w:color w:val="000000"/>
                <w:kern w:val="0"/>
                <w:sz w:val="28"/>
                <w:szCs w:val="28"/>
              </w:rPr>
              <w:t>7</w:t>
            </w:r>
            <w:r>
              <w:rPr>
                <w:color w:val="000000"/>
                <w:kern w:val="0"/>
                <w:sz w:val="28"/>
                <w:szCs w:val="28"/>
              </w:rPr>
              <w:t>人，离退休人员</w:t>
            </w:r>
            <w:r>
              <w:rPr>
                <w:rFonts w:eastAsia="宋体"/>
                <w:color w:val="000000"/>
                <w:kern w:val="0"/>
                <w:sz w:val="28"/>
                <w:szCs w:val="28"/>
              </w:rPr>
              <w:t xml:space="preserve"> </w:t>
            </w:r>
            <w:r>
              <w:rPr>
                <w:rFonts w:hint="eastAsia" w:eastAsia="宋体"/>
                <w:color w:val="000000"/>
                <w:kern w:val="0"/>
                <w:sz w:val="28"/>
                <w:szCs w:val="28"/>
              </w:rPr>
              <w:t>4</w:t>
            </w:r>
            <w:r>
              <w:rPr>
                <w:rFonts w:eastAsia="宋体"/>
                <w:color w:val="000000"/>
                <w:kern w:val="0"/>
                <w:sz w:val="28"/>
                <w:szCs w:val="28"/>
              </w:rPr>
              <w:t xml:space="preserve"> </w:t>
            </w:r>
            <w:r>
              <w:rPr>
                <w:color w:val="000000"/>
                <w:kern w:val="0"/>
                <w:sz w:val="28"/>
                <w:szCs w:val="28"/>
              </w:rPr>
              <w:t>人。</w:t>
            </w:r>
          </w:p>
          <w:p>
            <w:pPr>
              <w:widowControl/>
              <w:jc w:val="left"/>
              <w:rPr>
                <w:color w:val="000000"/>
                <w:kern w:val="0"/>
                <w:sz w:val="28"/>
                <w:szCs w:val="28"/>
              </w:rPr>
            </w:pPr>
            <w:r>
              <w:rPr>
                <w:rFonts w:hint="eastAsia"/>
                <w:color w:val="000000"/>
                <w:kern w:val="0"/>
                <w:sz w:val="28"/>
                <w:szCs w:val="28"/>
              </w:rPr>
              <w:t xml:space="preserve">       3、</w:t>
            </w:r>
            <w:r>
              <w:rPr>
                <w:rFonts w:hint="eastAsia"/>
                <w:color w:val="000000"/>
                <w:kern w:val="0"/>
                <w:sz w:val="28"/>
                <w:szCs w:val="28"/>
                <w:lang w:val="en-US" w:eastAsia="zh-CN"/>
              </w:rPr>
              <w:t>按照吉林省财政厅《关于规范按权责发生制列支事项的通知》（吉财办〔2021〕900号）及《吉林省省级部门财政拨款结转和结余资金管理办法》（吉财预〔2021〕1120号）要求，2021年下达预算单位未支出在财政预算结转部分列入2022年年初预算，坚持“过紧日子”思想，在2022年“三公”经费预算中“上年结转”额度在2022年预算执行中由省财政统一收回，不再形成“三公经费”支出</w:t>
            </w:r>
            <w:r>
              <w:rPr>
                <w:rFonts w:hint="eastAsia"/>
                <w:color w:val="000000"/>
                <w:kern w:val="0"/>
                <w:sz w:val="28"/>
                <w:szCs w:val="28"/>
              </w:rPr>
              <w:t>。</w:t>
            </w:r>
          </w:p>
        </w:tc>
      </w:tr>
    </w:tbl>
    <w:p>
      <w:pPr>
        <w:ind w:firstLine="640" w:firstLineChars="200"/>
        <w:rPr>
          <w:rFonts w:hAnsi="楷体" w:eastAsia="楷体"/>
        </w:rPr>
      </w:pPr>
    </w:p>
    <w:p>
      <w:pPr>
        <w:rPr>
          <w:rFonts w:eastAsia="楷体"/>
          <w:kern w:val="0"/>
          <w:szCs w:val="32"/>
        </w:rPr>
      </w:pPr>
    </w:p>
    <w:p>
      <w:pPr>
        <w:rPr>
          <w:rFonts w:eastAsia="楷体"/>
          <w:kern w:val="0"/>
          <w:szCs w:val="32"/>
        </w:rPr>
      </w:pPr>
    </w:p>
    <w:p>
      <w:pPr>
        <w:rPr>
          <w:rFonts w:eastAsia="楷体"/>
          <w:kern w:val="0"/>
          <w:szCs w:val="32"/>
        </w:rPr>
      </w:pPr>
    </w:p>
    <w:p>
      <w:pPr>
        <w:ind w:firstLine="640" w:firstLineChars="200"/>
        <w:rPr>
          <w:rFonts w:eastAsia="楷体"/>
          <w:kern w:val="0"/>
          <w:szCs w:val="32"/>
        </w:rPr>
      </w:pPr>
      <w:r>
        <w:rPr>
          <w:rFonts w:eastAsia="楷体"/>
          <w:kern w:val="0"/>
          <w:szCs w:val="32"/>
        </w:rPr>
        <w:t xml:space="preserve"> </w:t>
      </w:r>
    </w:p>
    <w:p>
      <w:pPr>
        <w:autoSpaceDN w:val="0"/>
        <w:jc w:val="center"/>
        <w:textAlignment w:val="center"/>
        <w:rPr>
          <w:rFonts w:eastAsia="华文细黑"/>
          <w:color w:val="000000"/>
          <w:sz w:val="20"/>
        </w:rPr>
      </w:pPr>
    </w:p>
    <w:tbl>
      <w:tblPr>
        <w:tblStyle w:val="9"/>
        <w:tblpPr w:leftFromText="180" w:rightFromText="180" w:vertAnchor="page" w:horzAnchor="margin" w:tblpY="3633"/>
        <w:tblW w:w="8789" w:type="dxa"/>
        <w:tblInd w:w="0" w:type="dxa"/>
        <w:tblLayout w:type="fixed"/>
        <w:tblCellMar>
          <w:top w:w="15" w:type="dxa"/>
          <w:left w:w="15" w:type="dxa"/>
          <w:bottom w:w="15" w:type="dxa"/>
          <w:right w:w="15" w:type="dxa"/>
        </w:tblCellMar>
      </w:tblPr>
      <w:tblGrid>
        <w:gridCol w:w="2552"/>
        <w:gridCol w:w="2147"/>
        <w:gridCol w:w="1704"/>
        <w:gridCol w:w="2386"/>
      </w:tblGrid>
      <w:tr>
        <w:tblPrEx>
          <w:tblCellMar>
            <w:top w:w="15" w:type="dxa"/>
            <w:left w:w="15" w:type="dxa"/>
            <w:bottom w:w="15" w:type="dxa"/>
            <w:right w:w="15" w:type="dxa"/>
          </w:tblCellMar>
        </w:tblPrEx>
        <w:trPr>
          <w:trHeight w:val="390" w:hRule="atLeast"/>
        </w:trPr>
        <w:tc>
          <w:tcPr>
            <w:tcW w:w="8789" w:type="dxa"/>
            <w:gridSpan w:val="4"/>
            <w:tcBorders>
              <w:bottom w:val="single" w:color="000000" w:sz="4" w:space="0"/>
            </w:tcBorders>
            <w:vAlign w:val="center"/>
          </w:tcPr>
          <w:p>
            <w:pPr>
              <w:widowControl/>
              <w:jc w:val="center"/>
              <w:rPr>
                <w:rFonts w:eastAsia="方正小标宋简体"/>
                <w:kern w:val="0"/>
                <w:sz w:val="44"/>
                <w:szCs w:val="44"/>
              </w:rPr>
            </w:pPr>
            <w:r>
              <w:rPr>
                <w:rFonts w:eastAsia="方正小标宋简体"/>
                <w:kern w:val="0"/>
                <w:sz w:val="44"/>
                <w:szCs w:val="44"/>
              </w:rPr>
              <w:t>政府性基金预算支出表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552"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功能分类</w:t>
            </w:r>
          </w:p>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sz w:val="16"/>
                <w:szCs w:val="16"/>
              </w:rPr>
              <w:t>科目名称</w:t>
            </w:r>
          </w:p>
        </w:tc>
        <w:tc>
          <w:tcPr>
            <w:tcW w:w="2147"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基本支出</w:t>
            </w:r>
          </w:p>
        </w:tc>
        <w:tc>
          <w:tcPr>
            <w:tcW w:w="23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项目支出</w:t>
            </w: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tbl>
      <w:tblPr>
        <w:tblStyle w:val="9"/>
        <w:tblpPr w:leftFromText="180" w:rightFromText="180" w:vertAnchor="page" w:horzAnchor="margin" w:tblpY="2981"/>
        <w:tblW w:w="8789" w:type="dxa"/>
        <w:tblInd w:w="0" w:type="dxa"/>
        <w:tblLayout w:type="fixed"/>
        <w:tblCellMar>
          <w:top w:w="15" w:type="dxa"/>
          <w:left w:w="15" w:type="dxa"/>
          <w:bottom w:w="15" w:type="dxa"/>
          <w:right w:w="15" w:type="dxa"/>
        </w:tblCellMar>
      </w:tblPr>
      <w:tblGrid>
        <w:gridCol w:w="2552"/>
        <w:gridCol w:w="2267"/>
        <w:gridCol w:w="2269"/>
        <w:gridCol w:w="1701"/>
      </w:tblGrid>
      <w:tr>
        <w:tblPrEx>
          <w:tblCellMar>
            <w:top w:w="15" w:type="dxa"/>
            <w:left w:w="15" w:type="dxa"/>
            <w:bottom w:w="15" w:type="dxa"/>
            <w:right w:w="15" w:type="dxa"/>
          </w:tblCellMar>
        </w:tblPrEx>
        <w:trPr>
          <w:trHeight w:val="390" w:hRule="atLeast"/>
        </w:trPr>
        <w:tc>
          <w:tcPr>
            <w:tcW w:w="8789" w:type="dxa"/>
            <w:gridSpan w:val="4"/>
            <w:tcBorders>
              <w:bottom w:val="single" w:color="000000" w:sz="4" w:space="0"/>
            </w:tcBorders>
            <w:vAlign w:val="center"/>
          </w:tcPr>
          <w:p>
            <w:pPr>
              <w:widowControl/>
              <w:jc w:val="center"/>
              <w:rPr>
                <w:rFonts w:eastAsia="方正小标宋简体"/>
                <w:kern w:val="0"/>
                <w:sz w:val="44"/>
                <w:szCs w:val="44"/>
              </w:rPr>
            </w:pPr>
            <w:r>
              <w:rPr>
                <w:rFonts w:hint="eastAsia" w:eastAsia="方正小标宋简体"/>
                <w:kern w:val="0"/>
                <w:sz w:val="44"/>
                <w:szCs w:val="44"/>
              </w:rPr>
              <w:t>国有资本经营</w:t>
            </w:r>
            <w:r>
              <w:rPr>
                <w:rFonts w:eastAsia="方正小标宋简体"/>
                <w:kern w:val="0"/>
                <w:sz w:val="44"/>
                <w:szCs w:val="44"/>
              </w:rPr>
              <w:t>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255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16"/>
              </w:rPr>
            </w:pPr>
            <w:r>
              <w:rPr>
                <w:rFonts w:ascii="宋体" w:hAnsi="宋体" w:eastAsia="宋体"/>
                <w:color w:val="000000"/>
                <w:sz w:val="16"/>
              </w:rPr>
              <w:t>功能分类</w:t>
            </w:r>
          </w:p>
          <w:p>
            <w:pPr>
              <w:widowControl/>
              <w:jc w:val="center"/>
              <w:rPr>
                <w:rFonts w:ascii="宋体" w:hAnsi="宋体" w:eastAsia="宋体"/>
                <w:color w:val="000000"/>
                <w:kern w:val="0"/>
                <w:sz w:val="16"/>
              </w:rPr>
            </w:pPr>
            <w:r>
              <w:rPr>
                <w:rFonts w:ascii="宋体" w:hAnsi="宋体" w:eastAsia="宋体"/>
                <w:color w:val="000000"/>
                <w:sz w:val="16"/>
              </w:rPr>
              <w:t>科目名称</w:t>
            </w:r>
          </w:p>
        </w:tc>
        <w:tc>
          <w:tcPr>
            <w:tcW w:w="2267"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eastAsia="宋体"/>
                <w:color w:val="000000"/>
                <w:kern w:val="0"/>
                <w:sz w:val="16"/>
              </w:rPr>
            </w:pPr>
            <w:r>
              <w:rPr>
                <w:rFonts w:hint="eastAsia" w:ascii="宋体" w:hAnsi="宋体" w:eastAsia="宋体"/>
                <w:color w:val="000000"/>
                <w:kern w:val="0"/>
                <w:sz w:val="16"/>
              </w:rPr>
              <w:t>合计</w:t>
            </w:r>
          </w:p>
        </w:tc>
        <w:tc>
          <w:tcPr>
            <w:tcW w:w="22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olor w:val="000000"/>
                <w:kern w:val="0"/>
                <w:sz w:val="16"/>
              </w:rPr>
            </w:pPr>
            <w:r>
              <w:rPr>
                <w:rFonts w:ascii="宋体" w:hAnsi="宋体" w:eastAsia="宋体"/>
                <w:color w:val="000000"/>
                <w:kern w:val="0"/>
                <w:sz w:val="16"/>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olor w:val="000000"/>
                <w:kern w:val="0"/>
                <w:sz w:val="16"/>
              </w:rPr>
            </w:pPr>
            <w:r>
              <w:rPr>
                <w:rFonts w:hint="eastAsia" w:ascii="宋体" w:hAnsi="宋体" w:eastAsia="宋体"/>
                <w:color w:val="000000"/>
                <w:kern w:val="0"/>
                <w:sz w:val="16"/>
              </w:rPr>
              <w:t>项目支出</w:t>
            </w:r>
          </w:p>
        </w:tc>
      </w:tr>
      <w:tr>
        <w:tblPrEx>
          <w:tblCellMar>
            <w:top w:w="15" w:type="dxa"/>
            <w:left w:w="15" w:type="dxa"/>
            <w:bottom w:w="15" w:type="dxa"/>
            <w:right w:w="15" w:type="dxa"/>
          </w:tblCellMar>
        </w:tblPrEx>
        <w:trPr>
          <w:trHeight w:val="281" w:hRule="atLeast"/>
        </w:trPr>
        <w:tc>
          <w:tcPr>
            <w:tcW w:w="2552"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olor w:val="000000"/>
                <w:kern w:val="0"/>
                <w:sz w:val="16"/>
              </w:rPr>
            </w:pPr>
          </w:p>
        </w:tc>
        <w:tc>
          <w:tcPr>
            <w:tcW w:w="226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olor w:val="000000"/>
                <w:kern w:val="0"/>
                <w:sz w:val="16"/>
              </w:rPr>
            </w:pPr>
          </w:p>
        </w:tc>
        <w:tc>
          <w:tcPr>
            <w:tcW w:w="22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olor w:val="000000"/>
                <w:kern w:val="0"/>
                <w:sz w:val="16"/>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olor w:val="000000"/>
                <w:kern w:val="0"/>
                <w:sz w:val="16"/>
              </w:rPr>
            </w:pPr>
          </w:p>
        </w:tc>
        <w:tc>
          <w:tcPr>
            <w:tcW w:w="2267" w:type="dxa"/>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80" w:firstLineChars="50"/>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80" w:firstLineChars="50"/>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62"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ascii="宋体" w:hAnsi="宋体" w:eastAsia="宋体"/>
                <w:color w:val="000000"/>
                <w:kern w:val="0"/>
                <w:sz w:val="16"/>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olor w:val="000000"/>
                <w:kern w:val="0"/>
                <w:sz w:val="16"/>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ascii="宋体" w:hAnsi="宋体" w:eastAsia="宋体"/>
                <w:color w:val="000000"/>
                <w:kern w:val="0"/>
                <w:sz w:val="16"/>
              </w:rPr>
            </w:pPr>
            <w:r>
              <w:rPr>
                <w:rFonts w:ascii="宋体" w:hAnsi="宋体" w:eastAsia="宋体"/>
                <w:color w:val="000000"/>
                <w:kern w:val="0"/>
                <w:sz w:val="16"/>
              </w:rPr>
              <w:t>合计</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olor w:val="000000"/>
                <w:kern w:val="0"/>
                <w:sz w:val="16"/>
              </w:rPr>
            </w:pPr>
          </w:p>
        </w:tc>
      </w:tr>
    </w:tbl>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spacing w:line="540" w:lineRule="exact"/>
        <w:ind w:firstLine="400" w:firstLineChars="200"/>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p>
      <w:pPr>
        <w:autoSpaceDN w:val="0"/>
        <w:textAlignment w:val="center"/>
        <w:rPr>
          <w:rFonts w:eastAsia="华文细黑"/>
          <w:color w:val="000000"/>
          <w:sz w:val="2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80"/>
        <w:gridCol w:w="799"/>
        <w:gridCol w:w="1050"/>
        <w:gridCol w:w="760"/>
        <w:gridCol w:w="750"/>
        <w:gridCol w:w="590"/>
        <w:gridCol w:w="510"/>
        <w:gridCol w:w="571"/>
        <w:gridCol w:w="509"/>
        <w:gridCol w:w="527"/>
        <w:gridCol w:w="443"/>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579" w:type="dxa"/>
            <w:gridSpan w:val="13"/>
            <w:tcBorders>
              <w:top w:val="nil"/>
              <w:left w:val="nil"/>
              <w:bottom w:val="nil"/>
              <w:right w:val="nil"/>
            </w:tcBorders>
            <w:vAlign w:val="center"/>
          </w:tcPr>
          <w:p>
            <w:pPr>
              <w:widowControl/>
              <w:jc w:val="center"/>
              <w:rPr>
                <w:rFonts w:ascii="Calibri" w:hAnsi="Calibri" w:eastAsia="方正小标宋简体"/>
                <w:kern w:val="0"/>
                <w:sz w:val="44"/>
                <w:szCs w:val="44"/>
              </w:rPr>
            </w:pPr>
            <w:r>
              <w:rPr>
                <w:rFonts w:hint="eastAsia" w:ascii="Calibri" w:hAnsi="Calibri" w:eastAsia="方正小标宋简体"/>
                <w:kern w:val="0"/>
                <w:sz w:val="44"/>
                <w:szCs w:val="44"/>
              </w:rPr>
              <w:t>项目支出</w:t>
            </w:r>
            <w:r>
              <w:rPr>
                <w:rFonts w:ascii="Calibri" w:hAnsi="Calibri" w:eastAsia="方正小标宋简体"/>
                <w:kern w:val="0"/>
                <w:sz w:val="44"/>
                <w:szCs w:val="44"/>
              </w:rPr>
              <w:t>表</w:t>
            </w:r>
          </w:p>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780"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799"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050"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760"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850" w:type="dxa"/>
            <w:gridSpan w:val="3"/>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2545" w:type="dxa"/>
            <w:gridSpan w:val="5"/>
            <w:tcBorders>
              <w:top w:val="nil"/>
              <w:left w:val="nil"/>
              <w:right w:val="nil"/>
            </w:tcBorders>
            <w:vAlign w:val="center"/>
          </w:tcPr>
          <w:p>
            <w:pPr>
              <w:autoSpaceDN w:val="0"/>
              <w:jc w:val="right"/>
              <w:textAlignment w:val="center"/>
              <w:rPr>
                <w:rFonts w:ascii="Calibri" w:hAnsi="Calibri" w:eastAsia="华文细黑"/>
                <w:color w:val="000000"/>
                <w:sz w:val="20"/>
                <w:szCs w:val="22"/>
              </w:rPr>
            </w:pPr>
            <w:r>
              <w:rPr>
                <w:rFonts w:hint="eastAsia" w:ascii="Calibri" w:hAnsi="Calibri" w:eastAsia="华文细黑"/>
                <w:color w:val="000000"/>
                <w:sz w:val="20"/>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95" w:type="dxa"/>
            <w:vMerge w:val="restart"/>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类型</w:t>
            </w:r>
          </w:p>
        </w:tc>
        <w:tc>
          <w:tcPr>
            <w:tcW w:w="1579" w:type="dxa"/>
            <w:gridSpan w:val="2"/>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1050" w:type="dxa"/>
            <w:vMerge w:val="restart"/>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w:t>
            </w:r>
          </w:p>
        </w:tc>
        <w:tc>
          <w:tcPr>
            <w:tcW w:w="760" w:type="dxa"/>
            <w:vMerge w:val="restart"/>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合计</w:t>
            </w:r>
          </w:p>
        </w:tc>
        <w:tc>
          <w:tcPr>
            <w:tcW w:w="1850" w:type="dxa"/>
            <w:gridSpan w:val="3"/>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本年财政拨款</w:t>
            </w:r>
          </w:p>
        </w:tc>
        <w:tc>
          <w:tcPr>
            <w:tcW w:w="1607" w:type="dxa"/>
            <w:gridSpan w:val="3"/>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财政拨款结转</w:t>
            </w:r>
          </w:p>
        </w:tc>
        <w:tc>
          <w:tcPr>
            <w:tcW w:w="443" w:type="dxa"/>
            <w:vMerge w:val="restart"/>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财政专户</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管理资金</w:t>
            </w:r>
          </w:p>
        </w:tc>
        <w:tc>
          <w:tcPr>
            <w:tcW w:w="495" w:type="dxa"/>
            <w:vMerge w:val="restart"/>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95" w:type="dxa"/>
            <w:vMerge w:val="continue"/>
            <w:vAlign w:val="center"/>
          </w:tcPr>
          <w:p>
            <w:pPr>
              <w:autoSpaceDN w:val="0"/>
              <w:jc w:val="center"/>
              <w:textAlignment w:val="center"/>
              <w:rPr>
                <w:rFonts w:ascii="宋体" w:hAnsi="宋体" w:eastAsia="宋体" w:cs="宋体"/>
                <w:color w:val="000000"/>
                <w:sz w:val="16"/>
                <w:szCs w:val="16"/>
              </w:rPr>
            </w:pPr>
          </w:p>
        </w:tc>
        <w:tc>
          <w:tcPr>
            <w:tcW w:w="780"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w:t>
            </w:r>
          </w:p>
        </w:tc>
        <w:tc>
          <w:tcPr>
            <w:tcW w:w="799"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w:t>
            </w:r>
          </w:p>
        </w:tc>
        <w:tc>
          <w:tcPr>
            <w:tcW w:w="1050" w:type="dxa"/>
            <w:vMerge w:val="continue"/>
            <w:vAlign w:val="center"/>
          </w:tcPr>
          <w:p>
            <w:pPr>
              <w:autoSpaceDN w:val="0"/>
              <w:jc w:val="center"/>
              <w:textAlignment w:val="center"/>
              <w:rPr>
                <w:rFonts w:ascii="宋体" w:hAnsi="宋体" w:eastAsia="宋体" w:cs="宋体"/>
                <w:color w:val="000000"/>
                <w:sz w:val="16"/>
                <w:szCs w:val="16"/>
              </w:rPr>
            </w:pPr>
          </w:p>
        </w:tc>
        <w:tc>
          <w:tcPr>
            <w:tcW w:w="760" w:type="dxa"/>
            <w:vMerge w:val="continue"/>
            <w:vAlign w:val="center"/>
          </w:tcPr>
          <w:p>
            <w:pPr>
              <w:autoSpaceDN w:val="0"/>
              <w:jc w:val="center"/>
              <w:textAlignment w:val="center"/>
              <w:rPr>
                <w:rFonts w:ascii="宋体" w:hAnsi="宋体" w:eastAsia="宋体" w:cs="宋体"/>
                <w:color w:val="000000"/>
                <w:sz w:val="16"/>
                <w:szCs w:val="16"/>
              </w:rPr>
            </w:pPr>
          </w:p>
        </w:tc>
        <w:tc>
          <w:tcPr>
            <w:tcW w:w="750"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一般公共预算</w:t>
            </w:r>
          </w:p>
        </w:tc>
        <w:tc>
          <w:tcPr>
            <w:tcW w:w="590"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政府性</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基金</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预算</w:t>
            </w:r>
          </w:p>
        </w:tc>
        <w:tc>
          <w:tcPr>
            <w:tcW w:w="510"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国有资本</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经营预算</w:t>
            </w:r>
          </w:p>
        </w:tc>
        <w:tc>
          <w:tcPr>
            <w:tcW w:w="571"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般</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公</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共</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预</w:t>
            </w:r>
          </w:p>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算</w:t>
            </w:r>
          </w:p>
        </w:tc>
        <w:tc>
          <w:tcPr>
            <w:tcW w:w="509"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政府性</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基金</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预算</w:t>
            </w:r>
          </w:p>
        </w:tc>
        <w:tc>
          <w:tcPr>
            <w:tcW w:w="527" w:type="dxa"/>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国有资本经营</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预算</w:t>
            </w:r>
          </w:p>
        </w:tc>
        <w:tc>
          <w:tcPr>
            <w:tcW w:w="443" w:type="dxa"/>
            <w:vMerge w:val="continue"/>
            <w:vAlign w:val="center"/>
          </w:tcPr>
          <w:p>
            <w:pPr>
              <w:autoSpaceDN w:val="0"/>
              <w:jc w:val="center"/>
              <w:textAlignment w:val="center"/>
              <w:rPr>
                <w:rFonts w:ascii="宋体" w:hAnsi="宋体" w:eastAsia="宋体" w:cs="宋体"/>
                <w:color w:val="000000"/>
                <w:sz w:val="16"/>
                <w:szCs w:val="16"/>
              </w:rPr>
            </w:pPr>
          </w:p>
        </w:tc>
        <w:tc>
          <w:tcPr>
            <w:tcW w:w="495" w:type="dxa"/>
            <w:vMerge w:val="continue"/>
            <w:vAlign w:val="center"/>
          </w:tcPr>
          <w:p>
            <w:pPr>
              <w:autoSpaceDN w:val="0"/>
              <w:jc w:val="center"/>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795" w:type="dxa"/>
            <w:vAlign w:val="center"/>
          </w:tcPr>
          <w:p>
            <w:pPr>
              <w:autoSpaceDN w:val="0"/>
              <w:jc w:val="left"/>
              <w:textAlignment w:val="center"/>
              <w:rPr>
                <w:rFonts w:ascii="宋体" w:hAnsi="宋体" w:eastAsia="宋体" w:cs="宋体"/>
                <w:kern w:val="0"/>
                <w:sz w:val="16"/>
                <w:szCs w:val="16"/>
              </w:rPr>
            </w:pPr>
          </w:p>
        </w:tc>
        <w:tc>
          <w:tcPr>
            <w:tcW w:w="780" w:type="dxa"/>
            <w:vAlign w:val="center"/>
          </w:tcPr>
          <w:p>
            <w:pPr>
              <w:spacing w:line="700" w:lineRule="exact"/>
              <w:jc w:val="center"/>
              <w:rPr>
                <w:rFonts w:ascii="宋体" w:hAnsi="宋体" w:eastAsia="宋体" w:cs="宋体"/>
                <w:kern w:val="0"/>
                <w:sz w:val="16"/>
                <w:szCs w:val="16"/>
              </w:rPr>
            </w:pPr>
          </w:p>
        </w:tc>
        <w:tc>
          <w:tcPr>
            <w:tcW w:w="799" w:type="dxa"/>
            <w:vAlign w:val="center"/>
          </w:tcPr>
          <w:p>
            <w:pPr>
              <w:spacing w:line="700" w:lineRule="exact"/>
              <w:jc w:val="center"/>
              <w:rPr>
                <w:rFonts w:ascii="宋体" w:hAnsi="宋体" w:eastAsia="宋体" w:cs="宋体"/>
                <w:kern w:val="0"/>
                <w:sz w:val="16"/>
                <w:szCs w:val="16"/>
              </w:rPr>
            </w:pPr>
          </w:p>
        </w:tc>
        <w:tc>
          <w:tcPr>
            <w:tcW w:w="1050" w:type="dxa"/>
            <w:vAlign w:val="center"/>
          </w:tcPr>
          <w:p>
            <w:pPr>
              <w:spacing w:line="700" w:lineRule="exact"/>
              <w:jc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795" w:type="dxa"/>
            <w:vAlign w:val="center"/>
          </w:tcPr>
          <w:p>
            <w:pPr>
              <w:spacing w:line="700" w:lineRule="exact"/>
              <w:jc w:val="center"/>
              <w:rPr>
                <w:rFonts w:ascii="宋体" w:hAnsi="宋体" w:eastAsia="宋体" w:cs="宋体"/>
                <w:kern w:val="0"/>
                <w:sz w:val="16"/>
                <w:szCs w:val="16"/>
              </w:rPr>
            </w:pPr>
          </w:p>
        </w:tc>
        <w:tc>
          <w:tcPr>
            <w:tcW w:w="780" w:type="dxa"/>
            <w:vAlign w:val="center"/>
          </w:tcPr>
          <w:p>
            <w:pPr>
              <w:autoSpaceDN w:val="0"/>
              <w:jc w:val="left"/>
              <w:textAlignment w:val="center"/>
              <w:rPr>
                <w:rFonts w:ascii="宋体" w:hAnsi="宋体" w:eastAsia="宋体" w:cs="宋体"/>
                <w:kern w:val="0"/>
                <w:sz w:val="16"/>
                <w:szCs w:val="16"/>
              </w:rPr>
            </w:pPr>
          </w:p>
        </w:tc>
        <w:tc>
          <w:tcPr>
            <w:tcW w:w="799" w:type="dxa"/>
            <w:vAlign w:val="center"/>
          </w:tcPr>
          <w:p>
            <w:pPr>
              <w:spacing w:line="700" w:lineRule="exact"/>
              <w:jc w:val="center"/>
              <w:rPr>
                <w:rFonts w:ascii="宋体" w:hAnsi="宋体" w:eastAsia="宋体" w:cs="宋体"/>
                <w:kern w:val="0"/>
                <w:sz w:val="16"/>
                <w:szCs w:val="16"/>
              </w:rPr>
            </w:pPr>
          </w:p>
        </w:tc>
        <w:tc>
          <w:tcPr>
            <w:tcW w:w="1050" w:type="dxa"/>
            <w:vAlign w:val="center"/>
          </w:tcPr>
          <w:p>
            <w:pPr>
              <w:spacing w:line="700" w:lineRule="exact"/>
              <w:jc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795" w:type="dxa"/>
            <w:vAlign w:val="center"/>
          </w:tcPr>
          <w:p>
            <w:pPr>
              <w:spacing w:line="700" w:lineRule="exact"/>
              <w:jc w:val="center"/>
              <w:rPr>
                <w:rFonts w:ascii="宋体" w:hAnsi="宋体" w:eastAsia="宋体" w:cs="宋体"/>
                <w:kern w:val="0"/>
                <w:sz w:val="16"/>
                <w:szCs w:val="16"/>
              </w:rPr>
            </w:pPr>
          </w:p>
        </w:tc>
        <w:tc>
          <w:tcPr>
            <w:tcW w:w="780" w:type="dxa"/>
            <w:vAlign w:val="center"/>
          </w:tcPr>
          <w:p>
            <w:pPr>
              <w:spacing w:line="700" w:lineRule="exact"/>
              <w:jc w:val="center"/>
              <w:rPr>
                <w:rFonts w:ascii="宋体" w:hAnsi="宋体" w:eastAsia="宋体" w:cs="宋体"/>
                <w:kern w:val="0"/>
                <w:sz w:val="16"/>
                <w:szCs w:val="16"/>
              </w:rPr>
            </w:pPr>
          </w:p>
        </w:tc>
        <w:tc>
          <w:tcPr>
            <w:tcW w:w="799" w:type="dxa"/>
            <w:vAlign w:val="center"/>
          </w:tcPr>
          <w:p>
            <w:pPr>
              <w:autoSpaceDN w:val="0"/>
              <w:jc w:val="left"/>
              <w:textAlignment w:val="center"/>
              <w:rPr>
                <w:rFonts w:ascii="宋体" w:hAnsi="宋体" w:eastAsia="宋体" w:cs="宋体"/>
                <w:kern w:val="0"/>
                <w:sz w:val="16"/>
                <w:szCs w:val="16"/>
              </w:rPr>
            </w:pPr>
          </w:p>
        </w:tc>
        <w:tc>
          <w:tcPr>
            <w:tcW w:w="1050" w:type="dxa"/>
            <w:vAlign w:val="center"/>
          </w:tcPr>
          <w:p>
            <w:pPr>
              <w:autoSpaceDN w:val="0"/>
              <w:jc w:val="left"/>
              <w:textAlignment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exact"/>
          <w:jc w:val="center"/>
        </w:trPr>
        <w:tc>
          <w:tcPr>
            <w:tcW w:w="795" w:type="dxa"/>
            <w:vAlign w:val="center"/>
          </w:tcPr>
          <w:p>
            <w:pPr>
              <w:spacing w:line="700" w:lineRule="exact"/>
              <w:jc w:val="center"/>
              <w:rPr>
                <w:rFonts w:ascii="宋体" w:hAnsi="宋体" w:eastAsia="宋体" w:cs="宋体"/>
                <w:kern w:val="0"/>
                <w:sz w:val="16"/>
                <w:szCs w:val="16"/>
              </w:rPr>
            </w:pPr>
          </w:p>
        </w:tc>
        <w:tc>
          <w:tcPr>
            <w:tcW w:w="780" w:type="dxa"/>
            <w:vAlign w:val="center"/>
          </w:tcPr>
          <w:p>
            <w:pPr>
              <w:spacing w:line="700" w:lineRule="exact"/>
              <w:jc w:val="center"/>
              <w:rPr>
                <w:rFonts w:ascii="宋体" w:hAnsi="宋体" w:eastAsia="宋体" w:cs="宋体"/>
                <w:kern w:val="0"/>
                <w:sz w:val="16"/>
                <w:szCs w:val="16"/>
              </w:rPr>
            </w:pPr>
          </w:p>
        </w:tc>
        <w:tc>
          <w:tcPr>
            <w:tcW w:w="799" w:type="dxa"/>
            <w:vAlign w:val="center"/>
          </w:tcPr>
          <w:p>
            <w:pPr>
              <w:autoSpaceDN w:val="0"/>
              <w:jc w:val="left"/>
              <w:textAlignment w:val="center"/>
              <w:rPr>
                <w:rFonts w:ascii="宋体" w:hAnsi="宋体" w:eastAsia="宋体" w:cs="宋体"/>
                <w:kern w:val="0"/>
                <w:sz w:val="16"/>
                <w:szCs w:val="16"/>
              </w:rPr>
            </w:pPr>
          </w:p>
        </w:tc>
        <w:tc>
          <w:tcPr>
            <w:tcW w:w="1050" w:type="dxa"/>
            <w:vAlign w:val="center"/>
          </w:tcPr>
          <w:p>
            <w:pPr>
              <w:autoSpaceDN w:val="0"/>
              <w:jc w:val="left"/>
              <w:textAlignment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jc w:val="center"/>
        </w:trPr>
        <w:tc>
          <w:tcPr>
            <w:tcW w:w="795" w:type="dxa"/>
            <w:vAlign w:val="center"/>
          </w:tcPr>
          <w:p>
            <w:pPr>
              <w:spacing w:line="700" w:lineRule="exact"/>
              <w:jc w:val="center"/>
              <w:rPr>
                <w:rFonts w:ascii="宋体" w:hAnsi="宋体" w:eastAsia="宋体" w:cs="宋体"/>
                <w:kern w:val="0"/>
                <w:sz w:val="16"/>
                <w:szCs w:val="16"/>
              </w:rPr>
            </w:pPr>
          </w:p>
        </w:tc>
        <w:tc>
          <w:tcPr>
            <w:tcW w:w="780" w:type="dxa"/>
            <w:vAlign w:val="center"/>
          </w:tcPr>
          <w:p>
            <w:pPr>
              <w:spacing w:line="700" w:lineRule="exact"/>
              <w:jc w:val="center"/>
              <w:rPr>
                <w:rFonts w:ascii="宋体" w:hAnsi="宋体" w:eastAsia="宋体" w:cs="宋体"/>
                <w:kern w:val="0"/>
                <w:sz w:val="16"/>
                <w:szCs w:val="16"/>
              </w:rPr>
            </w:pPr>
          </w:p>
        </w:tc>
        <w:tc>
          <w:tcPr>
            <w:tcW w:w="799" w:type="dxa"/>
            <w:vAlign w:val="center"/>
          </w:tcPr>
          <w:p>
            <w:pPr>
              <w:autoSpaceDN w:val="0"/>
              <w:jc w:val="left"/>
              <w:textAlignment w:val="center"/>
              <w:rPr>
                <w:rFonts w:ascii="宋体" w:hAnsi="宋体" w:eastAsia="宋体" w:cs="宋体"/>
                <w:kern w:val="0"/>
                <w:sz w:val="16"/>
                <w:szCs w:val="16"/>
              </w:rPr>
            </w:pPr>
          </w:p>
        </w:tc>
        <w:tc>
          <w:tcPr>
            <w:tcW w:w="1050" w:type="dxa"/>
            <w:vAlign w:val="center"/>
          </w:tcPr>
          <w:p>
            <w:pPr>
              <w:autoSpaceDN w:val="0"/>
              <w:jc w:val="left"/>
              <w:textAlignment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795" w:type="dxa"/>
            <w:vAlign w:val="center"/>
          </w:tcPr>
          <w:p>
            <w:pPr>
              <w:autoSpaceDN w:val="0"/>
              <w:jc w:val="center"/>
              <w:textAlignment w:val="center"/>
              <w:rPr>
                <w:rFonts w:ascii="宋体" w:hAnsi="宋体" w:eastAsia="宋体" w:cs="宋体"/>
                <w:color w:val="000000"/>
                <w:sz w:val="16"/>
                <w:szCs w:val="16"/>
              </w:rPr>
            </w:pPr>
          </w:p>
        </w:tc>
        <w:tc>
          <w:tcPr>
            <w:tcW w:w="780" w:type="dxa"/>
            <w:vAlign w:val="center"/>
          </w:tcPr>
          <w:p>
            <w:pPr>
              <w:autoSpaceDN w:val="0"/>
              <w:jc w:val="center"/>
              <w:textAlignment w:val="center"/>
              <w:rPr>
                <w:rFonts w:ascii="宋体" w:hAnsi="宋体" w:eastAsia="宋体" w:cs="宋体"/>
                <w:color w:val="000000"/>
                <w:sz w:val="16"/>
                <w:szCs w:val="16"/>
              </w:rPr>
            </w:pPr>
          </w:p>
        </w:tc>
        <w:tc>
          <w:tcPr>
            <w:tcW w:w="799" w:type="dxa"/>
            <w:vAlign w:val="center"/>
          </w:tcPr>
          <w:p>
            <w:pPr>
              <w:spacing w:line="700" w:lineRule="exact"/>
              <w:jc w:val="center"/>
              <w:rPr>
                <w:rFonts w:ascii="宋体" w:hAnsi="宋体" w:eastAsia="宋体" w:cs="宋体"/>
                <w:kern w:val="0"/>
                <w:sz w:val="16"/>
                <w:szCs w:val="16"/>
              </w:rPr>
            </w:pPr>
          </w:p>
        </w:tc>
        <w:tc>
          <w:tcPr>
            <w:tcW w:w="1050" w:type="dxa"/>
            <w:vAlign w:val="center"/>
          </w:tcPr>
          <w:p>
            <w:pPr>
              <w:spacing w:line="700" w:lineRule="exact"/>
              <w:jc w:val="center"/>
              <w:rPr>
                <w:rFonts w:ascii="宋体" w:hAnsi="宋体" w:eastAsia="宋体" w:cs="宋体"/>
                <w:kern w:val="0"/>
                <w:sz w:val="16"/>
                <w:szCs w:val="16"/>
              </w:rPr>
            </w:pPr>
          </w:p>
        </w:tc>
        <w:tc>
          <w:tcPr>
            <w:tcW w:w="760" w:type="dxa"/>
            <w:vAlign w:val="center"/>
          </w:tcPr>
          <w:p>
            <w:pPr>
              <w:widowControl/>
              <w:jc w:val="right"/>
              <w:rPr>
                <w:rFonts w:eastAsia="宋体"/>
                <w:color w:val="000000"/>
                <w:kern w:val="0"/>
                <w:sz w:val="16"/>
                <w:szCs w:val="16"/>
              </w:rPr>
            </w:pPr>
          </w:p>
        </w:tc>
        <w:tc>
          <w:tcPr>
            <w:tcW w:w="750" w:type="dxa"/>
            <w:vAlign w:val="center"/>
          </w:tcPr>
          <w:p>
            <w:pPr>
              <w:widowControl/>
              <w:jc w:val="right"/>
              <w:rPr>
                <w:rFonts w:eastAsia="宋体"/>
                <w:color w:val="000000"/>
                <w:kern w:val="0"/>
                <w:sz w:val="16"/>
                <w:szCs w:val="16"/>
              </w:rPr>
            </w:pPr>
          </w:p>
        </w:tc>
        <w:tc>
          <w:tcPr>
            <w:tcW w:w="590" w:type="dxa"/>
            <w:vAlign w:val="center"/>
          </w:tcPr>
          <w:p>
            <w:pPr>
              <w:spacing w:line="700" w:lineRule="exact"/>
              <w:jc w:val="center"/>
              <w:rPr>
                <w:rFonts w:ascii="宋体" w:hAnsi="宋体" w:eastAsia="宋体" w:cs="宋体"/>
                <w:kern w:val="0"/>
                <w:sz w:val="16"/>
                <w:szCs w:val="16"/>
              </w:rPr>
            </w:pPr>
          </w:p>
        </w:tc>
        <w:tc>
          <w:tcPr>
            <w:tcW w:w="510" w:type="dxa"/>
            <w:vAlign w:val="center"/>
          </w:tcPr>
          <w:p>
            <w:pPr>
              <w:spacing w:line="700" w:lineRule="exact"/>
              <w:jc w:val="center"/>
              <w:rPr>
                <w:rFonts w:ascii="宋体" w:hAnsi="宋体" w:eastAsia="宋体" w:cs="宋体"/>
                <w:kern w:val="0"/>
                <w:sz w:val="16"/>
                <w:szCs w:val="16"/>
              </w:rPr>
            </w:pPr>
          </w:p>
        </w:tc>
        <w:tc>
          <w:tcPr>
            <w:tcW w:w="571" w:type="dxa"/>
            <w:vAlign w:val="center"/>
          </w:tcPr>
          <w:p>
            <w:pPr>
              <w:spacing w:line="700" w:lineRule="exact"/>
              <w:jc w:val="center"/>
              <w:rPr>
                <w:rFonts w:ascii="宋体" w:hAnsi="宋体" w:eastAsia="宋体" w:cs="宋体"/>
                <w:kern w:val="0"/>
                <w:sz w:val="16"/>
                <w:szCs w:val="16"/>
              </w:rPr>
            </w:pPr>
          </w:p>
        </w:tc>
        <w:tc>
          <w:tcPr>
            <w:tcW w:w="509" w:type="dxa"/>
            <w:vAlign w:val="center"/>
          </w:tcPr>
          <w:p>
            <w:pPr>
              <w:spacing w:line="700" w:lineRule="exact"/>
              <w:jc w:val="center"/>
              <w:rPr>
                <w:rFonts w:ascii="宋体" w:hAnsi="宋体" w:eastAsia="宋体" w:cs="宋体"/>
                <w:kern w:val="0"/>
                <w:sz w:val="16"/>
                <w:szCs w:val="16"/>
              </w:rPr>
            </w:pPr>
          </w:p>
        </w:tc>
        <w:tc>
          <w:tcPr>
            <w:tcW w:w="527" w:type="dxa"/>
            <w:vAlign w:val="center"/>
          </w:tcPr>
          <w:p>
            <w:pPr>
              <w:spacing w:line="700" w:lineRule="exact"/>
              <w:jc w:val="center"/>
              <w:rPr>
                <w:rFonts w:ascii="宋体" w:hAnsi="宋体" w:eastAsia="宋体" w:cs="宋体"/>
                <w:kern w:val="0"/>
                <w:sz w:val="16"/>
                <w:szCs w:val="16"/>
              </w:rPr>
            </w:pPr>
          </w:p>
        </w:tc>
        <w:tc>
          <w:tcPr>
            <w:tcW w:w="443" w:type="dxa"/>
            <w:vAlign w:val="center"/>
          </w:tcPr>
          <w:p>
            <w:pPr>
              <w:spacing w:line="700" w:lineRule="exact"/>
              <w:jc w:val="center"/>
              <w:rPr>
                <w:rFonts w:ascii="宋体" w:hAnsi="宋体" w:eastAsia="宋体" w:cs="宋体"/>
                <w:kern w:val="0"/>
                <w:sz w:val="16"/>
                <w:szCs w:val="16"/>
              </w:rPr>
            </w:pPr>
          </w:p>
        </w:tc>
        <w:tc>
          <w:tcPr>
            <w:tcW w:w="495" w:type="dxa"/>
            <w:vAlign w:val="center"/>
          </w:tcPr>
          <w:p>
            <w:pPr>
              <w:spacing w:line="700" w:lineRule="exact"/>
              <w:jc w:val="center"/>
              <w:rPr>
                <w:rFonts w:ascii="宋体" w:hAnsi="宋体" w:eastAsia="宋体" w:cs="宋体"/>
                <w:kern w:val="0"/>
                <w:sz w:val="16"/>
                <w:szCs w:val="16"/>
              </w:rPr>
            </w:pPr>
          </w:p>
        </w:tc>
      </w:tr>
    </w:tbl>
    <w:p>
      <w:pPr>
        <w:spacing w:line="700" w:lineRule="exact"/>
        <w:rPr>
          <w:rFonts w:eastAsia="楷体"/>
          <w:kern w:val="0"/>
          <w:szCs w:val="32"/>
        </w:rPr>
      </w:pPr>
    </w:p>
    <w:tbl>
      <w:tblPr>
        <w:tblStyle w:val="9"/>
        <w:tblpPr w:leftFromText="180" w:rightFromText="180" w:vertAnchor="text" w:horzAnchor="page" w:tblpX="1217" w:tblpY="483"/>
        <w:tblOverlap w:val="never"/>
        <w:tblW w:w="0" w:type="auto"/>
        <w:tblInd w:w="0" w:type="dxa"/>
        <w:tblLayout w:type="fixed"/>
        <w:tblCellMar>
          <w:top w:w="15" w:type="dxa"/>
          <w:left w:w="15" w:type="dxa"/>
          <w:bottom w:w="15" w:type="dxa"/>
          <w:right w:w="15" w:type="dxa"/>
        </w:tblCellMar>
      </w:tblPr>
      <w:tblGrid>
        <w:gridCol w:w="1069"/>
        <w:gridCol w:w="1763"/>
        <w:gridCol w:w="2043"/>
        <w:gridCol w:w="2315"/>
        <w:gridCol w:w="2392"/>
      </w:tblGrid>
      <w:tr>
        <w:tblPrEx>
          <w:tblCellMar>
            <w:top w:w="15" w:type="dxa"/>
            <w:left w:w="15" w:type="dxa"/>
            <w:bottom w:w="15" w:type="dxa"/>
            <w:right w:w="15" w:type="dxa"/>
          </w:tblCellMar>
        </w:tblPrEx>
        <w:trPr>
          <w:trHeight w:val="390" w:hRule="atLeast"/>
        </w:trPr>
        <w:tc>
          <w:tcPr>
            <w:tcW w:w="9582" w:type="dxa"/>
            <w:gridSpan w:val="5"/>
            <w:vAlign w:val="center"/>
          </w:tcPr>
          <w:p>
            <w:pPr>
              <w:widowControl/>
              <w:jc w:val="center"/>
              <w:textAlignment w:val="center"/>
              <w:rPr>
                <w:rFonts w:eastAsia="方正小标宋简体"/>
                <w:kern w:val="0"/>
                <w:sz w:val="44"/>
                <w:szCs w:val="44"/>
              </w:rPr>
            </w:pPr>
            <w:r>
              <w:rPr>
                <w:rFonts w:hint="eastAsia" w:eastAsia="方正小标宋简体"/>
                <w:kern w:val="0"/>
                <w:sz w:val="44"/>
                <w:szCs w:val="44"/>
              </w:rPr>
              <w:t>项目支出绩效目标表</w:t>
            </w:r>
          </w:p>
          <w:p>
            <w:pPr>
              <w:widowControl/>
              <w:jc w:val="center"/>
              <w:textAlignment w:val="center"/>
              <w:rPr>
                <w:rFonts w:ascii="黑体" w:hAnsi="宋体" w:eastAsia="黑体" w:cs="黑体"/>
                <w:color w:val="000000"/>
                <w:szCs w:val="32"/>
              </w:rPr>
            </w:pPr>
            <w:r>
              <w:rPr>
                <w:rFonts w:hint="eastAsia" w:eastAsia="方正小标宋简体"/>
                <w:kern w:val="0"/>
                <w:sz w:val="44"/>
                <w:szCs w:val="44"/>
              </w:rPr>
              <w:t xml:space="preserve">                                   </w:t>
            </w:r>
            <w:r>
              <w:rPr>
                <w:rFonts w:hint="eastAsia" w:ascii="Calibri" w:hAnsi="Calibri" w:eastAsia="华文细黑"/>
                <w:color w:val="000000"/>
                <w:sz w:val="20"/>
                <w:szCs w:val="22"/>
              </w:rPr>
              <w:t>单位：万元</w:t>
            </w: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项目级次</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一级项目</w:t>
            </w: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项目资金</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(万元）</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年度资金总额</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其中：财政拨款</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其他资金</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1560"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年度绩效</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目标</w:t>
            </w:r>
          </w:p>
        </w:tc>
        <w:tc>
          <w:tcPr>
            <w:tcW w:w="8513" w:type="dxa"/>
            <w:gridSpan w:val="4"/>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一级指标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二级指标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三级指标</w:t>
            </w: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指标值</w:t>
            </w: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产出指标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数量指标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质量指标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成本指标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时效指标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效果指标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经济效益指标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社会效益指标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生态效益指标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可持续影响指标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rPr>
              <w:t>满意度指标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宋体"/>
                <w:color w:val="000000"/>
                <w:sz w:val="16"/>
                <w:szCs w:val="16"/>
              </w:rPr>
            </w:pPr>
          </w:p>
        </w:tc>
      </w:tr>
    </w:tbl>
    <w:p>
      <w:pPr>
        <w:ind w:firstLine="640" w:firstLineChars="200"/>
        <w:jc w:val="center"/>
        <w:rPr>
          <w:rFonts w:eastAsia="黑体"/>
        </w:rPr>
      </w:pPr>
    </w:p>
    <w:p>
      <w:pPr>
        <w:ind w:firstLine="640" w:firstLineChars="200"/>
        <w:jc w:val="center"/>
        <w:rPr>
          <w:rFonts w:eastAsia="黑体"/>
        </w:rPr>
      </w:pPr>
    </w:p>
    <w:p>
      <w:pPr>
        <w:ind w:firstLine="640" w:firstLineChars="200"/>
        <w:jc w:val="center"/>
        <w:rPr>
          <w:rFonts w:eastAsia="黑体"/>
        </w:rPr>
      </w:pPr>
    </w:p>
    <w:p>
      <w:pPr>
        <w:rPr>
          <w:rFonts w:eastAsia="黑体"/>
        </w:rPr>
      </w:pPr>
    </w:p>
    <w:p>
      <w:pPr>
        <w:ind w:firstLine="640" w:firstLineChars="200"/>
        <w:jc w:val="center"/>
        <w:rPr>
          <w:rFonts w:eastAsia="黑体"/>
        </w:rPr>
      </w:pPr>
      <w:r>
        <w:rPr>
          <w:rFonts w:eastAsia="黑体"/>
        </w:rPr>
        <w:t>第三部分 情况说明</w:t>
      </w:r>
    </w:p>
    <w:p>
      <w:pPr>
        <w:rPr>
          <w:rFonts w:eastAsia="仿宋"/>
          <w:szCs w:val="32"/>
        </w:rPr>
      </w:pPr>
    </w:p>
    <w:p>
      <w:pPr>
        <w:ind w:firstLine="640" w:firstLineChars="200"/>
        <w:rPr>
          <w:rFonts w:eastAsia="黑体"/>
          <w:szCs w:val="32"/>
        </w:rPr>
      </w:pPr>
      <w:r>
        <w:rPr>
          <w:rFonts w:eastAsia="黑体"/>
          <w:szCs w:val="32"/>
        </w:rPr>
        <w:t>一、20</w:t>
      </w:r>
      <w:r>
        <w:rPr>
          <w:rFonts w:hint="eastAsia" w:eastAsia="黑体"/>
          <w:szCs w:val="32"/>
        </w:rPr>
        <w:t>22</w:t>
      </w:r>
      <w:r>
        <w:rPr>
          <w:rFonts w:eastAsia="黑体"/>
          <w:szCs w:val="32"/>
        </w:rPr>
        <w:t>年收支预算总体情况</w:t>
      </w:r>
    </w:p>
    <w:p>
      <w:pPr>
        <w:spacing w:line="540" w:lineRule="exact"/>
        <w:ind w:firstLine="640" w:firstLineChars="200"/>
        <w:rPr>
          <w:szCs w:val="32"/>
        </w:rPr>
      </w:pPr>
      <w:r>
        <w:rPr>
          <w:szCs w:val="32"/>
        </w:rPr>
        <w:t>按照综合预算的原则，所有收入和支出全部纳入</w:t>
      </w:r>
      <w:r>
        <w:rPr>
          <w:rFonts w:hint="eastAsia"/>
          <w:szCs w:val="32"/>
        </w:rPr>
        <w:t>单位</w:t>
      </w:r>
      <w:r>
        <w:rPr>
          <w:szCs w:val="32"/>
        </w:rPr>
        <w:t>预算管理。收入包括：一般公共预算拨款收入；支出包括：一般公共服务支出、社会保障和就业支出、</w:t>
      </w:r>
      <w:r>
        <w:rPr>
          <w:rFonts w:hint="eastAsia"/>
          <w:szCs w:val="32"/>
        </w:rPr>
        <w:t>卫生健康</w:t>
      </w:r>
      <w:r>
        <w:rPr>
          <w:szCs w:val="32"/>
        </w:rPr>
        <w:t>支出、住房保障支出。20</w:t>
      </w:r>
      <w:r>
        <w:rPr>
          <w:rFonts w:hint="eastAsia"/>
          <w:szCs w:val="32"/>
        </w:rPr>
        <w:t>22</w:t>
      </w:r>
      <w:r>
        <w:rPr>
          <w:szCs w:val="32"/>
        </w:rPr>
        <w:t>年收支总预算</w:t>
      </w:r>
      <w:r>
        <w:rPr>
          <w:rFonts w:hint="eastAsia"/>
          <w:szCs w:val="32"/>
        </w:rPr>
        <w:t>84.72</w:t>
      </w:r>
      <w:r>
        <w:rPr>
          <w:szCs w:val="32"/>
        </w:rPr>
        <w:t>万元</w:t>
      </w:r>
      <w:r>
        <w:rPr>
          <w:rFonts w:hint="eastAsia"/>
          <w:szCs w:val="32"/>
        </w:rPr>
        <w:t>，其中：当年预算84.72万元；上年结转0万元。2022年当年预算</w:t>
      </w:r>
      <w:r>
        <w:rPr>
          <w:szCs w:val="32"/>
        </w:rPr>
        <w:t>比20</w:t>
      </w:r>
      <w:r>
        <w:rPr>
          <w:rFonts w:hint="eastAsia"/>
          <w:szCs w:val="32"/>
        </w:rPr>
        <w:t>21</w:t>
      </w:r>
      <w:r>
        <w:rPr>
          <w:szCs w:val="32"/>
        </w:rPr>
        <w:t>年预算</w:t>
      </w:r>
      <w:r>
        <w:rPr>
          <w:rFonts w:hint="eastAsia"/>
          <w:szCs w:val="32"/>
        </w:rPr>
        <w:t>增加3.11</w:t>
      </w:r>
      <w:r>
        <w:rPr>
          <w:szCs w:val="32"/>
        </w:rPr>
        <w:t>万元，主要原因是</w:t>
      </w:r>
      <w:r>
        <w:rPr>
          <w:szCs w:val="32"/>
        </w:rPr>
        <w:softHyphen/>
      </w:r>
      <w:r>
        <w:rPr>
          <w:szCs w:val="32"/>
        </w:rPr>
        <w:softHyphen/>
      </w:r>
      <w:r>
        <w:rPr>
          <w:szCs w:val="32"/>
        </w:rPr>
        <w:softHyphen/>
      </w:r>
      <w:r>
        <w:rPr>
          <w:rFonts w:hint="eastAsia"/>
          <w:szCs w:val="32"/>
        </w:rPr>
        <w:t>2021年新招录人员</w:t>
      </w:r>
      <w:r>
        <w:rPr>
          <w:szCs w:val="32"/>
        </w:rPr>
        <w:t xml:space="preserve"> </w:t>
      </w:r>
      <w:r>
        <w:rPr>
          <w:rFonts w:hint="eastAsia"/>
          <w:szCs w:val="32"/>
        </w:rPr>
        <w:t>1名，人员经费增加，因此总预算增加。</w:t>
      </w:r>
    </w:p>
    <w:p>
      <w:pPr>
        <w:ind w:firstLine="640" w:firstLineChars="200"/>
        <w:rPr>
          <w:rFonts w:eastAsia="黑体"/>
          <w:szCs w:val="32"/>
        </w:rPr>
      </w:pPr>
      <w:r>
        <w:rPr>
          <w:rFonts w:eastAsia="黑体"/>
          <w:szCs w:val="32"/>
        </w:rPr>
        <w:t>二、20</w:t>
      </w:r>
      <w:r>
        <w:rPr>
          <w:rFonts w:hint="eastAsia" w:eastAsia="黑体"/>
          <w:szCs w:val="32"/>
        </w:rPr>
        <w:t>22</w:t>
      </w:r>
      <w:r>
        <w:rPr>
          <w:rFonts w:eastAsia="黑体"/>
          <w:szCs w:val="32"/>
        </w:rPr>
        <w:t>年收入预算情况</w:t>
      </w:r>
    </w:p>
    <w:p>
      <w:pPr>
        <w:spacing w:line="540" w:lineRule="exact"/>
        <w:ind w:firstLine="640" w:firstLineChars="200"/>
        <w:rPr>
          <w:szCs w:val="32"/>
        </w:rPr>
      </w:pPr>
      <w:r>
        <w:rPr>
          <w:szCs w:val="32"/>
        </w:rPr>
        <w:t>20</w:t>
      </w:r>
      <w:r>
        <w:rPr>
          <w:rFonts w:hint="eastAsia"/>
          <w:szCs w:val="32"/>
        </w:rPr>
        <w:t>22</w:t>
      </w:r>
      <w:r>
        <w:rPr>
          <w:szCs w:val="32"/>
        </w:rPr>
        <w:t>年收入预算</w:t>
      </w:r>
      <w:r>
        <w:rPr>
          <w:rFonts w:hint="eastAsia"/>
          <w:szCs w:val="32"/>
        </w:rPr>
        <w:t>84.72</w:t>
      </w:r>
      <w:r>
        <w:rPr>
          <w:szCs w:val="32"/>
        </w:rPr>
        <w:t>万元，其中：本年收入</w:t>
      </w:r>
      <w:r>
        <w:rPr>
          <w:rFonts w:hint="eastAsia"/>
          <w:szCs w:val="32"/>
        </w:rPr>
        <w:t>84.72</w:t>
      </w:r>
      <w:r>
        <w:rPr>
          <w:szCs w:val="32"/>
        </w:rPr>
        <w:t>万元，占</w:t>
      </w:r>
      <w:r>
        <w:rPr>
          <w:rFonts w:hint="eastAsia"/>
          <w:szCs w:val="32"/>
        </w:rPr>
        <w:t>100</w:t>
      </w:r>
      <w:r>
        <w:rPr>
          <w:szCs w:val="32"/>
        </w:rPr>
        <w:t>%。本年收入中，一般公共预算拨款收入</w:t>
      </w:r>
      <w:r>
        <w:rPr>
          <w:rFonts w:hint="eastAsia"/>
          <w:szCs w:val="32"/>
        </w:rPr>
        <w:t>84.72</w:t>
      </w:r>
      <w:r>
        <w:rPr>
          <w:szCs w:val="32"/>
        </w:rPr>
        <w:t>万元，占</w:t>
      </w:r>
      <w:r>
        <w:rPr>
          <w:rFonts w:hint="eastAsia"/>
          <w:szCs w:val="32"/>
        </w:rPr>
        <w:t>100</w:t>
      </w:r>
      <w:r>
        <w:rPr>
          <w:szCs w:val="32"/>
        </w:rPr>
        <w:t>%</w:t>
      </w:r>
      <w:r>
        <w:rPr>
          <w:rFonts w:hint="eastAsia"/>
          <w:szCs w:val="32"/>
        </w:rPr>
        <w:t>。</w:t>
      </w:r>
    </w:p>
    <w:p>
      <w:pPr>
        <w:ind w:firstLine="640" w:firstLineChars="200"/>
        <w:rPr>
          <w:rFonts w:eastAsia="黑体"/>
          <w:szCs w:val="32"/>
        </w:rPr>
      </w:pPr>
      <w:r>
        <w:rPr>
          <w:rFonts w:eastAsia="黑体"/>
          <w:szCs w:val="32"/>
        </w:rPr>
        <w:t>三、20</w:t>
      </w:r>
      <w:r>
        <w:rPr>
          <w:rFonts w:hint="eastAsia" w:eastAsia="黑体"/>
          <w:szCs w:val="32"/>
        </w:rPr>
        <w:t>22</w:t>
      </w:r>
      <w:r>
        <w:rPr>
          <w:rFonts w:eastAsia="黑体"/>
          <w:szCs w:val="32"/>
        </w:rPr>
        <w:t>年支出预算情况</w:t>
      </w:r>
    </w:p>
    <w:p>
      <w:pPr>
        <w:spacing w:line="540" w:lineRule="exact"/>
        <w:ind w:firstLine="640" w:firstLineChars="200"/>
        <w:rPr>
          <w:szCs w:val="32"/>
        </w:rPr>
      </w:pPr>
      <w:r>
        <w:rPr>
          <w:szCs w:val="32"/>
        </w:rPr>
        <w:t>20</w:t>
      </w:r>
      <w:r>
        <w:rPr>
          <w:rFonts w:hint="eastAsia"/>
          <w:szCs w:val="32"/>
        </w:rPr>
        <w:t>22</w:t>
      </w:r>
      <w:r>
        <w:rPr>
          <w:szCs w:val="32"/>
        </w:rPr>
        <w:t>年支出预算</w:t>
      </w:r>
      <w:r>
        <w:rPr>
          <w:rFonts w:hint="eastAsia"/>
          <w:szCs w:val="32"/>
        </w:rPr>
        <w:t>84.72</w:t>
      </w:r>
      <w:r>
        <w:rPr>
          <w:szCs w:val="32"/>
        </w:rPr>
        <w:t>万元，其中：基本支出</w:t>
      </w:r>
      <w:r>
        <w:rPr>
          <w:rFonts w:hint="eastAsia"/>
          <w:szCs w:val="32"/>
        </w:rPr>
        <w:t>84.72</w:t>
      </w:r>
      <w:r>
        <w:rPr>
          <w:szCs w:val="32"/>
        </w:rPr>
        <w:t>万元，占</w:t>
      </w:r>
      <w:r>
        <w:rPr>
          <w:rFonts w:hint="eastAsia"/>
          <w:szCs w:val="32"/>
        </w:rPr>
        <w:t>100</w:t>
      </w:r>
      <w:r>
        <w:rPr>
          <w:szCs w:val="32"/>
        </w:rPr>
        <w:t>%。</w:t>
      </w:r>
    </w:p>
    <w:p>
      <w:pPr>
        <w:ind w:firstLine="640" w:firstLineChars="200"/>
        <w:rPr>
          <w:rFonts w:eastAsia="黑体"/>
          <w:szCs w:val="32"/>
        </w:rPr>
      </w:pPr>
      <w:r>
        <w:rPr>
          <w:rFonts w:eastAsia="黑体"/>
          <w:szCs w:val="32"/>
        </w:rPr>
        <w:t>四、20</w:t>
      </w:r>
      <w:r>
        <w:rPr>
          <w:rFonts w:hint="eastAsia" w:eastAsia="黑体"/>
          <w:szCs w:val="32"/>
        </w:rPr>
        <w:t>22</w:t>
      </w:r>
      <w:r>
        <w:rPr>
          <w:rFonts w:eastAsia="黑体"/>
          <w:szCs w:val="32"/>
        </w:rPr>
        <w:t>年财政拨款收支预算情况</w:t>
      </w:r>
    </w:p>
    <w:p>
      <w:pPr>
        <w:spacing w:line="540" w:lineRule="exact"/>
        <w:ind w:firstLine="640" w:firstLineChars="200"/>
        <w:rPr>
          <w:szCs w:val="32"/>
        </w:rPr>
      </w:pPr>
      <w:r>
        <w:rPr>
          <w:szCs w:val="32"/>
        </w:rPr>
        <w:t>20</w:t>
      </w:r>
      <w:r>
        <w:rPr>
          <w:rFonts w:hint="eastAsia"/>
          <w:szCs w:val="32"/>
        </w:rPr>
        <w:t>22</w:t>
      </w:r>
      <w:r>
        <w:rPr>
          <w:szCs w:val="32"/>
        </w:rPr>
        <w:t>年财政拨款收支总预算</w:t>
      </w:r>
      <w:r>
        <w:rPr>
          <w:rFonts w:hint="eastAsia"/>
          <w:szCs w:val="32"/>
        </w:rPr>
        <w:t>84.72</w:t>
      </w:r>
      <w:r>
        <w:rPr>
          <w:szCs w:val="32"/>
        </w:rPr>
        <w:t>万元，其中：</w:t>
      </w:r>
      <w:r>
        <w:rPr>
          <w:rFonts w:hint="eastAsia"/>
          <w:szCs w:val="32"/>
        </w:rPr>
        <w:t>本年收入84.72</w:t>
      </w:r>
      <w:r>
        <w:rPr>
          <w:szCs w:val="32"/>
        </w:rPr>
        <w:t>万元</w:t>
      </w:r>
      <w:r>
        <w:rPr>
          <w:rFonts w:hint="eastAsia"/>
          <w:szCs w:val="32"/>
        </w:rPr>
        <w:t>。</w:t>
      </w:r>
      <w:r>
        <w:rPr>
          <w:szCs w:val="32"/>
        </w:rPr>
        <w:t>支出包括：一般公共服务支出</w:t>
      </w:r>
      <w:r>
        <w:rPr>
          <w:rFonts w:hint="eastAsia"/>
          <w:szCs w:val="32"/>
        </w:rPr>
        <w:t>68.36</w:t>
      </w:r>
      <w:r>
        <w:rPr>
          <w:szCs w:val="32"/>
        </w:rPr>
        <w:t>万元，社会保障和就业支出</w:t>
      </w:r>
      <w:r>
        <w:rPr>
          <w:rFonts w:hint="eastAsia"/>
          <w:szCs w:val="32"/>
        </w:rPr>
        <w:t>7.65</w:t>
      </w:r>
      <w:r>
        <w:rPr>
          <w:szCs w:val="32"/>
        </w:rPr>
        <w:t>万元，卫生</w:t>
      </w:r>
      <w:r>
        <w:rPr>
          <w:rFonts w:hint="eastAsia"/>
          <w:szCs w:val="32"/>
        </w:rPr>
        <w:t>健康</w:t>
      </w:r>
      <w:r>
        <w:rPr>
          <w:szCs w:val="32"/>
        </w:rPr>
        <w:t>支出</w:t>
      </w:r>
      <w:r>
        <w:rPr>
          <w:rFonts w:hint="eastAsia"/>
          <w:szCs w:val="32"/>
        </w:rPr>
        <w:t>3.02</w:t>
      </w:r>
      <w:r>
        <w:rPr>
          <w:szCs w:val="32"/>
        </w:rPr>
        <w:t>万元，住房保障支出</w:t>
      </w:r>
      <w:r>
        <w:rPr>
          <w:rFonts w:hint="eastAsia"/>
          <w:szCs w:val="32"/>
        </w:rPr>
        <w:t>5.69</w:t>
      </w:r>
      <w:r>
        <w:rPr>
          <w:szCs w:val="32"/>
        </w:rPr>
        <w:t>万元。</w:t>
      </w:r>
    </w:p>
    <w:p>
      <w:pPr>
        <w:ind w:firstLine="640" w:firstLineChars="200"/>
        <w:rPr>
          <w:rFonts w:eastAsia="黑体"/>
          <w:szCs w:val="30"/>
        </w:rPr>
      </w:pPr>
      <w:r>
        <w:rPr>
          <w:rFonts w:eastAsia="黑体"/>
          <w:szCs w:val="30"/>
        </w:rPr>
        <w:t>五、20</w:t>
      </w:r>
      <w:r>
        <w:rPr>
          <w:rFonts w:hint="eastAsia" w:eastAsia="黑体"/>
          <w:szCs w:val="30"/>
        </w:rPr>
        <w:t>22</w:t>
      </w:r>
      <w:r>
        <w:rPr>
          <w:rFonts w:eastAsia="黑体"/>
          <w:szCs w:val="30"/>
        </w:rPr>
        <w:t>年一般公共预算</w:t>
      </w:r>
      <w:r>
        <w:rPr>
          <w:rFonts w:hint="eastAsia" w:eastAsia="黑体"/>
          <w:szCs w:val="30"/>
        </w:rPr>
        <w:t>支出</w:t>
      </w:r>
      <w:r>
        <w:rPr>
          <w:rFonts w:eastAsia="黑体"/>
          <w:szCs w:val="30"/>
        </w:rPr>
        <w:t>情况</w:t>
      </w:r>
    </w:p>
    <w:p>
      <w:pPr>
        <w:spacing w:line="540" w:lineRule="exact"/>
        <w:ind w:firstLine="640" w:firstLineChars="200"/>
        <w:rPr>
          <w:szCs w:val="32"/>
        </w:rPr>
      </w:pPr>
      <w:r>
        <w:rPr>
          <w:szCs w:val="32"/>
        </w:rPr>
        <w:t>20</w:t>
      </w:r>
      <w:r>
        <w:rPr>
          <w:rFonts w:hint="eastAsia"/>
          <w:szCs w:val="32"/>
        </w:rPr>
        <w:t>22</w:t>
      </w:r>
      <w:r>
        <w:rPr>
          <w:szCs w:val="32"/>
        </w:rPr>
        <w:t>年一般公共预算拨款</w:t>
      </w:r>
      <w:r>
        <w:rPr>
          <w:rFonts w:hint="eastAsia"/>
          <w:szCs w:val="32"/>
        </w:rPr>
        <w:t>84.72</w:t>
      </w:r>
      <w:r>
        <w:rPr>
          <w:szCs w:val="32"/>
        </w:rPr>
        <w:t>万元，其中：基本支出</w:t>
      </w:r>
      <w:r>
        <w:rPr>
          <w:rFonts w:hint="eastAsia"/>
          <w:szCs w:val="32"/>
        </w:rPr>
        <w:t>84.72</w:t>
      </w:r>
      <w:r>
        <w:rPr>
          <w:szCs w:val="32"/>
        </w:rPr>
        <w:t>万元，占</w:t>
      </w:r>
      <w:r>
        <w:rPr>
          <w:rFonts w:hint="eastAsia"/>
          <w:szCs w:val="32"/>
        </w:rPr>
        <w:t>100</w:t>
      </w:r>
      <w:r>
        <w:rPr>
          <w:szCs w:val="32"/>
        </w:rPr>
        <w:t>%。基本支出中，人员经费</w:t>
      </w:r>
      <w:r>
        <w:rPr>
          <w:rFonts w:hint="eastAsia"/>
          <w:szCs w:val="32"/>
        </w:rPr>
        <w:t>65.87</w:t>
      </w:r>
      <w:r>
        <w:rPr>
          <w:szCs w:val="32"/>
        </w:rPr>
        <w:t>万元，占</w:t>
      </w:r>
      <w:r>
        <w:rPr>
          <w:rFonts w:hint="eastAsia"/>
          <w:szCs w:val="32"/>
        </w:rPr>
        <w:t>77.75</w:t>
      </w:r>
      <w:r>
        <w:rPr>
          <w:szCs w:val="32"/>
        </w:rPr>
        <w:t>%；公用经费</w:t>
      </w:r>
      <w:r>
        <w:rPr>
          <w:rFonts w:hint="eastAsia"/>
          <w:szCs w:val="32"/>
        </w:rPr>
        <w:t>18.85</w:t>
      </w:r>
      <w:r>
        <w:rPr>
          <w:szCs w:val="32"/>
        </w:rPr>
        <w:t>万元，占</w:t>
      </w:r>
      <w:r>
        <w:rPr>
          <w:rFonts w:hint="eastAsia"/>
          <w:szCs w:val="32"/>
        </w:rPr>
        <w:t>22.25</w:t>
      </w:r>
      <w:r>
        <w:rPr>
          <w:szCs w:val="32"/>
        </w:rPr>
        <w:t>%。</w:t>
      </w:r>
    </w:p>
    <w:p>
      <w:pPr>
        <w:spacing w:line="540" w:lineRule="exact"/>
        <w:ind w:firstLine="640" w:firstLineChars="200"/>
        <w:rPr>
          <w:szCs w:val="32"/>
        </w:rPr>
      </w:pPr>
      <w:r>
        <w:rPr>
          <w:szCs w:val="32"/>
        </w:rPr>
        <w:t>一般公共服务（类）支出</w:t>
      </w:r>
      <w:r>
        <w:rPr>
          <w:rFonts w:hint="eastAsia"/>
          <w:szCs w:val="32"/>
        </w:rPr>
        <w:t>68.36</w:t>
      </w:r>
      <w:r>
        <w:rPr>
          <w:szCs w:val="32"/>
        </w:rPr>
        <w:t>万元，占</w:t>
      </w:r>
      <w:r>
        <w:rPr>
          <w:rFonts w:hint="eastAsia"/>
          <w:szCs w:val="32"/>
        </w:rPr>
        <w:t>80.69</w:t>
      </w:r>
      <w:r>
        <w:rPr>
          <w:szCs w:val="32"/>
        </w:rPr>
        <w:t>%，主要用于</w:t>
      </w:r>
      <w:r>
        <w:rPr>
          <w:rFonts w:hint="eastAsia"/>
          <w:szCs w:val="32"/>
          <w:lang w:val="en-US" w:eastAsia="zh-CN"/>
        </w:rPr>
        <w:t>支付</w:t>
      </w:r>
      <w:r>
        <w:rPr>
          <w:rFonts w:hint="eastAsia"/>
          <w:szCs w:val="32"/>
        </w:rPr>
        <w:t>人员工资</w:t>
      </w:r>
      <w:r>
        <w:rPr>
          <w:rFonts w:hint="eastAsia"/>
          <w:szCs w:val="32"/>
          <w:lang w:val="en-US" w:eastAsia="zh-CN"/>
        </w:rPr>
        <w:t>和维持</w:t>
      </w:r>
      <w:bookmarkStart w:id="0" w:name="_GoBack"/>
      <w:bookmarkEnd w:id="0"/>
      <w:r>
        <w:rPr>
          <w:rFonts w:hint="eastAsia"/>
          <w:szCs w:val="32"/>
          <w:lang w:val="en-US" w:eastAsia="zh-CN"/>
        </w:rPr>
        <w:t>单位正常</w:t>
      </w:r>
      <w:r>
        <w:rPr>
          <w:rFonts w:hint="eastAsia"/>
          <w:szCs w:val="32"/>
        </w:rPr>
        <w:t>运转</w:t>
      </w:r>
      <w:r>
        <w:rPr>
          <w:szCs w:val="32"/>
        </w:rPr>
        <w:t>。</w:t>
      </w:r>
    </w:p>
    <w:p>
      <w:pPr>
        <w:spacing w:line="540" w:lineRule="exact"/>
        <w:ind w:firstLine="640" w:firstLineChars="200"/>
        <w:rPr>
          <w:szCs w:val="32"/>
        </w:rPr>
      </w:pPr>
      <w:r>
        <w:rPr>
          <w:szCs w:val="32"/>
        </w:rPr>
        <w:t>社会保障和就业（类）支出</w:t>
      </w:r>
      <w:r>
        <w:rPr>
          <w:rFonts w:hint="eastAsia"/>
          <w:szCs w:val="32"/>
        </w:rPr>
        <w:t>7.65</w:t>
      </w:r>
      <w:r>
        <w:rPr>
          <w:szCs w:val="32"/>
        </w:rPr>
        <w:t>万元，占</w:t>
      </w:r>
      <w:r>
        <w:rPr>
          <w:rFonts w:hint="eastAsia"/>
          <w:szCs w:val="32"/>
        </w:rPr>
        <w:t>9.03</w:t>
      </w:r>
      <w:r>
        <w:rPr>
          <w:szCs w:val="32"/>
        </w:rPr>
        <w:t>%，主要用于</w:t>
      </w:r>
      <w:r>
        <w:rPr>
          <w:rFonts w:hint="eastAsia"/>
          <w:szCs w:val="32"/>
        </w:rPr>
        <w:t>缴纳在职人员养老保险及发放退休人员取暖费</w:t>
      </w:r>
      <w:r>
        <w:rPr>
          <w:szCs w:val="32"/>
        </w:rPr>
        <w:t>。</w:t>
      </w:r>
    </w:p>
    <w:p>
      <w:pPr>
        <w:spacing w:line="540" w:lineRule="exact"/>
        <w:ind w:firstLine="640" w:firstLineChars="200"/>
        <w:rPr>
          <w:szCs w:val="32"/>
        </w:rPr>
      </w:pPr>
      <w:r>
        <w:rPr>
          <w:rFonts w:hint="eastAsia"/>
          <w:szCs w:val="32"/>
        </w:rPr>
        <w:t>卫生健康</w:t>
      </w:r>
      <w:r>
        <w:rPr>
          <w:szCs w:val="32"/>
        </w:rPr>
        <w:t>支出（类）支出</w:t>
      </w:r>
      <w:r>
        <w:rPr>
          <w:rFonts w:hint="eastAsia"/>
          <w:szCs w:val="32"/>
        </w:rPr>
        <w:t>3.02</w:t>
      </w:r>
      <w:r>
        <w:rPr>
          <w:szCs w:val="32"/>
        </w:rPr>
        <w:t>万元，占</w:t>
      </w:r>
      <w:r>
        <w:rPr>
          <w:rFonts w:hint="eastAsia"/>
          <w:szCs w:val="32"/>
        </w:rPr>
        <w:t>3.56</w:t>
      </w:r>
      <w:r>
        <w:rPr>
          <w:szCs w:val="32"/>
        </w:rPr>
        <w:t>%，主要用于</w:t>
      </w:r>
      <w:r>
        <w:rPr>
          <w:rFonts w:hint="eastAsia"/>
          <w:szCs w:val="32"/>
        </w:rPr>
        <w:t>缴纳职工医疗保险</w:t>
      </w:r>
      <w:r>
        <w:rPr>
          <w:szCs w:val="32"/>
        </w:rPr>
        <w:t>。</w:t>
      </w:r>
    </w:p>
    <w:p>
      <w:pPr>
        <w:spacing w:line="540" w:lineRule="exact"/>
        <w:ind w:firstLine="640" w:firstLineChars="200"/>
        <w:rPr>
          <w:szCs w:val="32"/>
        </w:rPr>
      </w:pPr>
      <w:r>
        <w:rPr>
          <w:szCs w:val="32"/>
        </w:rPr>
        <w:t>住房保障（类）支出</w:t>
      </w:r>
      <w:r>
        <w:rPr>
          <w:rFonts w:hint="eastAsia"/>
          <w:szCs w:val="32"/>
        </w:rPr>
        <w:t>5.69</w:t>
      </w:r>
      <w:r>
        <w:rPr>
          <w:szCs w:val="32"/>
        </w:rPr>
        <w:t>万元，占</w:t>
      </w:r>
      <w:r>
        <w:rPr>
          <w:rFonts w:hint="eastAsia"/>
          <w:szCs w:val="32"/>
        </w:rPr>
        <w:t>6.72</w:t>
      </w:r>
      <w:r>
        <w:rPr>
          <w:szCs w:val="32"/>
        </w:rPr>
        <w:t>%，主要用于</w:t>
      </w:r>
      <w:r>
        <w:rPr>
          <w:rFonts w:hint="eastAsia"/>
          <w:szCs w:val="32"/>
        </w:rPr>
        <w:t>缴纳职工住房公积金</w:t>
      </w:r>
      <w:r>
        <w:rPr>
          <w:szCs w:val="32"/>
        </w:rPr>
        <w:t>。</w:t>
      </w:r>
    </w:p>
    <w:p>
      <w:pPr>
        <w:spacing w:line="520" w:lineRule="exact"/>
        <w:ind w:firstLine="640" w:firstLineChars="200"/>
        <w:rPr>
          <w:rFonts w:eastAsia="黑体"/>
          <w:szCs w:val="32"/>
        </w:rPr>
      </w:pPr>
      <w:r>
        <w:rPr>
          <w:rFonts w:eastAsia="黑体"/>
          <w:szCs w:val="32"/>
        </w:rPr>
        <w:t>六、20</w:t>
      </w:r>
      <w:r>
        <w:rPr>
          <w:rFonts w:hint="eastAsia" w:eastAsia="黑体"/>
          <w:szCs w:val="32"/>
        </w:rPr>
        <w:t>22</w:t>
      </w:r>
      <w:r>
        <w:rPr>
          <w:rFonts w:eastAsia="黑体"/>
          <w:szCs w:val="32"/>
        </w:rPr>
        <w:t>年一般公共预算基本支出情况</w:t>
      </w:r>
    </w:p>
    <w:p>
      <w:pPr>
        <w:spacing w:line="540" w:lineRule="exact"/>
        <w:ind w:firstLine="640" w:firstLineChars="200"/>
        <w:rPr>
          <w:szCs w:val="32"/>
        </w:rPr>
      </w:pPr>
      <w:r>
        <w:rPr>
          <w:szCs w:val="32"/>
        </w:rPr>
        <w:t>20</w:t>
      </w:r>
      <w:r>
        <w:rPr>
          <w:rFonts w:hint="eastAsia"/>
          <w:szCs w:val="32"/>
        </w:rPr>
        <w:t>22</w:t>
      </w:r>
      <w:r>
        <w:rPr>
          <w:szCs w:val="32"/>
        </w:rPr>
        <w:t>年一般公共预算基本支出</w:t>
      </w:r>
      <w:r>
        <w:rPr>
          <w:rFonts w:hint="eastAsia"/>
          <w:szCs w:val="32"/>
        </w:rPr>
        <w:t>84.72</w:t>
      </w:r>
      <w:r>
        <w:rPr>
          <w:szCs w:val="32"/>
        </w:rPr>
        <w:t>万元，其中：</w:t>
      </w:r>
    </w:p>
    <w:p>
      <w:pPr>
        <w:spacing w:line="540" w:lineRule="exact"/>
        <w:ind w:firstLine="640" w:firstLineChars="200"/>
        <w:rPr>
          <w:szCs w:val="32"/>
        </w:rPr>
      </w:pPr>
      <w:r>
        <w:rPr>
          <w:szCs w:val="32"/>
        </w:rPr>
        <w:t>人员经费</w:t>
      </w:r>
      <w:r>
        <w:rPr>
          <w:rFonts w:hint="eastAsia"/>
          <w:szCs w:val="32"/>
        </w:rPr>
        <w:t>65.87</w:t>
      </w:r>
      <w:r>
        <w:rPr>
          <w:szCs w:val="32"/>
        </w:rPr>
        <w:t>万元，主要包括：基本工资、津贴补贴、奖金、社会保障缴费、其他工资福利支出、退休费、</w:t>
      </w:r>
      <w:r>
        <w:rPr>
          <w:rFonts w:hint="eastAsia"/>
          <w:szCs w:val="32"/>
        </w:rPr>
        <w:t>医疗费、</w:t>
      </w:r>
      <w:r>
        <w:rPr>
          <w:szCs w:val="32"/>
        </w:rPr>
        <w:t>住房公积金、采暖补贴、其他对个人和家庭的补助支出。</w:t>
      </w:r>
    </w:p>
    <w:p>
      <w:pPr>
        <w:spacing w:line="540" w:lineRule="exact"/>
        <w:ind w:firstLine="640" w:firstLineChars="200"/>
        <w:rPr>
          <w:szCs w:val="32"/>
        </w:rPr>
      </w:pPr>
      <w:r>
        <w:rPr>
          <w:szCs w:val="32"/>
        </w:rPr>
        <w:t>公用经费</w:t>
      </w:r>
      <w:r>
        <w:rPr>
          <w:rFonts w:hint="eastAsia"/>
          <w:szCs w:val="32"/>
        </w:rPr>
        <w:t>18.85</w:t>
      </w:r>
      <w:r>
        <w:rPr>
          <w:szCs w:val="32"/>
        </w:rPr>
        <w:t>万元，主要包括：</w:t>
      </w:r>
      <w:r>
        <w:rPr>
          <w:rFonts w:hint="eastAsia"/>
          <w:szCs w:val="32"/>
        </w:rPr>
        <w:t>办公费、印刷费、手续费、邮电费、差旅费、会议费、培训费、公务接待费、工会经费、福利费、其他交通费用、其他商品和服务支出、办公设备购置</w:t>
      </w:r>
      <w:r>
        <w:rPr>
          <w:szCs w:val="32"/>
        </w:rPr>
        <w:t>。</w:t>
      </w:r>
    </w:p>
    <w:p>
      <w:pPr>
        <w:ind w:firstLine="640" w:firstLineChars="200"/>
        <w:rPr>
          <w:rFonts w:eastAsia="黑体"/>
          <w:szCs w:val="30"/>
        </w:rPr>
      </w:pPr>
      <w:r>
        <w:rPr>
          <w:rFonts w:eastAsia="黑体"/>
          <w:szCs w:val="30"/>
        </w:rPr>
        <w:t>七、20</w:t>
      </w:r>
      <w:r>
        <w:rPr>
          <w:rFonts w:hint="eastAsia" w:eastAsia="黑体"/>
          <w:szCs w:val="30"/>
        </w:rPr>
        <w:t>22</w:t>
      </w:r>
      <w:r>
        <w:rPr>
          <w:rFonts w:eastAsia="黑体"/>
          <w:szCs w:val="30"/>
        </w:rPr>
        <w:t>年一般公共预算</w:t>
      </w:r>
      <w:r>
        <w:rPr>
          <w:rFonts w:hint="eastAsia" w:eastAsia="黑体"/>
          <w:szCs w:val="30"/>
        </w:rPr>
        <w:t>财政拨款</w:t>
      </w:r>
      <w:r>
        <w:rPr>
          <w:rFonts w:eastAsia="黑体"/>
          <w:szCs w:val="30"/>
        </w:rPr>
        <w:t>“三公”经费情况</w:t>
      </w:r>
    </w:p>
    <w:p>
      <w:pPr>
        <w:spacing w:line="540" w:lineRule="exact"/>
        <w:ind w:firstLine="640" w:firstLineChars="200"/>
        <w:rPr>
          <w:szCs w:val="32"/>
        </w:rPr>
      </w:pPr>
      <w:r>
        <w:rPr>
          <w:szCs w:val="32"/>
        </w:rPr>
        <w:t>20</w:t>
      </w:r>
      <w:r>
        <w:rPr>
          <w:rFonts w:hint="eastAsia"/>
          <w:szCs w:val="32"/>
        </w:rPr>
        <w:t>22</w:t>
      </w:r>
      <w:r>
        <w:rPr>
          <w:szCs w:val="32"/>
        </w:rPr>
        <w:t>年“三公”经费预算数为</w:t>
      </w:r>
      <w:r>
        <w:rPr>
          <w:rFonts w:hint="eastAsia"/>
          <w:szCs w:val="32"/>
        </w:rPr>
        <w:t>0.17</w:t>
      </w:r>
      <w:r>
        <w:rPr>
          <w:szCs w:val="32"/>
        </w:rPr>
        <w:t>万元，</w:t>
      </w:r>
      <w:r>
        <w:rPr>
          <w:rFonts w:hint="eastAsia"/>
          <w:szCs w:val="32"/>
        </w:rPr>
        <w:t>其中:当年预算0.17万元；上年结转0万元。2022年当年预算数与2021年预算持平</w:t>
      </w:r>
      <w:r>
        <w:rPr>
          <w:szCs w:val="32"/>
        </w:rPr>
        <w:t>。其中：</w:t>
      </w:r>
    </w:p>
    <w:p>
      <w:pPr>
        <w:spacing w:line="540" w:lineRule="exact"/>
        <w:ind w:firstLine="640" w:firstLineChars="200"/>
        <w:rPr>
          <w:szCs w:val="32"/>
        </w:rPr>
      </w:pPr>
      <w:r>
        <w:rPr>
          <w:szCs w:val="32"/>
        </w:rPr>
        <w:t>1.</w:t>
      </w:r>
      <w:r>
        <w:rPr>
          <w:rFonts w:hint="eastAsia"/>
          <w:szCs w:val="32"/>
        </w:rPr>
        <w:t>因公出国（境）费0万元，与2021年预算持平。</w:t>
      </w:r>
    </w:p>
    <w:p>
      <w:pPr>
        <w:spacing w:line="540" w:lineRule="exact"/>
        <w:ind w:firstLine="640" w:firstLineChars="200"/>
        <w:rPr>
          <w:szCs w:val="32"/>
        </w:rPr>
      </w:pPr>
      <w:r>
        <w:rPr>
          <w:szCs w:val="32"/>
        </w:rPr>
        <w:t>2.公务接待费</w:t>
      </w:r>
      <w:r>
        <w:rPr>
          <w:rFonts w:hint="eastAsia"/>
          <w:szCs w:val="32"/>
        </w:rPr>
        <w:t>0.17</w:t>
      </w:r>
      <w:r>
        <w:rPr>
          <w:szCs w:val="32"/>
        </w:rPr>
        <w:t>万元，</w:t>
      </w:r>
      <w:r>
        <w:rPr>
          <w:rFonts w:hint="eastAsia"/>
          <w:szCs w:val="32"/>
        </w:rPr>
        <w:t>其中：当年预算0.17万元；上年结转0万元。2022年当年预算数与2021年预算持平</w:t>
      </w:r>
      <w:r>
        <w:rPr>
          <w:szCs w:val="32"/>
        </w:rPr>
        <w:t>。</w:t>
      </w:r>
    </w:p>
    <w:p>
      <w:pPr>
        <w:spacing w:line="540" w:lineRule="exact"/>
        <w:ind w:firstLine="640" w:firstLineChars="200"/>
        <w:rPr>
          <w:szCs w:val="32"/>
        </w:rPr>
      </w:pPr>
      <w:r>
        <w:rPr>
          <w:szCs w:val="32"/>
        </w:rPr>
        <w:t>3.</w:t>
      </w:r>
      <w:r>
        <w:rPr>
          <w:rFonts w:hint="eastAsia"/>
          <w:szCs w:val="32"/>
        </w:rPr>
        <w:t xml:space="preserve"> 公务用车购置及运行费0万元，与2021年预算持平。其中，公务用车运行维护费0万元，与2021年预算持平；公务用车购置费0万元，与2021年预算持平。</w:t>
      </w:r>
    </w:p>
    <w:p>
      <w:pPr>
        <w:ind w:firstLine="640" w:firstLineChars="200"/>
        <w:rPr>
          <w:rFonts w:eastAsia="黑体"/>
          <w:szCs w:val="32"/>
        </w:rPr>
      </w:pPr>
      <w:r>
        <w:rPr>
          <w:rFonts w:eastAsia="黑体"/>
          <w:szCs w:val="32"/>
        </w:rPr>
        <w:t>八、20</w:t>
      </w:r>
      <w:r>
        <w:rPr>
          <w:rFonts w:hint="eastAsia" w:eastAsia="黑体"/>
          <w:szCs w:val="32"/>
        </w:rPr>
        <w:t>22</w:t>
      </w:r>
      <w:r>
        <w:rPr>
          <w:rFonts w:eastAsia="黑体"/>
          <w:szCs w:val="32"/>
        </w:rPr>
        <w:t>年政府性基金预算支出情况</w:t>
      </w:r>
    </w:p>
    <w:p>
      <w:pPr>
        <w:spacing w:line="540" w:lineRule="exact"/>
        <w:ind w:firstLine="640" w:firstLineChars="200"/>
        <w:rPr>
          <w:szCs w:val="32"/>
        </w:rPr>
      </w:pPr>
      <w:r>
        <w:rPr>
          <w:szCs w:val="32"/>
        </w:rPr>
        <w:t>本</w:t>
      </w:r>
      <w:r>
        <w:rPr>
          <w:rFonts w:hint="eastAsia"/>
          <w:szCs w:val="32"/>
        </w:rPr>
        <w:t>单位</w:t>
      </w:r>
      <w:r>
        <w:rPr>
          <w:szCs w:val="32"/>
        </w:rPr>
        <w:t>无政府性基金预算拨款</w:t>
      </w:r>
      <w:r>
        <w:rPr>
          <w:rFonts w:hint="eastAsia"/>
          <w:szCs w:val="32"/>
        </w:rPr>
        <w:t>。</w:t>
      </w:r>
    </w:p>
    <w:p>
      <w:pPr>
        <w:ind w:firstLine="640" w:firstLineChars="200"/>
        <w:rPr>
          <w:rFonts w:eastAsia="黑体"/>
          <w:szCs w:val="32"/>
        </w:rPr>
      </w:pPr>
      <w:r>
        <w:rPr>
          <w:rFonts w:hint="eastAsia" w:eastAsia="黑体"/>
          <w:szCs w:val="32"/>
        </w:rPr>
        <w:t>九</w:t>
      </w:r>
      <w:r>
        <w:rPr>
          <w:rFonts w:eastAsia="黑体"/>
          <w:szCs w:val="32"/>
        </w:rPr>
        <w:t>、20</w:t>
      </w:r>
      <w:r>
        <w:rPr>
          <w:rFonts w:hint="eastAsia" w:eastAsia="黑体"/>
          <w:szCs w:val="32"/>
        </w:rPr>
        <w:t>22</w:t>
      </w:r>
      <w:r>
        <w:rPr>
          <w:rFonts w:eastAsia="黑体"/>
          <w:szCs w:val="32"/>
        </w:rPr>
        <w:t>年</w:t>
      </w:r>
      <w:r>
        <w:rPr>
          <w:rFonts w:hint="eastAsia" w:eastAsia="黑体"/>
          <w:szCs w:val="32"/>
        </w:rPr>
        <w:t>国有资本经营</w:t>
      </w:r>
      <w:r>
        <w:rPr>
          <w:rFonts w:eastAsia="黑体"/>
          <w:szCs w:val="32"/>
        </w:rPr>
        <w:t>预算支出情况</w:t>
      </w:r>
    </w:p>
    <w:p>
      <w:pPr>
        <w:spacing w:line="540" w:lineRule="exact"/>
        <w:ind w:firstLine="640" w:firstLineChars="200"/>
        <w:rPr>
          <w:szCs w:val="32"/>
        </w:rPr>
      </w:pPr>
      <w:r>
        <w:rPr>
          <w:szCs w:val="32"/>
        </w:rPr>
        <w:t>本</w:t>
      </w:r>
      <w:r>
        <w:rPr>
          <w:rFonts w:hint="eastAsia"/>
          <w:szCs w:val="32"/>
        </w:rPr>
        <w:t>单位</w:t>
      </w:r>
      <w:r>
        <w:rPr>
          <w:szCs w:val="32"/>
        </w:rPr>
        <w:t>无</w:t>
      </w:r>
      <w:r>
        <w:rPr>
          <w:rFonts w:hint="eastAsia"/>
          <w:szCs w:val="32"/>
        </w:rPr>
        <w:t>国有资本经营</w:t>
      </w:r>
      <w:r>
        <w:rPr>
          <w:szCs w:val="32"/>
        </w:rPr>
        <w:t>预算拨款。</w:t>
      </w:r>
    </w:p>
    <w:p>
      <w:pPr>
        <w:ind w:firstLine="640" w:firstLineChars="200"/>
        <w:rPr>
          <w:rFonts w:eastAsia="黑体"/>
          <w:szCs w:val="32"/>
        </w:rPr>
      </w:pPr>
      <w:r>
        <w:rPr>
          <w:rFonts w:hint="eastAsia" w:eastAsia="黑体"/>
          <w:szCs w:val="32"/>
        </w:rPr>
        <w:t>十</w:t>
      </w:r>
      <w:r>
        <w:rPr>
          <w:rFonts w:eastAsia="黑体"/>
          <w:szCs w:val="32"/>
        </w:rPr>
        <w:t>、其他重要事项的说明情况</w:t>
      </w:r>
    </w:p>
    <w:p>
      <w:pPr>
        <w:spacing w:line="540" w:lineRule="exact"/>
        <w:ind w:firstLine="640" w:firstLineChars="200"/>
        <w:rPr>
          <w:rFonts w:eastAsia="楷体"/>
          <w:szCs w:val="32"/>
        </w:rPr>
      </w:pPr>
      <w:r>
        <w:rPr>
          <w:rFonts w:eastAsia="楷体"/>
          <w:szCs w:val="32"/>
        </w:rPr>
        <w:t>（一）机关运行经费</w:t>
      </w:r>
    </w:p>
    <w:p>
      <w:pPr>
        <w:spacing w:line="540" w:lineRule="exact"/>
        <w:ind w:firstLine="640" w:firstLineChars="200"/>
        <w:rPr>
          <w:szCs w:val="32"/>
        </w:rPr>
      </w:pPr>
      <w:r>
        <w:rPr>
          <w:szCs w:val="32"/>
        </w:rPr>
        <w:t>20</w:t>
      </w:r>
      <w:r>
        <w:rPr>
          <w:rFonts w:hint="eastAsia"/>
          <w:szCs w:val="32"/>
        </w:rPr>
        <w:t>22</w:t>
      </w:r>
      <w:r>
        <w:rPr>
          <w:szCs w:val="32"/>
        </w:rPr>
        <w:t>年</w:t>
      </w:r>
      <w:r>
        <w:rPr>
          <w:rFonts w:hint="eastAsia"/>
          <w:szCs w:val="32"/>
        </w:rPr>
        <w:t>单位</w:t>
      </w:r>
      <w:r>
        <w:rPr>
          <w:szCs w:val="32"/>
        </w:rPr>
        <w:t>本级的机关运行经费财政拨款预算</w:t>
      </w:r>
      <w:r>
        <w:rPr>
          <w:rFonts w:hint="eastAsia"/>
          <w:szCs w:val="32"/>
        </w:rPr>
        <w:t>18.85</w:t>
      </w:r>
      <w:r>
        <w:rPr>
          <w:szCs w:val="32"/>
        </w:rPr>
        <w:t>万元，比20</w:t>
      </w:r>
      <w:r>
        <w:rPr>
          <w:rFonts w:hint="eastAsia"/>
          <w:szCs w:val="32"/>
        </w:rPr>
        <w:t>21</w:t>
      </w:r>
      <w:r>
        <w:rPr>
          <w:szCs w:val="32"/>
        </w:rPr>
        <w:t>年预算</w:t>
      </w:r>
      <w:r>
        <w:rPr>
          <w:rFonts w:hint="eastAsia"/>
          <w:szCs w:val="32"/>
        </w:rPr>
        <w:t>增加0.64</w:t>
      </w:r>
      <w:r>
        <w:rPr>
          <w:szCs w:val="32"/>
        </w:rPr>
        <w:t>万元</w:t>
      </w:r>
      <w:r>
        <w:rPr>
          <w:rFonts w:hint="eastAsia"/>
          <w:szCs w:val="32"/>
        </w:rPr>
        <w:t>，增长3.51</w:t>
      </w:r>
      <w:r>
        <w:rPr>
          <w:szCs w:val="32"/>
        </w:rPr>
        <w:t>%</w:t>
      </w:r>
      <w:r>
        <w:rPr>
          <w:rFonts w:hint="eastAsia"/>
          <w:szCs w:val="32"/>
        </w:rPr>
        <w:t>，主要原因是2021新招录人员1名，因此机关运行经费增加</w:t>
      </w:r>
      <w:r>
        <w:rPr>
          <w:szCs w:val="32"/>
        </w:rPr>
        <w:t>。</w:t>
      </w:r>
    </w:p>
    <w:p>
      <w:pPr>
        <w:spacing w:line="540" w:lineRule="exact"/>
        <w:ind w:firstLine="640" w:firstLineChars="200"/>
        <w:rPr>
          <w:rFonts w:eastAsia="楷体"/>
          <w:szCs w:val="32"/>
        </w:rPr>
      </w:pPr>
      <w:r>
        <w:rPr>
          <w:rFonts w:eastAsia="楷体"/>
          <w:szCs w:val="32"/>
        </w:rPr>
        <w:t>（二）政府采购情况</w:t>
      </w:r>
    </w:p>
    <w:p>
      <w:pPr>
        <w:spacing w:line="540" w:lineRule="exact"/>
        <w:ind w:firstLine="640" w:firstLineChars="200"/>
        <w:rPr>
          <w:szCs w:val="32"/>
        </w:rPr>
      </w:pPr>
      <w:r>
        <w:rPr>
          <w:rFonts w:hint="eastAsia"/>
          <w:szCs w:val="32"/>
        </w:rPr>
        <w:t>本单位无政府采购。</w:t>
      </w:r>
    </w:p>
    <w:p>
      <w:pPr>
        <w:spacing w:line="540" w:lineRule="exact"/>
        <w:ind w:firstLine="640" w:firstLineChars="200"/>
        <w:rPr>
          <w:rFonts w:eastAsia="楷体"/>
          <w:szCs w:val="32"/>
        </w:rPr>
      </w:pPr>
      <w:r>
        <w:rPr>
          <w:rFonts w:eastAsia="楷体"/>
          <w:szCs w:val="32"/>
        </w:rPr>
        <w:t>（三）国有资产占有使用情况</w:t>
      </w:r>
    </w:p>
    <w:p>
      <w:pPr>
        <w:spacing w:line="540" w:lineRule="exact"/>
        <w:ind w:firstLine="640" w:firstLineChars="200"/>
        <w:rPr>
          <w:szCs w:val="32"/>
        </w:rPr>
      </w:pPr>
      <w:r>
        <w:rPr>
          <w:rFonts w:hint="eastAsia"/>
          <w:szCs w:val="32"/>
        </w:rPr>
        <w:t>截至2021年8月底，本单位共有车辆0辆，土地0平方米，房屋0平方米，单价50万元及以上的通用设备0台/套，单价100万元及以上的专用设备实有数0台/套。</w:t>
      </w:r>
    </w:p>
    <w:p>
      <w:pPr>
        <w:spacing w:line="540" w:lineRule="exact"/>
        <w:ind w:firstLine="640" w:firstLineChars="200"/>
        <w:rPr>
          <w:szCs w:val="32"/>
        </w:rPr>
      </w:pPr>
      <w:r>
        <w:rPr>
          <w:rFonts w:hint="eastAsia"/>
          <w:szCs w:val="32"/>
        </w:rPr>
        <w:t>2022年单位预算安排购置车辆0辆，安排购置土地0平方米，安排购置房屋0平方米，计划新增单价50万元及以上的通用设备0台/套，计划新增单价100万元及以上的专用设备实有数0台/套。</w:t>
      </w:r>
    </w:p>
    <w:p>
      <w:pPr>
        <w:numPr>
          <w:ilvl w:val="0"/>
          <w:numId w:val="3"/>
        </w:numPr>
        <w:spacing w:line="540" w:lineRule="exact"/>
        <w:ind w:firstLine="640" w:firstLineChars="200"/>
        <w:rPr>
          <w:rFonts w:eastAsia="楷体"/>
          <w:szCs w:val="32"/>
        </w:rPr>
      </w:pPr>
      <w:r>
        <w:rPr>
          <w:rFonts w:hint="eastAsia" w:eastAsia="楷体"/>
          <w:szCs w:val="32"/>
        </w:rPr>
        <w:t>项目支出情况说明</w:t>
      </w:r>
    </w:p>
    <w:p>
      <w:pPr>
        <w:ind w:firstLine="963" w:firstLineChars="301"/>
        <w:rPr>
          <w:szCs w:val="32"/>
        </w:rPr>
      </w:pPr>
      <w:r>
        <w:rPr>
          <w:szCs w:val="32"/>
        </w:rPr>
        <w:t>202</w:t>
      </w:r>
      <w:r>
        <w:rPr>
          <w:rFonts w:hint="eastAsia"/>
          <w:szCs w:val="32"/>
        </w:rPr>
        <w:t>2</w:t>
      </w:r>
      <w:r>
        <w:rPr>
          <w:szCs w:val="32"/>
        </w:rPr>
        <w:t>年</w:t>
      </w:r>
      <w:r>
        <w:rPr>
          <w:rFonts w:hint="eastAsia"/>
          <w:szCs w:val="32"/>
        </w:rPr>
        <w:t>单位</w:t>
      </w:r>
      <w:r>
        <w:rPr>
          <w:szCs w:val="32"/>
        </w:rPr>
        <w:t>项目支出</w:t>
      </w:r>
      <w:r>
        <w:rPr>
          <w:rFonts w:hint="eastAsia"/>
          <w:szCs w:val="32"/>
        </w:rPr>
        <w:t>0</w:t>
      </w:r>
      <w:r>
        <w:rPr>
          <w:szCs w:val="32"/>
        </w:rPr>
        <w:t>万元，其中：一级项目</w:t>
      </w:r>
      <w:r>
        <w:rPr>
          <w:rFonts w:hint="eastAsia"/>
          <w:szCs w:val="32"/>
        </w:rPr>
        <w:t>0</w:t>
      </w:r>
      <w:r>
        <w:rPr>
          <w:szCs w:val="32"/>
        </w:rPr>
        <w:t>个，二级项目</w:t>
      </w:r>
      <w:r>
        <w:rPr>
          <w:rFonts w:hint="eastAsia"/>
          <w:szCs w:val="32"/>
        </w:rPr>
        <w:t>0</w:t>
      </w:r>
      <w:r>
        <w:rPr>
          <w:szCs w:val="32"/>
        </w:rPr>
        <w:t>个；使用</w:t>
      </w:r>
      <w:r>
        <w:rPr>
          <w:rFonts w:hint="eastAsia"/>
          <w:szCs w:val="32"/>
        </w:rPr>
        <w:t>本年拨款0</w:t>
      </w:r>
      <w:r>
        <w:rPr>
          <w:szCs w:val="32"/>
        </w:rPr>
        <w:t>万元，</w:t>
      </w:r>
      <w:r>
        <w:rPr>
          <w:rFonts w:hint="eastAsia"/>
          <w:szCs w:val="32"/>
        </w:rPr>
        <w:t>财政拨款结转0</w:t>
      </w:r>
      <w:r>
        <w:rPr>
          <w:szCs w:val="32"/>
        </w:rPr>
        <w:t>万元。</w:t>
      </w:r>
    </w:p>
    <w:p>
      <w:pPr>
        <w:spacing w:line="540" w:lineRule="exact"/>
        <w:ind w:firstLine="640" w:firstLineChars="200"/>
        <w:rPr>
          <w:rFonts w:eastAsia="楷体"/>
          <w:szCs w:val="32"/>
        </w:rPr>
      </w:pPr>
      <w:r>
        <w:rPr>
          <w:rFonts w:hint="eastAsia" w:eastAsia="楷体"/>
          <w:szCs w:val="32"/>
        </w:rPr>
        <w:t>（五）项目支出绩效目标情况说明</w:t>
      </w:r>
    </w:p>
    <w:p>
      <w:pPr>
        <w:ind w:firstLine="963" w:firstLineChars="301"/>
        <w:rPr>
          <w:szCs w:val="32"/>
        </w:rPr>
      </w:pPr>
      <w:r>
        <w:rPr>
          <w:szCs w:val="32"/>
        </w:rPr>
        <w:t>本</w:t>
      </w:r>
      <w:r>
        <w:rPr>
          <w:rFonts w:hint="eastAsia"/>
          <w:szCs w:val="32"/>
        </w:rPr>
        <w:t>单位</w:t>
      </w:r>
      <w:r>
        <w:rPr>
          <w:szCs w:val="32"/>
        </w:rPr>
        <w:t>无</w:t>
      </w:r>
      <w:r>
        <w:rPr>
          <w:rFonts w:hint="eastAsia"/>
          <w:szCs w:val="32"/>
        </w:rPr>
        <w:t>项目支出绩效目标情况。</w:t>
      </w:r>
    </w:p>
    <w:p>
      <w:pPr>
        <w:spacing w:line="540" w:lineRule="exact"/>
        <w:ind w:firstLine="640" w:firstLineChars="200"/>
        <w:rPr>
          <w:rFonts w:eastAsia="楷体"/>
          <w:szCs w:val="32"/>
        </w:rPr>
      </w:pPr>
    </w:p>
    <w:p>
      <w:pPr>
        <w:spacing w:line="540" w:lineRule="exact"/>
        <w:ind w:firstLine="640" w:firstLineChars="200"/>
        <w:jc w:val="center"/>
        <w:rPr>
          <w:rFonts w:eastAsia="黑体"/>
        </w:rPr>
      </w:pPr>
      <w:r>
        <w:rPr>
          <w:rFonts w:eastAsia="楷体"/>
          <w:szCs w:val="32"/>
        </w:rPr>
        <w:br w:type="page"/>
      </w:r>
      <w:r>
        <w:rPr>
          <w:rFonts w:hint="eastAsia" w:eastAsia="楷体"/>
          <w:szCs w:val="32"/>
        </w:rPr>
        <w:t xml:space="preserve"> </w:t>
      </w:r>
      <w:r>
        <w:rPr>
          <w:rFonts w:eastAsia="黑体"/>
        </w:rPr>
        <w:t>第四部分 名词解释</w:t>
      </w:r>
    </w:p>
    <w:p>
      <w:pPr>
        <w:ind w:firstLine="640" w:firstLineChars="200"/>
        <w:jc w:val="center"/>
        <w:rPr>
          <w:rFonts w:eastAsia="黑体"/>
        </w:rPr>
      </w:pPr>
    </w:p>
    <w:p>
      <w:pPr>
        <w:ind w:firstLine="640" w:firstLineChars="200"/>
        <w:rPr>
          <w:szCs w:val="32"/>
        </w:rPr>
      </w:pPr>
      <w:r>
        <w:rPr>
          <w:rFonts w:eastAsia="楷体"/>
          <w:szCs w:val="32"/>
        </w:rPr>
        <w:t>（一）一般公共预算拨款收入：</w:t>
      </w:r>
      <w:r>
        <w:rPr>
          <w:szCs w:val="32"/>
        </w:rPr>
        <w:t>指省级财政通过当年一般公共预算拨付的资金。</w:t>
      </w:r>
    </w:p>
    <w:p>
      <w:pPr>
        <w:ind w:firstLine="640" w:firstLineChars="200"/>
        <w:rPr>
          <w:szCs w:val="32"/>
        </w:rPr>
      </w:pPr>
      <w:r>
        <w:rPr>
          <w:rFonts w:eastAsia="楷体"/>
          <w:szCs w:val="32"/>
        </w:rPr>
        <w:t>（二）</w:t>
      </w:r>
      <w:r>
        <w:rPr>
          <w:rFonts w:hint="eastAsia" w:eastAsia="楷体"/>
          <w:szCs w:val="32"/>
        </w:rPr>
        <w:t>政府性基金预算拨款收入：</w:t>
      </w:r>
      <w:r>
        <w:rPr>
          <w:szCs w:val="32"/>
        </w:rPr>
        <w:t>指省级财政通过当年</w:t>
      </w:r>
      <w:r>
        <w:rPr>
          <w:rFonts w:hint="eastAsia"/>
          <w:szCs w:val="32"/>
        </w:rPr>
        <w:t>政府性基金</w:t>
      </w:r>
      <w:r>
        <w:rPr>
          <w:szCs w:val="32"/>
        </w:rPr>
        <w:t>预算拨付的资金。</w:t>
      </w:r>
    </w:p>
    <w:p>
      <w:pPr>
        <w:ind w:firstLine="640" w:firstLineChars="200"/>
        <w:rPr>
          <w:szCs w:val="32"/>
        </w:rPr>
      </w:pPr>
      <w:r>
        <w:rPr>
          <w:rFonts w:eastAsia="楷体"/>
          <w:szCs w:val="32"/>
        </w:rPr>
        <w:t>（</w:t>
      </w:r>
      <w:r>
        <w:rPr>
          <w:rFonts w:hint="eastAsia" w:eastAsia="楷体"/>
          <w:szCs w:val="32"/>
        </w:rPr>
        <w:t>三</w:t>
      </w:r>
      <w:r>
        <w:rPr>
          <w:rFonts w:eastAsia="楷体"/>
          <w:szCs w:val="32"/>
        </w:rPr>
        <w:t>）</w:t>
      </w:r>
      <w:r>
        <w:rPr>
          <w:rFonts w:hint="eastAsia" w:eastAsia="楷体"/>
          <w:szCs w:val="32"/>
        </w:rPr>
        <w:t>国有资本经营预算拨款收入：</w:t>
      </w:r>
      <w:r>
        <w:rPr>
          <w:szCs w:val="32"/>
        </w:rPr>
        <w:t>指省级财政通过当年</w:t>
      </w:r>
      <w:r>
        <w:rPr>
          <w:rFonts w:hint="eastAsia"/>
          <w:szCs w:val="32"/>
        </w:rPr>
        <w:t>国有资本经营</w:t>
      </w:r>
      <w:r>
        <w:rPr>
          <w:szCs w:val="32"/>
        </w:rPr>
        <w:t>预算拨付的资金。</w:t>
      </w:r>
    </w:p>
    <w:p>
      <w:pPr>
        <w:ind w:firstLine="640"/>
        <w:rPr>
          <w:szCs w:val="32"/>
        </w:rPr>
      </w:pPr>
      <w:r>
        <w:rPr>
          <w:rFonts w:eastAsia="楷体"/>
          <w:szCs w:val="32"/>
        </w:rPr>
        <w:t>（</w:t>
      </w:r>
      <w:r>
        <w:rPr>
          <w:rFonts w:hint="eastAsia" w:eastAsia="楷体"/>
          <w:szCs w:val="32"/>
        </w:rPr>
        <w:t>四</w:t>
      </w:r>
      <w:r>
        <w:rPr>
          <w:rFonts w:eastAsia="楷体"/>
          <w:szCs w:val="32"/>
        </w:rPr>
        <w:t>）</w:t>
      </w:r>
      <w:r>
        <w:rPr>
          <w:rFonts w:hint="eastAsia" w:eastAsia="楷体"/>
          <w:szCs w:val="32"/>
        </w:rPr>
        <w:t>财政专户管理资金收入</w:t>
      </w:r>
      <w:r>
        <w:rPr>
          <w:rFonts w:eastAsia="楷体"/>
          <w:szCs w:val="32"/>
        </w:rPr>
        <w:t>：</w:t>
      </w:r>
      <w:r>
        <w:rPr>
          <w:rFonts w:hint="eastAsia"/>
          <w:szCs w:val="32"/>
        </w:rPr>
        <w:t>指未纳入预算并实行财政专户管理的资金收入。</w:t>
      </w:r>
    </w:p>
    <w:p>
      <w:pPr>
        <w:ind w:firstLine="640"/>
        <w:rPr>
          <w:szCs w:val="32"/>
        </w:rPr>
      </w:pPr>
      <w:r>
        <w:rPr>
          <w:rFonts w:hint="eastAsia" w:eastAsia="楷体"/>
          <w:szCs w:val="32"/>
        </w:rPr>
        <w:t>（五）</w:t>
      </w:r>
      <w:r>
        <w:rPr>
          <w:rFonts w:eastAsia="楷体"/>
          <w:szCs w:val="32"/>
        </w:rPr>
        <w:t>事业收入：</w:t>
      </w:r>
      <w:r>
        <w:rPr>
          <w:szCs w:val="32"/>
        </w:rPr>
        <w:t>指事业单位开展专业业务活动及辅助活动所取得的收入。</w:t>
      </w:r>
    </w:p>
    <w:p>
      <w:pPr>
        <w:ind w:firstLine="640"/>
        <w:rPr>
          <w:szCs w:val="32"/>
        </w:rPr>
      </w:pPr>
      <w:r>
        <w:rPr>
          <w:rFonts w:eastAsia="楷体"/>
          <w:szCs w:val="32"/>
        </w:rPr>
        <w:t>（</w:t>
      </w:r>
      <w:r>
        <w:rPr>
          <w:rFonts w:hint="eastAsia" w:eastAsia="楷体"/>
          <w:szCs w:val="32"/>
        </w:rPr>
        <w:t>六</w:t>
      </w:r>
      <w:r>
        <w:rPr>
          <w:rFonts w:eastAsia="楷体"/>
          <w:szCs w:val="32"/>
        </w:rPr>
        <w:t>）</w:t>
      </w:r>
      <w:r>
        <w:rPr>
          <w:rFonts w:hint="eastAsia" w:eastAsia="楷体"/>
          <w:szCs w:val="32"/>
        </w:rPr>
        <w:t>上级补助收入：</w:t>
      </w:r>
      <w:r>
        <w:rPr>
          <w:rFonts w:hint="eastAsia"/>
          <w:szCs w:val="32"/>
        </w:rPr>
        <w:t>指预算单位从主管部门或上级单位取得的非财政拨款补助收入。</w:t>
      </w:r>
    </w:p>
    <w:p>
      <w:pPr>
        <w:ind w:firstLine="640"/>
        <w:rPr>
          <w:szCs w:val="32"/>
        </w:rPr>
      </w:pPr>
      <w:r>
        <w:rPr>
          <w:rFonts w:eastAsia="楷体"/>
          <w:szCs w:val="32"/>
        </w:rPr>
        <w:t>（</w:t>
      </w:r>
      <w:r>
        <w:rPr>
          <w:rFonts w:hint="eastAsia" w:eastAsia="楷体"/>
          <w:szCs w:val="32"/>
        </w:rPr>
        <w:t>七</w:t>
      </w:r>
      <w:r>
        <w:rPr>
          <w:rFonts w:eastAsia="楷体"/>
          <w:szCs w:val="32"/>
        </w:rPr>
        <w:t>）</w:t>
      </w:r>
      <w:r>
        <w:rPr>
          <w:rFonts w:hint="eastAsia" w:eastAsia="楷体"/>
          <w:szCs w:val="32"/>
        </w:rPr>
        <w:t>附属单位上缴收入：</w:t>
      </w:r>
      <w:r>
        <w:rPr>
          <w:rFonts w:hint="eastAsia"/>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ind w:firstLine="640"/>
        <w:rPr>
          <w:szCs w:val="32"/>
        </w:rPr>
      </w:pPr>
      <w:r>
        <w:rPr>
          <w:rFonts w:eastAsia="楷体"/>
          <w:szCs w:val="32"/>
        </w:rPr>
        <w:t>（</w:t>
      </w:r>
      <w:r>
        <w:rPr>
          <w:rFonts w:hint="eastAsia" w:eastAsia="楷体"/>
          <w:szCs w:val="32"/>
        </w:rPr>
        <w:t>八</w:t>
      </w:r>
      <w:r>
        <w:rPr>
          <w:rFonts w:eastAsia="楷体"/>
          <w:szCs w:val="32"/>
        </w:rPr>
        <w:t>）事业单位经营收入：</w:t>
      </w:r>
      <w:r>
        <w:rPr>
          <w:szCs w:val="32"/>
        </w:rPr>
        <w:t>指事业单位在专业业务活动及其辅助活动之外开展非独立核算经营活动取得的收入。</w:t>
      </w:r>
    </w:p>
    <w:p>
      <w:pPr>
        <w:ind w:firstLine="640"/>
        <w:rPr>
          <w:rFonts w:eastAsia="仿宋"/>
          <w:szCs w:val="32"/>
        </w:rPr>
      </w:pPr>
      <w:r>
        <w:rPr>
          <w:rFonts w:eastAsia="楷体"/>
          <w:szCs w:val="32"/>
        </w:rPr>
        <w:t>（</w:t>
      </w:r>
      <w:r>
        <w:rPr>
          <w:rFonts w:hint="eastAsia" w:eastAsia="楷体"/>
          <w:szCs w:val="32"/>
        </w:rPr>
        <w:t>九</w:t>
      </w:r>
      <w:r>
        <w:rPr>
          <w:rFonts w:eastAsia="楷体"/>
          <w:szCs w:val="32"/>
        </w:rPr>
        <w:t>）其他收入：</w:t>
      </w:r>
      <w:r>
        <w:rPr>
          <w:szCs w:val="32"/>
        </w:rPr>
        <w:t>指除上述“一般公共预算拨款收入”、</w:t>
      </w:r>
      <w:r>
        <w:rPr>
          <w:rFonts w:hint="eastAsia"/>
          <w:szCs w:val="32"/>
        </w:rPr>
        <w:t>“政府性基金预算拨款收入”、</w:t>
      </w:r>
      <w:r>
        <w:rPr>
          <w:szCs w:val="32"/>
        </w:rPr>
        <w:t>“事业收入”、“事业单位经营收入”等以外的收入。</w:t>
      </w:r>
    </w:p>
    <w:p>
      <w:pPr>
        <w:ind w:firstLine="640"/>
        <w:rPr>
          <w:szCs w:val="32"/>
        </w:rPr>
      </w:pPr>
      <w:r>
        <w:rPr>
          <w:rFonts w:eastAsia="楷体"/>
          <w:szCs w:val="32"/>
        </w:rPr>
        <w:t>（</w:t>
      </w:r>
      <w:r>
        <w:rPr>
          <w:rFonts w:hint="eastAsia" w:eastAsia="楷体"/>
          <w:szCs w:val="32"/>
        </w:rPr>
        <w:t>十</w:t>
      </w:r>
      <w:r>
        <w:rPr>
          <w:rFonts w:eastAsia="楷体"/>
          <w:szCs w:val="32"/>
        </w:rPr>
        <w:t>）用事业基金弥补收支差额：</w:t>
      </w:r>
      <w:r>
        <w:rPr>
          <w:szCs w:val="32"/>
        </w:rPr>
        <w:t>指事业单位在预计当年的“一般公共预算拨款收入”、</w:t>
      </w:r>
      <w:r>
        <w:rPr>
          <w:rFonts w:hint="eastAsia"/>
          <w:szCs w:val="32"/>
        </w:rPr>
        <w:t>“政府性基金预算拨款收入”、</w:t>
      </w:r>
      <w:r>
        <w:rPr>
          <w:szCs w:val="32"/>
        </w:rPr>
        <w:t>“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szCs w:val="32"/>
        </w:rPr>
      </w:pPr>
      <w:r>
        <w:rPr>
          <w:rFonts w:eastAsia="楷体"/>
          <w:szCs w:val="32"/>
        </w:rPr>
        <w:t>（十</w:t>
      </w:r>
      <w:r>
        <w:rPr>
          <w:rFonts w:hint="eastAsia" w:eastAsia="楷体"/>
          <w:szCs w:val="32"/>
        </w:rPr>
        <w:t>一</w:t>
      </w:r>
      <w:r>
        <w:rPr>
          <w:rFonts w:eastAsia="楷体"/>
          <w:szCs w:val="32"/>
        </w:rPr>
        <w:t>）上年结转：</w:t>
      </w:r>
      <w:r>
        <w:rPr>
          <w:szCs w:val="32"/>
        </w:rPr>
        <w:t>指以前年度尚未完成、结转到本年仍按原规定用途继续使用的资金。</w:t>
      </w:r>
    </w:p>
    <w:p>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pPr>
        <w:ind w:firstLine="640"/>
        <w:rPr>
          <w:szCs w:val="32"/>
        </w:rPr>
      </w:pPr>
      <w:r>
        <w:rPr>
          <w:rFonts w:eastAsia="楷体"/>
          <w:szCs w:val="32"/>
        </w:rPr>
        <w:t>（十三）基本支出：</w:t>
      </w:r>
      <w:r>
        <w:rPr>
          <w:szCs w:val="32"/>
        </w:rPr>
        <w:t>指为保障机构正常运转、完成日常工作任务而发生的人员支出和公用支出。</w:t>
      </w:r>
    </w:p>
    <w:p>
      <w:pPr>
        <w:ind w:firstLine="640"/>
        <w:rPr>
          <w:szCs w:val="32"/>
        </w:rPr>
      </w:pPr>
      <w:r>
        <w:rPr>
          <w:rFonts w:eastAsia="楷体"/>
          <w:szCs w:val="32"/>
        </w:rPr>
        <w:t>（十</w:t>
      </w:r>
      <w:r>
        <w:rPr>
          <w:rFonts w:hint="eastAsia" w:eastAsia="楷体"/>
          <w:szCs w:val="32"/>
        </w:rPr>
        <w:t>四</w:t>
      </w:r>
      <w:r>
        <w:rPr>
          <w:rFonts w:eastAsia="楷体"/>
          <w:szCs w:val="32"/>
        </w:rPr>
        <w:t>）项目支出：</w:t>
      </w:r>
      <w:r>
        <w:rPr>
          <w:szCs w:val="32"/>
        </w:rPr>
        <w:t>指在基本支出之外为完成特定行政任务和事业发展目标所发生的支出。</w:t>
      </w:r>
    </w:p>
    <w:p>
      <w:pPr>
        <w:ind w:firstLine="640"/>
        <w:rPr>
          <w:szCs w:val="32"/>
        </w:rPr>
      </w:pPr>
      <w:r>
        <w:rPr>
          <w:rFonts w:eastAsia="楷体"/>
          <w:szCs w:val="32"/>
        </w:rPr>
        <w:t>（十</w:t>
      </w:r>
      <w:r>
        <w:rPr>
          <w:rFonts w:hint="eastAsia" w:eastAsia="楷体"/>
          <w:szCs w:val="32"/>
        </w:rPr>
        <w:t>五</w:t>
      </w:r>
      <w:r>
        <w:rPr>
          <w:rFonts w:eastAsia="楷体"/>
          <w:szCs w:val="32"/>
        </w:rPr>
        <w:t>）上缴上级支出：</w:t>
      </w:r>
      <w:r>
        <w:rPr>
          <w:szCs w:val="32"/>
        </w:rPr>
        <w:t>指附属单位上缴上级的支出。</w:t>
      </w:r>
    </w:p>
    <w:p>
      <w:pPr>
        <w:ind w:firstLine="640"/>
        <w:rPr>
          <w:szCs w:val="32"/>
        </w:rPr>
      </w:pPr>
      <w:r>
        <w:rPr>
          <w:rFonts w:eastAsia="楷体"/>
          <w:szCs w:val="32"/>
        </w:rPr>
        <w:t>（十</w:t>
      </w:r>
      <w:r>
        <w:rPr>
          <w:rFonts w:hint="eastAsia" w:eastAsia="楷体"/>
          <w:szCs w:val="32"/>
        </w:rPr>
        <w:t>六</w:t>
      </w:r>
      <w:r>
        <w:rPr>
          <w:rFonts w:eastAsia="楷体"/>
          <w:szCs w:val="32"/>
        </w:rPr>
        <w:t>）事业单位经营支出：</w:t>
      </w:r>
      <w:r>
        <w:rPr>
          <w:szCs w:val="32"/>
        </w:rPr>
        <w:t>指事业单位在专业业务活动及其辅助活动之外开展非独立核算经营活动发生的支出。</w:t>
      </w:r>
    </w:p>
    <w:p>
      <w:pPr>
        <w:ind w:firstLine="640"/>
        <w:rPr>
          <w:szCs w:val="32"/>
        </w:rPr>
      </w:pPr>
      <w:r>
        <w:rPr>
          <w:rFonts w:eastAsia="楷体"/>
          <w:szCs w:val="32"/>
        </w:rPr>
        <w:t>（十</w:t>
      </w:r>
      <w:r>
        <w:rPr>
          <w:rFonts w:hint="eastAsia" w:eastAsia="楷体"/>
          <w:szCs w:val="32"/>
        </w:rPr>
        <w:t>七</w:t>
      </w:r>
      <w:r>
        <w:rPr>
          <w:rFonts w:eastAsia="楷体"/>
          <w:szCs w:val="32"/>
        </w:rPr>
        <w:t>）对附属单位补助支出：</w:t>
      </w:r>
      <w:r>
        <w:rPr>
          <w:szCs w:val="32"/>
        </w:rPr>
        <w:t>指对附属单位补助发生的支出。</w:t>
      </w:r>
    </w:p>
    <w:p>
      <w:pPr>
        <w:ind w:firstLine="640"/>
        <w:rPr>
          <w:szCs w:val="32"/>
        </w:rPr>
      </w:pPr>
      <w:r>
        <w:rPr>
          <w:rFonts w:eastAsia="楷体"/>
          <w:szCs w:val="32"/>
        </w:rPr>
        <w:t>（十</w:t>
      </w:r>
      <w:r>
        <w:rPr>
          <w:rFonts w:hint="eastAsia" w:eastAsia="楷体"/>
          <w:szCs w:val="32"/>
        </w:rPr>
        <w:t>八</w:t>
      </w:r>
      <w:r>
        <w:rPr>
          <w:rFonts w:eastAsia="楷体"/>
          <w:szCs w:val="32"/>
        </w:rPr>
        <w:t>）“三公”经费：</w:t>
      </w:r>
      <w:r>
        <w:rPr>
          <w:szCs w:val="32"/>
        </w:rPr>
        <w:t>纳入财政预决算管理的“三公”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szCs w:val="32"/>
        </w:rPr>
      </w:pPr>
      <w:r>
        <w:rPr>
          <w:rFonts w:eastAsia="楷体"/>
          <w:szCs w:val="32"/>
        </w:rPr>
        <w:t>（十</w:t>
      </w:r>
      <w:r>
        <w:rPr>
          <w:rFonts w:hint="eastAsia" w:eastAsia="楷体"/>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Cs w:val="32"/>
        </w:rPr>
      </w:pPr>
      <w:r>
        <w:rPr>
          <w:rFonts w:eastAsia="楷体"/>
          <w:szCs w:val="32"/>
        </w:rPr>
        <w:t>（</w:t>
      </w:r>
      <w:r>
        <w:rPr>
          <w:rFonts w:hint="eastAsia" w:eastAsia="楷体"/>
          <w:szCs w:val="32"/>
        </w:rPr>
        <w:t>二十</w:t>
      </w:r>
      <w:r>
        <w:rPr>
          <w:rFonts w:eastAsia="楷体"/>
          <w:szCs w:val="32"/>
        </w:rPr>
        <w:t>）</w:t>
      </w:r>
      <w:r>
        <w:rPr>
          <w:rFonts w:hint="eastAsia" w:eastAsia="楷体"/>
          <w:szCs w:val="32"/>
        </w:rPr>
        <w:t>项目支出绩效目标：</w:t>
      </w:r>
      <w:r>
        <w:rPr>
          <w:rFonts w:hint="eastAsia"/>
        </w:rPr>
        <w:t>项目支出绩效目标是指部门预算安排的项目支出在一定期限内预期达到的产出和效果。</w:t>
      </w:r>
    </w:p>
    <w:p>
      <w:pPr>
        <w:ind w:firstLine="640"/>
        <w:rPr>
          <w:szCs w:val="32"/>
        </w:rPr>
      </w:pPr>
    </w:p>
    <w:p>
      <w:pPr>
        <w:ind w:firstLine="640"/>
        <w:rPr>
          <w:szCs w:val="32"/>
        </w:rPr>
      </w:pPr>
    </w:p>
    <w:p>
      <w:pPr>
        <w:rPr>
          <w:szCs w:val="32"/>
        </w:rPr>
      </w:pPr>
    </w:p>
    <w:p>
      <w:pPr>
        <w:spacing w:line="700" w:lineRule="exact"/>
        <w:rPr>
          <w:kern w:val="0"/>
          <w:szCs w:val="32"/>
        </w:rPr>
      </w:pPr>
    </w:p>
    <w:sectPr>
      <w:headerReference r:id="rId3" w:type="default"/>
      <w:footerReference r:id="rId5" w:type="default"/>
      <w:headerReference r:id="rId4" w:type="even"/>
      <w:footerReference r:id="rId6" w:type="even"/>
      <w:type w:val="evenPage"/>
      <w:pgSz w:w="11907" w:h="16840"/>
      <w:pgMar w:top="2041" w:right="1588" w:bottom="2041" w:left="1588" w:header="851" w:footer="1588" w:gutter="0"/>
      <w:pgNumType w:start="0"/>
      <w:cols w:space="720" w:num="1"/>
      <w:titlePg/>
      <w:docGrid w:type="line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372" w:y="-73"/>
      <w:rPr>
        <w:rStyle w:val="12"/>
        <w:sz w:val="28"/>
      </w:rP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rPr>
      <w:t>10</w:t>
    </w:r>
    <w:r>
      <w:rPr>
        <w:sz w:val="28"/>
      </w:rPr>
      <w:fldChar w:fldCharType="end"/>
    </w:r>
    <w:r>
      <w:rPr>
        <w:rStyle w:val="12"/>
        <w:rFonts w:hint="eastAsia"/>
        <w:sz w:val="28"/>
      </w:rPr>
      <w:t>—</w:t>
    </w:r>
  </w:p>
  <w:p>
    <w:pPr>
      <w:pStyle w:val="6"/>
      <w:framePr w:wrap="around" w:vAnchor="text" w:hAnchor="margin" w:xAlign="center" w:y="1"/>
      <w:ind w:right="360"/>
      <w:rPr>
        <w:rStyle w:val="12"/>
      </w:rPr>
    </w:pPr>
  </w:p>
  <w:p>
    <w:pPr>
      <w:pStyle w:val="6"/>
      <w:tabs>
        <w:tab w:val="left" w:pos="5124"/>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0</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64FCD"/>
    <w:multiLevelType w:val="singleLevel"/>
    <w:tmpl w:val="A9A64FCD"/>
    <w:lvl w:ilvl="0" w:tentative="0">
      <w:start w:val="1"/>
      <w:numFmt w:val="chineseCounting"/>
      <w:suff w:val="nothing"/>
      <w:lvlText w:val="（%1）"/>
      <w:lvlJc w:val="left"/>
      <w:pPr>
        <w:ind w:left="-109" w:firstLine="420"/>
      </w:pPr>
      <w:rPr>
        <w:rFonts w:hint="eastAsia"/>
      </w:rPr>
    </w:lvl>
  </w:abstractNum>
  <w:abstractNum w:abstractNumId="1">
    <w:nsid w:val="2B836BDC"/>
    <w:multiLevelType w:val="multilevel"/>
    <w:tmpl w:val="2B836BD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1A1281"/>
    <w:multiLevelType w:val="singleLevel"/>
    <w:tmpl w:val="601A1281"/>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156"/>
  <w:drawingGridVerticalSpacing w:val="287"/>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2"/>
  </w:compat>
  <w:rsids>
    <w:rsidRoot w:val="48674ED2"/>
    <w:rsid w:val="00060BCE"/>
    <w:rsid w:val="00077C23"/>
    <w:rsid w:val="000A785F"/>
    <w:rsid w:val="000B4B77"/>
    <w:rsid w:val="000C6D48"/>
    <w:rsid w:val="000D7FB8"/>
    <w:rsid w:val="00102492"/>
    <w:rsid w:val="00117D44"/>
    <w:rsid w:val="00145456"/>
    <w:rsid w:val="00173FBA"/>
    <w:rsid w:val="001C564F"/>
    <w:rsid w:val="002218A9"/>
    <w:rsid w:val="002300BA"/>
    <w:rsid w:val="00292A39"/>
    <w:rsid w:val="00296941"/>
    <w:rsid w:val="002A5441"/>
    <w:rsid w:val="002B28D2"/>
    <w:rsid w:val="002D031A"/>
    <w:rsid w:val="002E7CD8"/>
    <w:rsid w:val="002F69ED"/>
    <w:rsid w:val="00343819"/>
    <w:rsid w:val="00367BC1"/>
    <w:rsid w:val="003779B3"/>
    <w:rsid w:val="00396D8D"/>
    <w:rsid w:val="003E0366"/>
    <w:rsid w:val="00426F96"/>
    <w:rsid w:val="00487479"/>
    <w:rsid w:val="00514321"/>
    <w:rsid w:val="00516357"/>
    <w:rsid w:val="00540B4D"/>
    <w:rsid w:val="00584D1B"/>
    <w:rsid w:val="00586A56"/>
    <w:rsid w:val="005B1FE4"/>
    <w:rsid w:val="005D5B16"/>
    <w:rsid w:val="005E45B9"/>
    <w:rsid w:val="005F314F"/>
    <w:rsid w:val="00600DA0"/>
    <w:rsid w:val="0061526B"/>
    <w:rsid w:val="00623896"/>
    <w:rsid w:val="006358AE"/>
    <w:rsid w:val="00665280"/>
    <w:rsid w:val="0068147E"/>
    <w:rsid w:val="006B340D"/>
    <w:rsid w:val="006B3914"/>
    <w:rsid w:val="006D2FD4"/>
    <w:rsid w:val="00746609"/>
    <w:rsid w:val="00761870"/>
    <w:rsid w:val="007638E0"/>
    <w:rsid w:val="00812796"/>
    <w:rsid w:val="00825722"/>
    <w:rsid w:val="00841DA8"/>
    <w:rsid w:val="00851A6F"/>
    <w:rsid w:val="008625CB"/>
    <w:rsid w:val="00862DC1"/>
    <w:rsid w:val="00870789"/>
    <w:rsid w:val="00876AFD"/>
    <w:rsid w:val="0089636A"/>
    <w:rsid w:val="00896C22"/>
    <w:rsid w:val="008A397D"/>
    <w:rsid w:val="008C034B"/>
    <w:rsid w:val="0091631A"/>
    <w:rsid w:val="00932BEF"/>
    <w:rsid w:val="00983A8D"/>
    <w:rsid w:val="009B2F41"/>
    <w:rsid w:val="009E093A"/>
    <w:rsid w:val="00A1235A"/>
    <w:rsid w:val="00A12B1F"/>
    <w:rsid w:val="00A34894"/>
    <w:rsid w:val="00A73E5D"/>
    <w:rsid w:val="00A96058"/>
    <w:rsid w:val="00AD4E96"/>
    <w:rsid w:val="00B05DD3"/>
    <w:rsid w:val="00B44AAD"/>
    <w:rsid w:val="00B60748"/>
    <w:rsid w:val="00B62F90"/>
    <w:rsid w:val="00B6660C"/>
    <w:rsid w:val="00B668F4"/>
    <w:rsid w:val="00B9012E"/>
    <w:rsid w:val="00BA7D5D"/>
    <w:rsid w:val="00BB6FD3"/>
    <w:rsid w:val="00BC50F6"/>
    <w:rsid w:val="00BE1CDD"/>
    <w:rsid w:val="00C36C22"/>
    <w:rsid w:val="00C55740"/>
    <w:rsid w:val="00CA1FFF"/>
    <w:rsid w:val="00CC6E11"/>
    <w:rsid w:val="00CC7209"/>
    <w:rsid w:val="00CD15ED"/>
    <w:rsid w:val="00CE2C80"/>
    <w:rsid w:val="00D11CB0"/>
    <w:rsid w:val="00D14E90"/>
    <w:rsid w:val="00D15784"/>
    <w:rsid w:val="00D33284"/>
    <w:rsid w:val="00D44841"/>
    <w:rsid w:val="00D55467"/>
    <w:rsid w:val="00D56FA3"/>
    <w:rsid w:val="00D5755E"/>
    <w:rsid w:val="00D71247"/>
    <w:rsid w:val="00DD4D50"/>
    <w:rsid w:val="00DF0F79"/>
    <w:rsid w:val="00E00855"/>
    <w:rsid w:val="00E22C47"/>
    <w:rsid w:val="00E26135"/>
    <w:rsid w:val="00E56F79"/>
    <w:rsid w:val="00E67450"/>
    <w:rsid w:val="00E82D48"/>
    <w:rsid w:val="00EA6947"/>
    <w:rsid w:val="00EC73B7"/>
    <w:rsid w:val="00ED4A50"/>
    <w:rsid w:val="00ED778B"/>
    <w:rsid w:val="00EE1F67"/>
    <w:rsid w:val="00F47B19"/>
    <w:rsid w:val="00F645B8"/>
    <w:rsid w:val="00F7193F"/>
    <w:rsid w:val="00F8523B"/>
    <w:rsid w:val="00FE4AAE"/>
    <w:rsid w:val="00FF4B4C"/>
    <w:rsid w:val="00FF7928"/>
    <w:rsid w:val="019B69D8"/>
    <w:rsid w:val="020E6D2C"/>
    <w:rsid w:val="031D7D4B"/>
    <w:rsid w:val="0486486A"/>
    <w:rsid w:val="04954460"/>
    <w:rsid w:val="050D06DA"/>
    <w:rsid w:val="05513E94"/>
    <w:rsid w:val="056F5A6D"/>
    <w:rsid w:val="059B3770"/>
    <w:rsid w:val="063949A0"/>
    <w:rsid w:val="06BD5BC7"/>
    <w:rsid w:val="071C018D"/>
    <w:rsid w:val="08C6095E"/>
    <w:rsid w:val="09A0082A"/>
    <w:rsid w:val="0ABA06FE"/>
    <w:rsid w:val="0B5F5ADA"/>
    <w:rsid w:val="0C2A5C84"/>
    <w:rsid w:val="0DA001B0"/>
    <w:rsid w:val="0DEB170B"/>
    <w:rsid w:val="0E4C7841"/>
    <w:rsid w:val="0E7541DE"/>
    <w:rsid w:val="0F3E0406"/>
    <w:rsid w:val="0F5A5834"/>
    <w:rsid w:val="0FD62F63"/>
    <w:rsid w:val="10C93B35"/>
    <w:rsid w:val="10EB528B"/>
    <w:rsid w:val="11177619"/>
    <w:rsid w:val="112605C8"/>
    <w:rsid w:val="12E711B7"/>
    <w:rsid w:val="136D62BD"/>
    <w:rsid w:val="13F21722"/>
    <w:rsid w:val="1441443C"/>
    <w:rsid w:val="14C12787"/>
    <w:rsid w:val="15593E10"/>
    <w:rsid w:val="159F7E25"/>
    <w:rsid w:val="15F848D0"/>
    <w:rsid w:val="160E1FA5"/>
    <w:rsid w:val="160F2600"/>
    <w:rsid w:val="17765BCA"/>
    <w:rsid w:val="17A027D8"/>
    <w:rsid w:val="18F37C66"/>
    <w:rsid w:val="1A817DF8"/>
    <w:rsid w:val="1ADC594E"/>
    <w:rsid w:val="1AEB5252"/>
    <w:rsid w:val="1C852172"/>
    <w:rsid w:val="1CA40C0C"/>
    <w:rsid w:val="1CFF4A32"/>
    <w:rsid w:val="1D833200"/>
    <w:rsid w:val="1E3A3FD0"/>
    <w:rsid w:val="1E5F3E8A"/>
    <w:rsid w:val="1EB55C07"/>
    <w:rsid w:val="1F351A10"/>
    <w:rsid w:val="1FED47E9"/>
    <w:rsid w:val="206816AC"/>
    <w:rsid w:val="22A4003E"/>
    <w:rsid w:val="2319587A"/>
    <w:rsid w:val="23EC61F6"/>
    <w:rsid w:val="244C543C"/>
    <w:rsid w:val="24624768"/>
    <w:rsid w:val="259B5BC5"/>
    <w:rsid w:val="25F62C4E"/>
    <w:rsid w:val="26FE109D"/>
    <w:rsid w:val="27073E1E"/>
    <w:rsid w:val="27B04AB3"/>
    <w:rsid w:val="28A63332"/>
    <w:rsid w:val="29C45F24"/>
    <w:rsid w:val="2A582848"/>
    <w:rsid w:val="2DF8796C"/>
    <w:rsid w:val="2EB22F18"/>
    <w:rsid w:val="2EE12108"/>
    <w:rsid w:val="2EED35E3"/>
    <w:rsid w:val="2F250383"/>
    <w:rsid w:val="300965A3"/>
    <w:rsid w:val="30730D6E"/>
    <w:rsid w:val="30B91A70"/>
    <w:rsid w:val="32CF2C5D"/>
    <w:rsid w:val="335402B5"/>
    <w:rsid w:val="339466B2"/>
    <w:rsid w:val="34555AF5"/>
    <w:rsid w:val="35616772"/>
    <w:rsid w:val="35EA1663"/>
    <w:rsid w:val="364C598E"/>
    <w:rsid w:val="36CC2B0F"/>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970786"/>
    <w:rsid w:val="3EA14040"/>
    <w:rsid w:val="3EE8108D"/>
    <w:rsid w:val="40B80EFF"/>
    <w:rsid w:val="41A35364"/>
    <w:rsid w:val="41C31686"/>
    <w:rsid w:val="424E37D0"/>
    <w:rsid w:val="42982B4E"/>
    <w:rsid w:val="436B1E42"/>
    <w:rsid w:val="456D114B"/>
    <w:rsid w:val="45EB670F"/>
    <w:rsid w:val="46AB7C0D"/>
    <w:rsid w:val="46D44808"/>
    <w:rsid w:val="47CF49E6"/>
    <w:rsid w:val="48674ED2"/>
    <w:rsid w:val="487708E6"/>
    <w:rsid w:val="49645F71"/>
    <w:rsid w:val="499F5C68"/>
    <w:rsid w:val="49DE5FBA"/>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4741940"/>
    <w:rsid w:val="54810E66"/>
    <w:rsid w:val="54C2556E"/>
    <w:rsid w:val="55480EEF"/>
    <w:rsid w:val="57AE5C26"/>
    <w:rsid w:val="57DD75A9"/>
    <w:rsid w:val="58256ABD"/>
    <w:rsid w:val="59472AC7"/>
    <w:rsid w:val="59CC4B3A"/>
    <w:rsid w:val="5AB343F7"/>
    <w:rsid w:val="5ABF50F2"/>
    <w:rsid w:val="5AF76904"/>
    <w:rsid w:val="5B052E7A"/>
    <w:rsid w:val="5B3D7F7E"/>
    <w:rsid w:val="5B430ACD"/>
    <w:rsid w:val="5B484F47"/>
    <w:rsid w:val="5B7C7777"/>
    <w:rsid w:val="5BEC6771"/>
    <w:rsid w:val="5CA506B9"/>
    <w:rsid w:val="5D5A7C63"/>
    <w:rsid w:val="5E256F6F"/>
    <w:rsid w:val="5F6235A9"/>
    <w:rsid w:val="614125C2"/>
    <w:rsid w:val="624C5C52"/>
    <w:rsid w:val="635C6FD1"/>
    <w:rsid w:val="63DF08E4"/>
    <w:rsid w:val="64BD7A31"/>
    <w:rsid w:val="64C04AFD"/>
    <w:rsid w:val="661A7B69"/>
    <w:rsid w:val="663652E2"/>
    <w:rsid w:val="664909C1"/>
    <w:rsid w:val="667C178B"/>
    <w:rsid w:val="66C63EB5"/>
    <w:rsid w:val="679461D3"/>
    <w:rsid w:val="69157114"/>
    <w:rsid w:val="691A443E"/>
    <w:rsid w:val="6A80735F"/>
    <w:rsid w:val="6ACC5E47"/>
    <w:rsid w:val="6AD43ED1"/>
    <w:rsid w:val="6B11024D"/>
    <w:rsid w:val="6B7D5B36"/>
    <w:rsid w:val="6CF120A8"/>
    <w:rsid w:val="6D72583A"/>
    <w:rsid w:val="714213DD"/>
    <w:rsid w:val="717F272E"/>
    <w:rsid w:val="728027C6"/>
    <w:rsid w:val="737C6744"/>
    <w:rsid w:val="73FE7ACC"/>
    <w:rsid w:val="74556746"/>
    <w:rsid w:val="749772C2"/>
    <w:rsid w:val="75042F4F"/>
    <w:rsid w:val="76C17E06"/>
    <w:rsid w:val="76CA67BD"/>
    <w:rsid w:val="775B0046"/>
    <w:rsid w:val="79700BEF"/>
    <w:rsid w:val="7A090695"/>
    <w:rsid w:val="7AE175F4"/>
    <w:rsid w:val="7B417685"/>
    <w:rsid w:val="7B5220F0"/>
    <w:rsid w:val="7BA169C0"/>
    <w:rsid w:val="7CAD595B"/>
    <w:rsid w:val="7CF65D07"/>
    <w:rsid w:val="7D2975D1"/>
    <w:rsid w:val="7DCC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8372"/>
      </w:tabs>
      <w:spacing w:line="540" w:lineRule="exact"/>
      <w:ind w:firstLine="630"/>
    </w:pPr>
    <w:rPr>
      <w:rFonts w:eastAsia="黑体"/>
    </w:rPr>
  </w:style>
  <w:style w:type="paragraph" w:styleId="3">
    <w:name w:val="Date"/>
    <w:basedOn w:val="1"/>
    <w:next w:val="1"/>
    <w:qFormat/>
    <w:uiPriority w:val="0"/>
  </w:style>
  <w:style w:type="paragraph" w:styleId="4">
    <w:name w:val="Body Text Indent 2"/>
    <w:basedOn w:val="1"/>
    <w:qFormat/>
    <w:uiPriority w:val="0"/>
    <w:pPr>
      <w:tabs>
        <w:tab w:val="left" w:pos="8372"/>
      </w:tabs>
      <w:spacing w:line="540" w:lineRule="exact"/>
      <w:ind w:firstLine="630"/>
    </w:pPr>
    <w:rPr>
      <w:b/>
      <w:bCs/>
    </w:rPr>
  </w:style>
  <w:style w:type="paragraph" w:styleId="5">
    <w:name w:val="Balloon Text"/>
    <w:basedOn w:val="1"/>
    <w:link w:val="13"/>
    <w:uiPriority w:val="0"/>
    <w:rPr>
      <w:sz w:val="18"/>
      <w:szCs w:val="18"/>
    </w:rPr>
  </w:style>
  <w:style w:type="paragraph" w:styleId="6">
    <w:name w:val="footer"/>
    <w:basedOn w:val="1"/>
    <w:link w:val="14"/>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批注框文本 Char"/>
    <w:link w:val="5"/>
    <w:uiPriority w:val="0"/>
    <w:rPr>
      <w:rFonts w:eastAsia="仿宋_GB2312"/>
      <w:kern w:val="2"/>
      <w:sz w:val="18"/>
      <w:szCs w:val="18"/>
    </w:rPr>
  </w:style>
  <w:style w:type="character" w:customStyle="1" w:styleId="14">
    <w:name w:val="页脚 Char"/>
    <w:link w:val="6"/>
    <w:qFormat/>
    <w:uiPriority w:val="0"/>
    <w:rPr>
      <w:rFonts w:eastAsia="仿宋_GB2312"/>
      <w:kern w:val="2"/>
      <w:sz w:val="18"/>
    </w:rPr>
  </w:style>
  <w:style w:type="character" w:customStyle="1" w:styleId="15">
    <w:name w:val="font41"/>
    <w:uiPriority w:val="0"/>
    <w:rPr>
      <w:rFonts w:hint="default" w:ascii="华文细黑" w:hAnsi="华文细黑" w:eastAsia="华文细黑" w:cs="华文细黑"/>
      <w:color w:val="000000"/>
      <w:sz w:val="20"/>
      <w:szCs w:val="20"/>
      <w:u w:val="none"/>
    </w:rPr>
  </w:style>
  <w:style w:type="character" w:customStyle="1" w:styleId="16">
    <w:name w:val="font21"/>
    <w:qFormat/>
    <w:uiPriority w:val="0"/>
    <w:rPr>
      <w:rFonts w:hint="default" w:ascii="Arial" w:hAnsi="Arial" w:cs="Arial"/>
      <w:color w:val="000000"/>
      <w:sz w:val="20"/>
      <w:szCs w:val="20"/>
      <w:u w:val="none"/>
    </w:rPr>
  </w:style>
  <w:style w:type="character" w:customStyle="1" w:styleId="17">
    <w:name w:val="font61"/>
    <w:qFormat/>
    <w:uiPriority w:val="0"/>
    <w:rPr>
      <w:rFonts w:hint="eastAsia" w:ascii="宋体" w:hAnsi="宋体" w:eastAsia="宋体" w:cs="宋体"/>
      <w:color w:val="000000"/>
      <w:sz w:val="24"/>
      <w:szCs w:val="24"/>
      <w:u w:val="none"/>
    </w:rPr>
  </w:style>
  <w:style w:type="character" w:customStyle="1" w:styleId="18">
    <w:name w:val="font01"/>
    <w:uiPriority w:val="0"/>
    <w:rPr>
      <w:rFonts w:hint="default" w:ascii="Times New Roman" w:hAnsi="Times New Roman" w:cs="Times New Roman"/>
      <w:color w:val="000000"/>
      <w:sz w:val="24"/>
      <w:szCs w:val="24"/>
      <w:u w:val="none"/>
    </w:rPr>
  </w:style>
  <w:style w:type="character" w:customStyle="1" w:styleId="19">
    <w:name w:val="font11"/>
    <w:uiPriority w:val="0"/>
    <w:rPr>
      <w:rFonts w:hint="default" w:ascii="Arial" w:hAnsi="Arial" w:cs="Arial"/>
      <w:color w:val="000000"/>
      <w:sz w:val="24"/>
      <w:szCs w:val="24"/>
      <w:u w:val="none"/>
    </w:rPr>
  </w:style>
  <w:style w:type="paragraph" w:customStyle="1" w:styleId="20">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1">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3">
    <w:name w:val="页眉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4">
    <w:name w:val="页脚 New New New New New New New New New New New New New"/>
    <w:basedOn w:val="1"/>
    <w:uiPriority w:val="0"/>
    <w:pPr>
      <w:tabs>
        <w:tab w:val="center" w:pos="4153"/>
        <w:tab w:val="right" w:pos="8306"/>
      </w:tabs>
      <w:snapToGrid w:val="0"/>
      <w:jc w:val="left"/>
    </w:pPr>
    <w:rPr>
      <w:sz w:val="18"/>
    </w:rPr>
  </w:style>
  <w:style w:type="paragraph" w:customStyle="1" w:styleId="25">
    <w:name w:val="页脚 New New New New New New New New New New New"/>
    <w:basedOn w:val="1"/>
    <w:uiPriority w:val="0"/>
    <w:pPr>
      <w:tabs>
        <w:tab w:val="center" w:pos="4153"/>
        <w:tab w:val="right" w:pos="8306"/>
      </w:tabs>
      <w:snapToGrid w:val="0"/>
      <w:jc w:val="left"/>
    </w:pPr>
    <w:rPr>
      <w:sz w:val="18"/>
    </w:rPr>
  </w:style>
  <w:style w:type="paragraph" w:customStyle="1" w:styleId="26">
    <w:name w:val="页脚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27">
    <w:name w:val="页眉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8">
    <w:name w:val="页眉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9">
    <w:name w:val="页脚 New New New New New New New New New New New New New New New New New"/>
    <w:basedOn w:val="1"/>
    <w:uiPriority w:val="0"/>
    <w:pPr>
      <w:tabs>
        <w:tab w:val="center" w:pos="4153"/>
        <w:tab w:val="right" w:pos="8306"/>
      </w:tabs>
      <w:snapToGrid w:val="0"/>
      <w:jc w:val="left"/>
    </w:pPr>
    <w:rPr>
      <w:sz w:val="18"/>
    </w:rPr>
  </w:style>
  <w:style w:type="paragraph" w:customStyle="1" w:styleId="30">
    <w:name w:val="页眉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页眉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2">
    <w:name w:val="页脚 New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33">
    <w:name w:val="页眉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4">
    <w:name w:val="页眉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5">
    <w:name w:val="页脚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36">
    <w:name w:val="页眉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7">
    <w:name w:val="页眉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8">
    <w:name w:val="页脚 New New New New"/>
    <w:basedOn w:val="1"/>
    <w:uiPriority w:val="0"/>
    <w:pPr>
      <w:tabs>
        <w:tab w:val="center" w:pos="4153"/>
        <w:tab w:val="right" w:pos="8306"/>
      </w:tabs>
      <w:snapToGrid w:val="0"/>
      <w:jc w:val="left"/>
    </w:pPr>
    <w:rPr>
      <w:sz w:val="18"/>
    </w:rPr>
  </w:style>
  <w:style w:type="paragraph" w:customStyle="1" w:styleId="39">
    <w:name w:val="页眉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0">
    <w:name w:val="页眉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1">
    <w:name w:val="页脚 New New New New New New New New New"/>
    <w:basedOn w:val="1"/>
    <w:uiPriority w:val="0"/>
    <w:pPr>
      <w:tabs>
        <w:tab w:val="center" w:pos="4153"/>
        <w:tab w:val="right" w:pos="8306"/>
      </w:tabs>
      <w:snapToGrid w:val="0"/>
      <w:jc w:val="left"/>
    </w:pPr>
    <w:rPr>
      <w:sz w:val="18"/>
    </w:rPr>
  </w:style>
  <w:style w:type="paragraph" w:customStyle="1" w:styleId="42">
    <w:name w:val="页脚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43">
    <w:name w:val="页脚 New New New"/>
    <w:basedOn w:val="1"/>
    <w:qFormat/>
    <w:uiPriority w:val="0"/>
    <w:pPr>
      <w:tabs>
        <w:tab w:val="center" w:pos="4153"/>
        <w:tab w:val="right" w:pos="8306"/>
      </w:tabs>
      <w:snapToGrid w:val="0"/>
      <w:jc w:val="left"/>
    </w:pPr>
    <w:rPr>
      <w:sz w:val="18"/>
    </w:rPr>
  </w:style>
  <w:style w:type="paragraph" w:customStyle="1" w:styleId="44">
    <w:name w:val="页眉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5">
    <w:name w:val="页脚 New"/>
    <w:basedOn w:val="1"/>
    <w:qFormat/>
    <w:uiPriority w:val="0"/>
    <w:pPr>
      <w:tabs>
        <w:tab w:val="center" w:pos="4153"/>
        <w:tab w:val="right" w:pos="8306"/>
      </w:tabs>
      <w:snapToGrid w:val="0"/>
      <w:jc w:val="left"/>
    </w:pPr>
    <w:rPr>
      <w:sz w:val="18"/>
    </w:rPr>
  </w:style>
  <w:style w:type="paragraph" w:customStyle="1" w:styleId="46">
    <w:name w:val="页脚 New New New New New New New New New New"/>
    <w:basedOn w:val="1"/>
    <w:qFormat/>
    <w:uiPriority w:val="0"/>
    <w:pPr>
      <w:tabs>
        <w:tab w:val="center" w:pos="4153"/>
        <w:tab w:val="right" w:pos="8306"/>
      </w:tabs>
      <w:snapToGrid w:val="0"/>
      <w:jc w:val="left"/>
    </w:pPr>
    <w:rPr>
      <w:sz w:val="18"/>
    </w:rPr>
  </w:style>
  <w:style w:type="paragraph" w:customStyle="1" w:styleId="47">
    <w:name w:val="页脚 New New New New New New New New"/>
    <w:basedOn w:val="1"/>
    <w:qFormat/>
    <w:uiPriority w:val="0"/>
    <w:pPr>
      <w:tabs>
        <w:tab w:val="center" w:pos="4153"/>
        <w:tab w:val="right" w:pos="8306"/>
      </w:tabs>
      <w:snapToGrid w:val="0"/>
      <w:jc w:val="left"/>
    </w:pPr>
    <w:rPr>
      <w:sz w:val="18"/>
    </w:rPr>
  </w:style>
  <w:style w:type="paragraph" w:customStyle="1" w:styleId="48">
    <w:name w:val="页脚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49">
    <w:name w:val="页眉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0">
    <w:name w:val="页眉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1">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2">
    <w:name w:val="页脚 New New New New New New New New New New New New New New New"/>
    <w:basedOn w:val="1"/>
    <w:qFormat/>
    <w:uiPriority w:val="0"/>
    <w:pPr>
      <w:tabs>
        <w:tab w:val="center" w:pos="4153"/>
        <w:tab w:val="right" w:pos="8306"/>
      </w:tabs>
      <w:snapToGrid w:val="0"/>
      <w:jc w:val="left"/>
    </w:pPr>
    <w:rPr>
      <w:sz w:val="18"/>
    </w:rPr>
  </w:style>
  <w:style w:type="paragraph" w:customStyle="1" w:styleId="53">
    <w:name w:val="页脚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54">
    <w:name w:val="页脚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55">
    <w:name w:val="页眉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6">
    <w:name w:val="页眉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7">
    <w:name w:val="正文文本 21"/>
    <w:basedOn w:val="1"/>
    <w:qFormat/>
    <w:uiPriority w:val="0"/>
    <w:pPr>
      <w:adjustRightInd w:val="0"/>
      <w:ind w:firstLine="630"/>
      <w:jc w:val="left"/>
      <w:textAlignment w:val="baseline"/>
    </w:pPr>
    <w:rPr>
      <w:rFonts w:eastAsia="黑体"/>
    </w:rPr>
  </w:style>
  <w:style w:type="paragraph" w:customStyle="1" w:styleId="58">
    <w:name w:val="页眉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9">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0">
    <w:name w:val="页脚 New New New New New New"/>
    <w:basedOn w:val="1"/>
    <w:qFormat/>
    <w:uiPriority w:val="0"/>
    <w:pPr>
      <w:tabs>
        <w:tab w:val="center" w:pos="4153"/>
        <w:tab w:val="right" w:pos="8306"/>
      </w:tabs>
      <w:snapToGrid w:val="0"/>
      <w:jc w:val="left"/>
    </w:pPr>
    <w:rPr>
      <w:sz w:val="18"/>
    </w:rPr>
  </w:style>
  <w:style w:type="paragraph" w:customStyle="1" w:styleId="61">
    <w:name w:val="页眉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p0"/>
    <w:basedOn w:val="1"/>
    <w:qFormat/>
    <w:uiPriority w:val="0"/>
    <w:pPr>
      <w:widowControl/>
    </w:pPr>
    <w:rPr>
      <w:rFonts w:eastAsia="宋体"/>
      <w:kern w:val="0"/>
      <w:szCs w:val="32"/>
    </w:rPr>
  </w:style>
  <w:style w:type="paragraph" w:customStyle="1" w:styleId="63">
    <w:name w:val="页眉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页脚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65">
    <w:name w:val="页脚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66">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7">
    <w:name w:val="Char"/>
    <w:basedOn w:val="1"/>
    <w:qFormat/>
    <w:uiPriority w:val="0"/>
    <w:rPr>
      <w:rFonts w:eastAsia="宋体"/>
      <w:sz w:val="21"/>
      <w:szCs w:val="21"/>
    </w:rPr>
  </w:style>
  <w:style w:type="paragraph" w:customStyle="1" w:styleId="68">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页脚 New New New New New New New"/>
    <w:basedOn w:val="1"/>
    <w:qFormat/>
    <w:uiPriority w:val="0"/>
    <w:pPr>
      <w:tabs>
        <w:tab w:val="center" w:pos="4153"/>
        <w:tab w:val="right" w:pos="8306"/>
      </w:tabs>
      <w:snapToGrid w:val="0"/>
      <w:jc w:val="left"/>
    </w:pPr>
    <w:rPr>
      <w:sz w:val="18"/>
    </w:rPr>
  </w:style>
  <w:style w:type="paragraph" w:customStyle="1" w:styleId="70">
    <w:name w:val="页脚 New New New New New New New New New New New New New New"/>
    <w:basedOn w:val="1"/>
    <w:qFormat/>
    <w:uiPriority w:val="0"/>
    <w:pPr>
      <w:tabs>
        <w:tab w:val="center" w:pos="4153"/>
        <w:tab w:val="right" w:pos="8306"/>
      </w:tabs>
      <w:snapToGrid w:val="0"/>
      <w:jc w:val="left"/>
    </w:pPr>
    <w:rPr>
      <w:sz w:val="18"/>
    </w:rPr>
  </w:style>
  <w:style w:type="paragraph" w:customStyle="1" w:styleId="71">
    <w:name w:val="页眉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2">
    <w:name w:val="页脚 New New New New New New New New New New New New"/>
    <w:basedOn w:val="1"/>
    <w:qFormat/>
    <w:uiPriority w:val="0"/>
    <w:pPr>
      <w:tabs>
        <w:tab w:val="center" w:pos="4153"/>
        <w:tab w:val="right" w:pos="8306"/>
      </w:tabs>
      <w:snapToGrid w:val="0"/>
      <w:jc w:val="left"/>
    </w:pPr>
    <w:rPr>
      <w:sz w:val="18"/>
    </w:rPr>
  </w:style>
  <w:style w:type="paragraph" w:customStyle="1" w:styleId="73">
    <w:name w:val="页脚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74">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页眉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6">
    <w:name w:val="页眉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7">
    <w:name w:val="页眉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8">
    <w:name w:val="页脚 New New New New New"/>
    <w:basedOn w:val="1"/>
    <w:uiPriority w:val="0"/>
    <w:pPr>
      <w:tabs>
        <w:tab w:val="center" w:pos="4153"/>
        <w:tab w:val="right" w:pos="8306"/>
      </w:tabs>
      <w:snapToGrid w:val="0"/>
      <w:jc w:val="left"/>
    </w:pPr>
    <w:rPr>
      <w:sz w:val="18"/>
    </w:rPr>
  </w:style>
  <w:style w:type="paragraph" w:customStyle="1" w:styleId="79">
    <w:name w:val="页脚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80">
    <w:name w:val="页脚 New New"/>
    <w:basedOn w:val="1"/>
    <w:uiPriority w:val="0"/>
    <w:pPr>
      <w:tabs>
        <w:tab w:val="center" w:pos="4153"/>
        <w:tab w:val="right" w:pos="8306"/>
      </w:tabs>
      <w:snapToGrid w:val="0"/>
      <w:jc w:val="left"/>
    </w:pPr>
    <w:rPr>
      <w:sz w:val="18"/>
    </w:rPr>
  </w:style>
  <w:style w:type="paragraph" w:customStyle="1" w:styleId="81">
    <w:name w:val="页眉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2">
    <w:name w:val="页脚 New New New New New New New New New New New New New New New New New New New New New"/>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9DC32-2835-4D50-9D6E-EB0958D68FFD}">
  <ds:schemaRefs/>
</ds:datastoreItem>
</file>

<file path=docProps/app.xml><?xml version="1.0" encoding="utf-8"?>
<Properties xmlns="http://schemas.openxmlformats.org/officeDocument/2006/extended-properties" xmlns:vt="http://schemas.openxmlformats.org/officeDocument/2006/docPropsVTypes">
  <Template>附件1 2020年部门预算信息公开模板</Template>
  <Pages>21</Pages>
  <Words>1160</Words>
  <Characters>6617</Characters>
  <Lines>55</Lines>
  <Paragraphs>15</Paragraphs>
  <TotalTime>8</TotalTime>
  <ScaleCrop>false</ScaleCrop>
  <LinksUpToDate>false</LinksUpToDate>
  <CharactersWithSpaces>7762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2022-03-02T06:24:00Z</dcterms:created>
  <dc:creator>Administrator</dc:creator>
  <cp:lastModifiedBy>Administrator</cp:lastModifiedBy>
  <cp:lastPrinted>2022-02-21T08:08:00Z</cp:lastPrinted>
  <dcterms:modified xsi:type="dcterms:W3CDTF">2022-03-03T06:56:05Z</dcterms:modified>
  <dc:title>主  持  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FD1491BA952947A48087E148A46CBF29</vt:lpwstr>
  </property>
</Properties>
</file>