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吉林省就业统计调查制度可公开内容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了解和掌握我省就业方面基本情况，为制定和落实人力资源社会保障规划计划、政策法规提供依据，同时为科学决策提供数据支撑，为社会公众提供咨询服务。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调查对象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统计范围内的法人单位、产业活动单位、个体经营户和个人等。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统计范围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行政区域内单位和个人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就业、失业、享受就业创业扶持政策、就业专项资金等使用、培训公共就业服务等。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调查频率和时间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本调查制度按报告期别分为年报、季报和月报，调查时期分别为上一年度、上一季度和上月数据。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监测行政村农村劳动力转移就业情况、企业用工动态监测情况采用重点调查，其他均采用全面调查方法。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由地方人力资源社会保障部门组织填报。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EC"/>
    <w:rsid w:val="00702C96"/>
    <w:rsid w:val="00CE58EC"/>
    <w:rsid w:val="FE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customStyle="1" w:styleId="5">
    <w:name w:val="主要指标解释 名词"/>
    <w:basedOn w:val="1"/>
    <w:qFormat/>
    <w:uiPriority w:val="0"/>
    <w:pPr>
      <w:snapToGrid w:val="0"/>
      <w:spacing w:line="400" w:lineRule="exact"/>
      <w:ind w:firstLine="420" w:firstLineChars="200"/>
    </w:pPr>
    <w:rPr>
      <w:rFonts w:ascii="黑体" w:hAnsi="黑体" w:eastAsia="黑体" w:cs="黑体"/>
      <w:szCs w:val="21"/>
    </w:rPr>
  </w:style>
  <w:style w:type="character" w:customStyle="1" w:styleId="6">
    <w:name w:val="正文文本 Char"/>
    <w:basedOn w:val="4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50</Words>
  <Characters>288</Characters>
  <Lines>2</Lines>
  <Paragraphs>1</Paragraphs>
  <TotalTime>3</TotalTime>
  <ScaleCrop>false</ScaleCrop>
  <LinksUpToDate>false</LinksUpToDate>
  <CharactersWithSpaces>337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2022-10-31T14:02:00Z</dcterms:created>
  <dc:creator>高艳春（内）</dc:creator>
  <cp:lastModifiedBy>tjj</cp:lastModifiedBy>
  <dcterms:modified xsi:type="dcterms:W3CDTF">2022-11-02T09:14:04Z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